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4E860" w14:textId="77777777" w:rsidR="000511B1" w:rsidRDefault="000D0CB4" w:rsidP="00B25D91">
      <w:pPr>
        <w:pStyle w:val="sidetitle"/>
        <w:rPr>
          <w:b/>
          <w:sz w:val="28"/>
        </w:rPr>
      </w:pPr>
      <w:bookmarkStart w:id="0" w:name="_GoBack"/>
      <w:bookmarkEnd w:id="0"/>
      <w:r>
        <w:rPr>
          <w:noProof/>
          <w:lang w:eastAsia="zh-CN"/>
        </w:rPr>
        <w:drawing>
          <wp:inline distT="0" distB="0" distL="0" distR="0" wp14:anchorId="6CEBDA0E" wp14:editId="2F194598">
            <wp:extent cx="2787650" cy="1352550"/>
            <wp:effectExtent l="0" t="0" r="0" b="0"/>
            <wp:docPr id="6" name="Picture 6"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logo"/>
                    <pic:cNvPicPr>
                      <a:picLocks noChangeAspect="1" noChangeArrowheads="1"/>
                    </pic:cNvPicPr>
                  </pic:nvPicPr>
                  <pic:blipFill>
                    <a:blip r:embed="rId12" cstate="print"/>
                    <a:srcRect/>
                    <a:stretch>
                      <a:fillRect/>
                    </a:stretch>
                  </pic:blipFill>
                  <pic:spPr bwMode="auto">
                    <a:xfrm>
                      <a:off x="0" y="0"/>
                      <a:ext cx="2787650" cy="1352550"/>
                    </a:xfrm>
                    <a:prstGeom prst="rect">
                      <a:avLst/>
                    </a:prstGeom>
                    <a:noFill/>
                    <a:ln w="9525">
                      <a:noFill/>
                      <a:miter lim="800000"/>
                      <a:headEnd/>
                      <a:tailEnd/>
                    </a:ln>
                  </pic:spPr>
                </pic:pic>
              </a:graphicData>
            </a:graphic>
          </wp:inline>
        </w:drawing>
      </w:r>
    </w:p>
    <w:p w14:paraId="22736073" w14:textId="77777777" w:rsidR="000D0CB4" w:rsidRDefault="000D0CB4" w:rsidP="00B25D91">
      <w:pPr>
        <w:pStyle w:val="sidetitle"/>
        <w:rPr>
          <w:b/>
          <w:sz w:val="28"/>
        </w:rPr>
      </w:pPr>
    </w:p>
    <w:p w14:paraId="3F47F0BF" w14:textId="77777777" w:rsidR="000D0CB4" w:rsidRDefault="000D0CB4" w:rsidP="00B25D91">
      <w:pPr>
        <w:pStyle w:val="sidetitle"/>
        <w:rPr>
          <w:b/>
          <w:sz w:val="28"/>
        </w:rPr>
      </w:pPr>
    </w:p>
    <w:p w14:paraId="45EBA87A" w14:textId="77777777" w:rsidR="000D0CB4" w:rsidRDefault="000D0CB4" w:rsidP="00111590">
      <w:pPr>
        <w:pStyle w:val="sidetitle"/>
        <w:ind w:left="-2160" w:right="2160"/>
        <w:rPr>
          <w:rFonts w:ascii="Arial" w:hAnsi="Arial" w:cs="Arial"/>
          <w:b/>
          <w:sz w:val="36"/>
          <w:szCs w:val="36"/>
        </w:rPr>
      </w:pPr>
      <w:r w:rsidRPr="000D0CB4">
        <w:rPr>
          <w:rFonts w:ascii="Arial" w:hAnsi="Arial" w:cs="Arial"/>
          <w:b/>
          <w:sz w:val="36"/>
          <w:szCs w:val="36"/>
        </w:rPr>
        <w:t xml:space="preserve">Greenfield </w:t>
      </w:r>
      <w:r w:rsidR="001B1867" w:rsidRPr="000D0CB4">
        <w:rPr>
          <w:rFonts w:ascii="Arial" w:hAnsi="Arial" w:cs="Arial"/>
          <w:b/>
          <w:sz w:val="36"/>
          <w:szCs w:val="36"/>
        </w:rPr>
        <w:t xml:space="preserve">Commonwealth </w:t>
      </w:r>
      <w:r w:rsidR="00C577C0" w:rsidRPr="000D0CB4">
        <w:rPr>
          <w:rFonts w:ascii="Arial" w:hAnsi="Arial" w:cs="Arial"/>
          <w:b/>
          <w:sz w:val="36"/>
          <w:szCs w:val="36"/>
        </w:rPr>
        <w:t xml:space="preserve">Virtual </w:t>
      </w:r>
      <w:r w:rsidRPr="000D0CB4">
        <w:rPr>
          <w:rFonts w:ascii="Arial" w:hAnsi="Arial" w:cs="Arial"/>
          <w:b/>
          <w:sz w:val="36"/>
          <w:szCs w:val="36"/>
        </w:rPr>
        <w:t>School – Summary of Review</w:t>
      </w:r>
    </w:p>
    <w:p w14:paraId="7CAB2908" w14:textId="77777777" w:rsidR="00111590" w:rsidRDefault="00286289" w:rsidP="000D0CB4">
      <w:pPr>
        <w:pStyle w:val="sidetitle"/>
        <w:ind w:left="-2160"/>
        <w:rPr>
          <w:rFonts w:ascii="Arial" w:hAnsi="Arial" w:cs="Arial"/>
          <w:b/>
          <w:sz w:val="36"/>
          <w:szCs w:val="36"/>
        </w:rPr>
      </w:pPr>
      <w:r>
        <w:pict w14:anchorId="778FB175">
          <v:rect id="_x0000_i1025" style="width:320.1pt;height:1.65pt" o:hrpct="741" o:hrstd="t" o:hr="t" fillcolor="#aaa" stroked="f"/>
        </w:pict>
      </w:r>
    </w:p>
    <w:p w14:paraId="4D521A81" w14:textId="21FF0256" w:rsidR="00111590" w:rsidRPr="002F257C" w:rsidRDefault="00C577C0" w:rsidP="000D0CB4">
      <w:pPr>
        <w:pStyle w:val="sidetitle"/>
        <w:ind w:left="-2160"/>
        <w:rPr>
          <w:rFonts w:cs="Arial"/>
          <w:sz w:val="19"/>
          <w:szCs w:val="19"/>
        </w:rPr>
      </w:pPr>
      <w:r>
        <w:rPr>
          <w:rFonts w:cs="Arial"/>
          <w:sz w:val="19"/>
          <w:szCs w:val="19"/>
        </w:rPr>
        <w:t>February 2019</w:t>
      </w:r>
    </w:p>
    <w:p w14:paraId="61CFB7C7" w14:textId="77777777" w:rsidR="00111590" w:rsidRDefault="00111590" w:rsidP="000D0CB4">
      <w:pPr>
        <w:pStyle w:val="sidetitle"/>
        <w:ind w:left="-2160"/>
        <w:rPr>
          <w:rFonts w:cs="Arial"/>
          <w:b/>
          <w:sz w:val="19"/>
          <w:szCs w:val="19"/>
        </w:rPr>
      </w:pPr>
    </w:p>
    <w:p w14:paraId="78CA433A" w14:textId="77777777" w:rsidR="00111590" w:rsidRDefault="00111590" w:rsidP="000D0CB4">
      <w:pPr>
        <w:pStyle w:val="sidetitle"/>
        <w:ind w:left="-2160"/>
        <w:rPr>
          <w:rFonts w:cs="Arial"/>
          <w:b/>
          <w:sz w:val="19"/>
          <w:szCs w:val="19"/>
        </w:rPr>
      </w:pPr>
    </w:p>
    <w:p w14:paraId="02820488" w14:textId="77777777" w:rsidR="00111590" w:rsidRDefault="00111590" w:rsidP="000D0CB4">
      <w:pPr>
        <w:pStyle w:val="sidetitle"/>
        <w:ind w:left="-2160"/>
        <w:rPr>
          <w:rFonts w:cs="Arial"/>
          <w:b/>
          <w:sz w:val="19"/>
          <w:szCs w:val="19"/>
        </w:rPr>
      </w:pPr>
    </w:p>
    <w:p w14:paraId="50F47DA4" w14:textId="77777777" w:rsidR="00111590" w:rsidRDefault="00111590" w:rsidP="000D0CB4">
      <w:pPr>
        <w:pStyle w:val="sidetitle"/>
        <w:ind w:left="-2160"/>
        <w:rPr>
          <w:rFonts w:cs="Arial"/>
          <w:b/>
          <w:sz w:val="19"/>
          <w:szCs w:val="19"/>
        </w:rPr>
      </w:pPr>
    </w:p>
    <w:p w14:paraId="4E84EB2D" w14:textId="77777777" w:rsidR="00111590" w:rsidRDefault="00111590" w:rsidP="000D0CB4">
      <w:pPr>
        <w:pStyle w:val="sidetitle"/>
        <w:ind w:left="-2160"/>
        <w:rPr>
          <w:rFonts w:cs="Arial"/>
          <w:b/>
          <w:sz w:val="19"/>
          <w:szCs w:val="19"/>
        </w:rPr>
      </w:pPr>
    </w:p>
    <w:p w14:paraId="5C3EEBB9" w14:textId="77777777" w:rsidR="00111590" w:rsidRDefault="00111590" w:rsidP="000D0CB4">
      <w:pPr>
        <w:pStyle w:val="sidetitle"/>
        <w:ind w:left="-2160"/>
        <w:rPr>
          <w:rFonts w:cs="Arial"/>
          <w:b/>
          <w:sz w:val="19"/>
          <w:szCs w:val="19"/>
        </w:rPr>
      </w:pPr>
    </w:p>
    <w:p w14:paraId="74E5F1E5" w14:textId="77777777" w:rsidR="00111590" w:rsidRDefault="00111590" w:rsidP="000D0CB4">
      <w:pPr>
        <w:pStyle w:val="sidetitle"/>
        <w:ind w:left="-2160"/>
        <w:rPr>
          <w:rFonts w:cs="Arial"/>
          <w:b/>
          <w:sz w:val="19"/>
          <w:szCs w:val="19"/>
        </w:rPr>
      </w:pPr>
    </w:p>
    <w:p w14:paraId="347DC84A" w14:textId="77777777" w:rsidR="00111590" w:rsidRDefault="00111590" w:rsidP="000D0CB4">
      <w:pPr>
        <w:pStyle w:val="sidetitle"/>
        <w:ind w:left="-2160"/>
        <w:rPr>
          <w:rFonts w:cs="Arial"/>
          <w:b/>
          <w:sz w:val="19"/>
          <w:szCs w:val="19"/>
        </w:rPr>
      </w:pPr>
    </w:p>
    <w:p w14:paraId="5879A083" w14:textId="77777777" w:rsidR="00111590" w:rsidRDefault="00111590" w:rsidP="00111590">
      <w:pPr>
        <w:pStyle w:val="AgencyTitle"/>
        <w:ind w:left="-2160"/>
        <w:rPr>
          <w:rFonts w:asciiTheme="minorHAnsi" w:hAnsiTheme="minorHAnsi"/>
          <w:sz w:val="20"/>
        </w:rPr>
      </w:pPr>
    </w:p>
    <w:p w14:paraId="4D0FB56E" w14:textId="77777777" w:rsidR="00111590" w:rsidRDefault="00111590" w:rsidP="00111590">
      <w:pPr>
        <w:pStyle w:val="AgencyTitle"/>
        <w:ind w:left="-2160"/>
        <w:rPr>
          <w:rFonts w:asciiTheme="minorHAnsi" w:hAnsiTheme="minorHAnsi"/>
          <w:sz w:val="20"/>
        </w:rPr>
      </w:pPr>
    </w:p>
    <w:p w14:paraId="6EB00FC1" w14:textId="77777777" w:rsidR="00111590" w:rsidRDefault="00111590" w:rsidP="00111590">
      <w:pPr>
        <w:pStyle w:val="AgencyTitle"/>
        <w:ind w:left="-2160"/>
        <w:rPr>
          <w:rFonts w:asciiTheme="minorHAnsi" w:hAnsiTheme="minorHAnsi"/>
          <w:sz w:val="20"/>
        </w:rPr>
      </w:pPr>
    </w:p>
    <w:p w14:paraId="7359544C" w14:textId="77777777" w:rsidR="00111590" w:rsidRDefault="00111590" w:rsidP="00111590">
      <w:pPr>
        <w:pStyle w:val="AgencyTitle"/>
        <w:ind w:left="-2160"/>
        <w:rPr>
          <w:rFonts w:asciiTheme="minorHAnsi" w:hAnsiTheme="minorHAnsi"/>
          <w:sz w:val="20"/>
        </w:rPr>
      </w:pPr>
    </w:p>
    <w:p w14:paraId="4503EB1C" w14:textId="77777777" w:rsidR="00111590" w:rsidRDefault="00111590" w:rsidP="00111590">
      <w:pPr>
        <w:pStyle w:val="AgencyTitle"/>
        <w:ind w:left="-2160"/>
        <w:rPr>
          <w:rFonts w:asciiTheme="minorHAnsi" w:hAnsiTheme="minorHAnsi"/>
          <w:sz w:val="20"/>
        </w:rPr>
      </w:pPr>
    </w:p>
    <w:p w14:paraId="425F629E" w14:textId="77777777" w:rsidR="00111590" w:rsidRDefault="00111590" w:rsidP="00111590">
      <w:pPr>
        <w:pStyle w:val="AgencyTitle"/>
        <w:ind w:left="-2160"/>
        <w:rPr>
          <w:rFonts w:asciiTheme="minorHAnsi" w:hAnsiTheme="minorHAnsi"/>
          <w:sz w:val="20"/>
        </w:rPr>
      </w:pPr>
    </w:p>
    <w:p w14:paraId="6057323F" w14:textId="77777777" w:rsidR="00111590" w:rsidRDefault="00111590" w:rsidP="00111590">
      <w:pPr>
        <w:pStyle w:val="AgencyTitle"/>
        <w:ind w:left="-2160"/>
        <w:rPr>
          <w:rFonts w:asciiTheme="minorHAnsi" w:hAnsiTheme="minorHAnsi"/>
          <w:sz w:val="20"/>
        </w:rPr>
      </w:pPr>
    </w:p>
    <w:p w14:paraId="0C2F757A" w14:textId="77777777" w:rsidR="00111590" w:rsidRPr="003C5942" w:rsidRDefault="00111590" w:rsidP="00111590">
      <w:pPr>
        <w:pStyle w:val="AgencyTitle"/>
        <w:ind w:left="-2160"/>
        <w:rPr>
          <w:rFonts w:asciiTheme="minorHAnsi" w:hAnsiTheme="minorHAnsi"/>
          <w:sz w:val="20"/>
        </w:rPr>
      </w:pPr>
      <w:r w:rsidRPr="003C5942">
        <w:rPr>
          <w:rFonts w:asciiTheme="minorHAnsi" w:hAnsiTheme="minorHAnsi"/>
          <w:sz w:val="20"/>
        </w:rPr>
        <w:t>Massachusetts Department of Elementary and Secondary Education</w:t>
      </w:r>
    </w:p>
    <w:p w14:paraId="13BA93F4" w14:textId="77777777" w:rsidR="00111590" w:rsidRDefault="00111590" w:rsidP="00111590">
      <w:pPr>
        <w:pStyle w:val="arial9"/>
        <w:ind w:left="-2160" w:right="-115"/>
        <w:rPr>
          <w:rFonts w:asciiTheme="minorHAnsi" w:hAnsiTheme="minorHAnsi"/>
          <w:snapToGrid w:val="0"/>
          <w:sz w:val="20"/>
        </w:rPr>
      </w:pPr>
      <w:r w:rsidRPr="003C5942">
        <w:rPr>
          <w:rFonts w:asciiTheme="minorHAnsi" w:hAnsiTheme="minorHAnsi"/>
          <w:snapToGrid w:val="0"/>
          <w:sz w:val="20"/>
        </w:rPr>
        <w:t>75 Pleasant Street, Malden, MA 02148-4906</w:t>
      </w:r>
    </w:p>
    <w:p w14:paraId="77CAA7D1" w14:textId="77777777" w:rsidR="00111590" w:rsidRDefault="00111590" w:rsidP="00111590">
      <w:pPr>
        <w:pStyle w:val="arial9"/>
        <w:ind w:left="-2160" w:right="-115"/>
        <w:rPr>
          <w:rFonts w:asciiTheme="minorHAnsi" w:hAnsiTheme="minorHAnsi"/>
          <w:snapToGrid w:val="0"/>
          <w:sz w:val="20"/>
        </w:rPr>
      </w:pPr>
      <w:r w:rsidRPr="003C5942">
        <w:rPr>
          <w:rFonts w:asciiTheme="minorHAnsi" w:hAnsiTheme="minorHAnsi"/>
          <w:snapToGrid w:val="0"/>
          <w:sz w:val="20"/>
        </w:rPr>
        <w:t xml:space="preserve">Phone </w:t>
      </w:r>
      <w:r>
        <w:rPr>
          <w:rFonts w:asciiTheme="minorHAnsi" w:hAnsiTheme="minorHAnsi"/>
          <w:snapToGrid w:val="0"/>
          <w:sz w:val="20"/>
        </w:rPr>
        <w:t>781-338-3000</w:t>
      </w:r>
    </w:p>
    <w:p w14:paraId="3494F543" w14:textId="77777777" w:rsidR="00111590" w:rsidRDefault="00111590" w:rsidP="00111590">
      <w:pPr>
        <w:pStyle w:val="arial9"/>
        <w:ind w:left="-2160" w:right="-115"/>
        <w:rPr>
          <w:rFonts w:asciiTheme="minorHAnsi" w:hAnsiTheme="minorHAnsi"/>
          <w:snapToGrid w:val="0"/>
          <w:sz w:val="20"/>
        </w:rPr>
      </w:pPr>
      <w:r>
        <w:rPr>
          <w:rFonts w:asciiTheme="minorHAnsi" w:hAnsiTheme="minorHAnsi"/>
          <w:snapToGrid w:val="0"/>
          <w:sz w:val="20"/>
        </w:rPr>
        <w:t>TTY: N.E.T. Relay 800-439-2370</w:t>
      </w:r>
    </w:p>
    <w:p w14:paraId="5191DA63" w14:textId="77777777" w:rsidR="00111590" w:rsidRDefault="00286289" w:rsidP="00111590">
      <w:pPr>
        <w:pStyle w:val="arial9"/>
        <w:ind w:left="-2160" w:right="-115"/>
        <w:rPr>
          <w:rFonts w:asciiTheme="minorHAnsi" w:hAnsiTheme="minorHAnsi"/>
          <w:snapToGrid w:val="0"/>
          <w:sz w:val="20"/>
        </w:rPr>
      </w:pPr>
      <w:hyperlink r:id="rId13" w:history="1">
        <w:r w:rsidR="00111590" w:rsidRPr="007D427D">
          <w:rPr>
            <w:rStyle w:val="Hyperlink"/>
            <w:rFonts w:asciiTheme="minorHAnsi" w:hAnsiTheme="minorHAnsi"/>
            <w:snapToGrid w:val="0"/>
            <w:sz w:val="20"/>
          </w:rPr>
          <w:t>www.doe.mass.edu</w:t>
        </w:r>
      </w:hyperlink>
    </w:p>
    <w:p w14:paraId="6373FA01" w14:textId="77777777" w:rsidR="00111590" w:rsidRDefault="00111590">
      <w:pPr>
        <w:rPr>
          <w:rFonts w:eastAsia="Times New Roman" w:cs="Times New Roman"/>
          <w:snapToGrid w:val="0"/>
          <w:sz w:val="20"/>
          <w:szCs w:val="24"/>
        </w:rPr>
      </w:pPr>
      <w:r>
        <w:rPr>
          <w:snapToGrid w:val="0"/>
          <w:sz w:val="20"/>
        </w:rPr>
        <w:br w:type="page"/>
      </w:r>
    </w:p>
    <w:p w14:paraId="734AE3BC" w14:textId="77777777" w:rsidR="00111590" w:rsidRPr="00345DE2" w:rsidRDefault="00111590" w:rsidP="00C577C0">
      <w:pPr>
        <w:ind w:left="-2880"/>
      </w:pPr>
    </w:p>
    <w:p w14:paraId="1B0F884E" w14:textId="77777777" w:rsidR="00C577C0" w:rsidRPr="00B67363" w:rsidRDefault="00C577C0" w:rsidP="00C577C0">
      <w:pPr>
        <w:pStyle w:val="FinePrint"/>
        <w:ind w:left="-2880"/>
      </w:pPr>
      <w:r w:rsidRPr="00B67363">
        <w:t xml:space="preserve">This document was prepared by the </w:t>
      </w:r>
      <w:r w:rsidRPr="00B67363">
        <w:br/>
        <w:t>Massachusetts Department of Elementary and Secondary Education</w:t>
      </w:r>
    </w:p>
    <w:p w14:paraId="3DECC61E" w14:textId="77777777" w:rsidR="00C577C0" w:rsidRPr="00B67363" w:rsidRDefault="00C577C0" w:rsidP="00C577C0">
      <w:pPr>
        <w:pStyle w:val="FinePrint"/>
        <w:ind w:left="-2880"/>
      </w:pPr>
      <w:r w:rsidRPr="00B67363">
        <w:t>Jeffrey C. Riley</w:t>
      </w:r>
    </w:p>
    <w:p w14:paraId="3F794610" w14:textId="77777777" w:rsidR="00C577C0" w:rsidRPr="00B67363" w:rsidRDefault="00C577C0" w:rsidP="00C577C0">
      <w:pPr>
        <w:pStyle w:val="FinePrint"/>
        <w:ind w:left="-2880"/>
      </w:pPr>
      <w:r w:rsidRPr="00B67363">
        <w:t>Commissioner</w:t>
      </w:r>
    </w:p>
    <w:p w14:paraId="2A81B37F" w14:textId="77777777" w:rsidR="00C577C0" w:rsidRPr="00B67363" w:rsidRDefault="00C577C0" w:rsidP="00C577C0">
      <w:pPr>
        <w:pStyle w:val="FinePrint"/>
        <w:ind w:left="-2880"/>
      </w:pPr>
    </w:p>
    <w:p w14:paraId="4CCFE740" w14:textId="77777777" w:rsidR="00C577C0" w:rsidRPr="00B67363" w:rsidRDefault="00C577C0" w:rsidP="00C577C0">
      <w:pPr>
        <w:pStyle w:val="FinePrint"/>
        <w:ind w:left="-2880"/>
      </w:pPr>
      <w:r w:rsidRPr="00B67363">
        <w:t>The Massachusetts Department of Elementary and Secondary Education, an affirmative action employer, is committed to ensuring that all of its programs and facilities are accessible to all members of the public.</w:t>
      </w:r>
    </w:p>
    <w:p w14:paraId="5EE77377" w14:textId="77777777" w:rsidR="00C577C0" w:rsidRPr="00B67363" w:rsidRDefault="00C577C0" w:rsidP="00C577C0">
      <w:pPr>
        <w:pStyle w:val="FinePrint"/>
        <w:ind w:left="-2880"/>
      </w:pPr>
      <w:r w:rsidRPr="00B67363">
        <w:t>We do not discriminate on the basis of age, color, disability, national origin, race, religion, sex, gender identity, or sexual orientation.</w:t>
      </w:r>
    </w:p>
    <w:p w14:paraId="704587AD" w14:textId="77777777" w:rsidR="00C577C0" w:rsidRPr="00B67363" w:rsidRDefault="00C577C0" w:rsidP="00C577C0">
      <w:pPr>
        <w:pStyle w:val="FinePrint"/>
        <w:ind w:left="-2880"/>
      </w:pPr>
      <w:r w:rsidRPr="00B67363">
        <w:t>Inquiries regarding the Department’s compliance with Title IX and other civil rights laws may be directed to the</w:t>
      </w:r>
    </w:p>
    <w:p w14:paraId="3672E3D2" w14:textId="77777777" w:rsidR="00C577C0" w:rsidRPr="00B67363" w:rsidRDefault="00C577C0" w:rsidP="00C577C0">
      <w:pPr>
        <w:pStyle w:val="FinePrint"/>
        <w:ind w:left="-2880"/>
      </w:pPr>
      <w:r w:rsidRPr="00B67363">
        <w:t>Human Resources Director, 75 Pleasant St., Malden, MA 02148-4906. Phone: 781-338-6105.</w:t>
      </w:r>
    </w:p>
    <w:p w14:paraId="709ABF63" w14:textId="77777777" w:rsidR="00C577C0" w:rsidRPr="00B67363" w:rsidRDefault="00C577C0" w:rsidP="00C577C0">
      <w:pPr>
        <w:pStyle w:val="FinePrint"/>
        <w:ind w:left="-2880"/>
      </w:pPr>
    </w:p>
    <w:p w14:paraId="7BAD1978" w14:textId="77777777" w:rsidR="00C577C0" w:rsidRPr="00B67363" w:rsidRDefault="00C577C0" w:rsidP="00C577C0">
      <w:pPr>
        <w:pStyle w:val="FinePrint"/>
        <w:ind w:left="-2880"/>
      </w:pPr>
    </w:p>
    <w:p w14:paraId="3AB70F00" w14:textId="77777777" w:rsidR="00C577C0" w:rsidRPr="00B67363" w:rsidRDefault="00C577C0" w:rsidP="00C577C0">
      <w:pPr>
        <w:pStyle w:val="FinePrint"/>
        <w:ind w:left="-2880"/>
      </w:pPr>
      <w:r>
        <w:t>© 2019</w:t>
      </w:r>
      <w:r w:rsidRPr="00B67363">
        <w:t xml:space="preserve"> Massachusetts Department of Elementary and Secondary Education</w:t>
      </w:r>
    </w:p>
    <w:p w14:paraId="1BC736F6" w14:textId="77777777" w:rsidR="00C577C0" w:rsidRPr="00B67363" w:rsidRDefault="00C577C0" w:rsidP="00C577C0">
      <w:pPr>
        <w:pStyle w:val="FinePrint"/>
        <w:ind w:left="-2880"/>
      </w:pPr>
      <w:r w:rsidRPr="00B67363">
        <w:t>Permission is hereby granted to copy any or all parts of this document for non-commercial educational purposes. Please credit the “Massachusetts Department of Elementary and Secondary Education.”</w:t>
      </w:r>
    </w:p>
    <w:p w14:paraId="44944B8A" w14:textId="77777777" w:rsidR="00C577C0" w:rsidRPr="00B67363" w:rsidRDefault="00C577C0" w:rsidP="00C577C0">
      <w:pPr>
        <w:pStyle w:val="FinePrint"/>
        <w:ind w:left="-2880"/>
      </w:pPr>
    </w:p>
    <w:p w14:paraId="0822D49D" w14:textId="77777777" w:rsidR="00C577C0" w:rsidRPr="00B67363" w:rsidRDefault="00C577C0" w:rsidP="00C577C0">
      <w:pPr>
        <w:pStyle w:val="FinePrint"/>
        <w:ind w:left="-2880"/>
      </w:pPr>
    </w:p>
    <w:p w14:paraId="3B433898" w14:textId="77777777" w:rsidR="00C577C0" w:rsidRPr="00B67363" w:rsidRDefault="00C577C0" w:rsidP="00C577C0">
      <w:pPr>
        <w:pStyle w:val="FinePrint"/>
        <w:ind w:left="-2880"/>
      </w:pPr>
      <w:r w:rsidRPr="00B67363">
        <w:t>This document printed on recycled paper</w:t>
      </w:r>
    </w:p>
    <w:p w14:paraId="1CDEE37B" w14:textId="77777777" w:rsidR="00C577C0" w:rsidRPr="00B67363" w:rsidRDefault="00C577C0" w:rsidP="00C577C0">
      <w:pPr>
        <w:pStyle w:val="FinePrint"/>
        <w:ind w:left="-2880"/>
      </w:pPr>
    </w:p>
    <w:p w14:paraId="2DC9AB5E" w14:textId="77777777" w:rsidR="00C577C0" w:rsidRPr="00B67363" w:rsidRDefault="00C577C0" w:rsidP="00C577C0">
      <w:pPr>
        <w:pStyle w:val="FinePrint"/>
        <w:ind w:left="-2880"/>
      </w:pPr>
    </w:p>
    <w:p w14:paraId="2CC00C24" w14:textId="77777777" w:rsidR="00C577C0" w:rsidRPr="00B67363" w:rsidRDefault="00C577C0" w:rsidP="00C577C0">
      <w:pPr>
        <w:pStyle w:val="FinePrint"/>
        <w:ind w:left="-2880"/>
      </w:pPr>
      <w:r w:rsidRPr="00B67363">
        <w:t>Massachusetts Department of Elementary and Secondary Education</w:t>
      </w:r>
    </w:p>
    <w:p w14:paraId="5E9E967F" w14:textId="77777777" w:rsidR="00C577C0" w:rsidRPr="00B67363" w:rsidRDefault="00C577C0" w:rsidP="00C577C0">
      <w:pPr>
        <w:pStyle w:val="FinePrint"/>
        <w:ind w:left="-2880"/>
      </w:pPr>
      <w:r w:rsidRPr="00B67363">
        <w:t>75 Pleasant Street, Malden, MA 02148-4906</w:t>
      </w:r>
    </w:p>
    <w:p w14:paraId="050062AD" w14:textId="77777777" w:rsidR="00C577C0" w:rsidRPr="00B67363" w:rsidRDefault="00C577C0" w:rsidP="00C577C0">
      <w:pPr>
        <w:pStyle w:val="FinePrint"/>
        <w:ind w:left="-2880"/>
      </w:pPr>
      <w:r w:rsidRPr="00B67363">
        <w:t>Phone 781-338-3000  TTY: N.E.T. Relay 800-439-2370</w:t>
      </w:r>
    </w:p>
    <w:p w14:paraId="7AD646D5" w14:textId="77777777" w:rsidR="00C577C0" w:rsidRPr="00B67363" w:rsidRDefault="00286289" w:rsidP="00C577C0">
      <w:pPr>
        <w:pStyle w:val="FinePrint"/>
        <w:ind w:left="-2880"/>
      </w:pPr>
      <w:hyperlink r:id="rId14" w:history="1">
        <w:r w:rsidR="00C577C0" w:rsidRPr="00B67363">
          <w:rPr>
            <w:rStyle w:val="Hyperlink"/>
          </w:rPr>
          <w:t>www.doe.mass.edu</w:t>
        </w:r>
      </w:hyperlink>
    </w:p>
    <w:p w14:paraId="09685E3B" w14:textId="77777777" w:rsidR="00C577C0" w:rsidRDefault="00C577C0" w:rsidP="00C577C0">
      <w:pPr>
        <w:pStyle w:val="FinePrint"/>
        <w:ind w:left="-2880"/>
      </w:pPr>
    </w:p>
    <w:p w14:paraId="03F3B2DD" w14:textId="77777777" w:rsidR="00C577C0" w:rsidRDefault="00C577C0" w:rsidP="00C577C0">
      <w:pPr>
        <w:pStyle w:val="Table"/>
        <w:ind w:left="-2880"/>
      </w:pPr>
    </w:p>
    <w:p w14:paraId="372168F4" w14:textId="77777777" w:rsidR="00C577C0" w:rsidRDefault="00C577C0" w:rsidP="00C577C0">
      <w:pPr>
        <w:pStyle w:val="Table"/>
        <w:ind w:left="-2880"/>
        <w:jc w:val="center"/>
      </w:pPr>
      <w:r w:rsidRPr="006D5D2F">
        <w:rPr>
          <w:noProof/>
          <w:lang w:eastAsia="zh-CN" w:bidi="ar-SA"/>
        </w:rPr>
        <w:drawing>
          <wp:inline distT="0" distB="0" distL="0" distR="0" wp14:anchorId="39D2489D" wp14:editId="533882CE">
            <wp:extent cx="1028700" cy="1019175"/>
            <wp:effectExtent l="19050" t="0" r="0" b="0"/>
            <wp:docPr id="7" name="Picture 7"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5" cstate="print"/>
                    <a:srcRect/>
                    <a:stretch>
                      <a:fillRect/>
                    </a:stretch>
                  </pic:blipFill>
                  <pic:spPr bwMode="auto">
                    <a:xfrm>
                      <a:off x="0" y="0"/>
                      <a:ext cx="1028700" cy="1019175"/>
                    </a:xfrm>
                    <a:prstGeom prst="rect">
                      <a:avLst/>
                    </a:prstGeom>
                    <a:noFill/>
                    <a:ln w="9525">
                      <a:noFill/>
                      <a:miter lim="800000"/>
                      <a:headEnd/>
                      <a:tailEnd/>
                    </a:ln>
                  </pic:spPr>
                </pic:pic>
              </a:graphicData>
            </a:graphic>
          </wp:inline>
        </w:drawing>
      </w:r>
    </w:p>
    <w:p w14:paraId="17C439FA" w14:textId="77777777" w:rsidR="002F257C" w:rsidRDefault="002F257C" w:rsidP="00111590">
      <w:pPr>
        <w:rPr>
          <w:b/>
          <w:sz w:val="28"/>
        </w:rPr>
        <w:sectPr w:rsidR="002F257C" w:rsidSect="002F257C">
          <w:pgSz w:w="12240" w:h="15840"/>
          <w:pgMar w:top="1440" w:right="1440" w:bottom="1440" w:left="4320" w:header="720" w:footer="720" w:gutter="0"/>
          <w:cols w:space="720"/>
          <w:titlePg/>
          <w:docGrid w:linePitch="360"/>
        </w:sectPr>
      </w:pPr>
    </w:p>
    <w:sdt>
      <w:sdtPr>
        <w:rPr>
          <w:rFonts w:asciiTheme="minorHAnsi" w:eastAsiaTheme="minorHAnsi" w:hAnsiTheme="minorHAnsi" w:cstheme="minorBidi"/>
          <w:color w:val="auto"/>
          <w:sz w:val="22"/>
          <w:szCs w:val="22"/>
        </w:rPr>
        <w:id w:val="-138729124"/>
        <w:docPartObj>
          <w:docPartGallery w:val="Table of Contents"/>
          <w:docPartUnique/>
        </w:docPartObj>
      </w:sdtPr>
      <w:sdtEndPr>
        <w:rPr>
          <w:b/>
          <w:bCs/>
          <w:noProof/>
        </w:rPr>
      </w:sdtEndPr>
      <w:sdtContent>
        <w:p w14:paraId="5DF0DD6C" w14:textId="77777777" w:rsidR="0011279F" w:rsidRPr="005A2C10" w:rsidRDefault="0011279F" w:rsidP="005A2C10">
          <w:pPr>
            <w:pStyle w:val="TOCHeading"/>
            <w:pBdr>
              <w:bottom w:val="single" w:sz="36" w:space="1" w:color="auto"/>
            </w:pBdr>
            <w:rPr>
              <w:rFonts w:ascii="Arial" w:eastAsia="Times New Roman" w:hAnsi="Arial" w:cs="Arial"/>
              <w:b/>
              <w:color w:val="auto"/>
            </w:rPr>
          </w:pPr>
          <w:r w:rsidRPr="005A2C10">
            <w:rPr>
              <w:rFonts w:ascii="Arial" w:eastAsia="Times New Roman" w:hAnsi="Arial" w:cs="Arial"/>
              <w:b/>
              <w:color w:val="auto"/>
            </w:rPr>
            <w:t>Contents</w:t>
          </w:r>
        </w:p>
        <w:p w14:paraId="15734AAB" w14:textId="0D428516" w:rsidR="00713DBF" w:rsidRDefault="0011279F">
          <w:pPr>
            <w:pStyle w:val="TOC1"/>
            <w:tabs>
              <w:tab w:val="right" w:leader="dot" w:pos="6470"/>
            </w:tabs>
            <w:rPr>
              <w:rFonts w:cstheme="minorBidi"/>
              <w:noProof/>
            </w:rPr>
          </w:pPr>
          <w:r w:rsidRPr="00FF4316">
            <w:rPr>
              <w:sz w:val="20"/>
              <w:szCs w:val="20"/>
            </w:rPr>
            <w:fldChar w:fldCharType="begin"/>
          </w:r>
          <w:r w:rsidRPr="00FF4316">
            <w:rPr>
              <w:sz w:val="20"/>
              <w:szCs w:val="20"/>
            </w:rPr>
            <w:instrText xml:space="preserve"> TOC \o "1-3" \h \z \u </w:instrText>
          </w:r>
          <w:r w:rsidRPr="00FF4316">
            <w:rPr>
              <w:sz w:val="20"/>
              <w:szCs w:val="20"/>
            </w:rPr>
            <w:fldChar w:fldCharType="separate"/>
          </w:r>
          <w:hyperlink w:anchor="_Toc2324590" w:history="1">
            <w:r w:rsidR="00713DBF" w:rsidRPr="00D15468">
              <w:rPr>
                <w:rStyle w:val="Hyperlink"/>
                <w:noProof/>
              </w:rPr>
              <w:t>Introduction</w:t>
            </w:r>
            <w:r w:rsidR="00713DBF">
              <w:rPr>
                <w:noProof/>
                <w:webHidden/>
              </w:rPr>
              <w:tab/>
            </w:r>
            <w:r w:rsidR="00713DBF">
              <w:rPr>
                <w:noProof/>
                <w:webHidden/>
              </w:rPr>
              <w:fldChar w:fldCharType="begin"/>
            </w:r>
            <w:r w:rsidR="00713DBF">
              <w:rPr>
                <w:noProof/>
                <w:webHidden/>
              </w:rPr>
              <w:instrText xml:space="preserve"> PAGEREF _Toc2324590 \h </w:instrText>
            </w:r>
            <w:r w:rsidR="00713DBF">
              <w:rPr>
                <w:noProof/>
                <w:webHidden/>
              </w:rPr>
            </w:r>
            <w:r w:rsidR="00713DBF">
              <w:rPr>
                <w:noProof/>
                <w:webHidden/>
              </w:rPr>
              <w:fldChar w:fldCharType="separate"/>
            </w:r>
            <w:r w:rsidR="00713DBF">
              <w:rPr>
                <w:noProof/>
                <w:webHidden/>
              </w:rPr>
              <w:t>1</w:t>
            </w:r>
            <w:r w:rsidR="00713DBF">
              <w:rPr>
                <w:noProof/>
                <w:webHidden/>
              </w:rPr>
              <w:fldChar w:fldCharType="end"/>
            </w:r>
          </w:hyperlink>
        </w:p>
        <w:p w14:paraId="03043BBF" w14:textId="0DCBD285" w:rsidR="00713DBF" w:rsidRDefault="00286289">
          <w:pPr>
            <w:pStyle w:val="TOC1"/>
            <w:tabs>
              <w:tab w:val="right" w:leader="dot" w:pos="6470"/>
            </w:tabs>
            <w:rPr>
              <w:rFonts w:cstheme="minorBidi"/>
              <w:noProof/>
            </w:rPr>
          </w:pPr>
          <w:hyperlink w:anchor="_Toc2324591" w:history="1">
            <w:r w:rsidR="00713DBF" w:rsidRPr="00D15468">
              <w:rPr>
                <w:rStyle w:val="Hyperlink"/>
                <w:noProof/>
              </w:rPr>
              <w:t>Executive summary of virtual school performance</w:t>
            </w:r>
            <w:r w:rsidR="00713DBF">
              <w:rPr>
                <w:noProof/>
                <w:webHidden/>
              </w:rPr>
              <w:tab/>
            </w:r>
            <w:r w:rsidR="00713DBF">
              <w:rPr>
                <w:noProof/>
                <w:webHidden/>
              </w:rPr>
              <w:fldChar w:fldCharType="begin"/>
            </w:r>
            <w:r w:rsidR="00713DBF">
              <w:rPr>
                <w:noProof/>
                <w:webHidden/>
              </w:rPr>
              <w:instrText xml:space="preserve"> PAGEREF _Toc2324591 \h </w:instrText>
            </w:r>
            <w:r w:rsidR="00713DBF">
              <w:rPr>
                <w:noProof/>
                <w:webHidden/>
              </w:rPr>
            </w:r>
            <w:r w:rsidR="00713DBF">
              <w:rPr>
                <w:noProof/>
                <w:webHidden/>
              </w:rPr>
              <w:fldChar w:fldCharType="separate"/>
            </w:r>
            <w:r w:rsidR="00713DBF">
              <w:rPr>
                <w:noProof/>
                <w:webHidden/>
              </w:rPr>
              <w:t>1</w:t>
            </w:r>
            <w:r w:rsidR="00713DBF">
              <w:rPr>
                <w:noProof/>
                <w:webHidden/>
              </w:rPr>
              <w:fldChar w:fldCharType="end"/>
            </w:r>
          </w:hyperlink>
        </w:p>
        <w:p w14:paraId="5474B5A6" w14:textId="2C78C5B7" w:rsidR="00713DBF" w:rsidRDefault="00286289">
          <w:pPr>
            <w:pStyle w:val="TOC1"/>
            <w:tabs>
              <w:tab w:val="right" w:leader="dot" w:pos="6470"/>
            </w:tabs>
            <w:rPr>
              <w:rFonts w:cstheme="minorBidi"/>
              <w:noProof/>
            </w:rPr>
          </w:pPr>
          <w:hyperlink w:anchor="_Toc2324592" w:history="1">
            <w:r w:rsidR="00713DBF" w:rsidRPr="00D15468">
              <w:rPr>
                <w:rStyle w:val="Hyperlink"/>
                <w:noProof/>
              </w:rPr>
              <w:t>Accountability ratings</w:t>
            </w:r>
            <w:r w:rsidR="00713DBF">
              <w:rPr>
                <w:noProof/>
                <w:webHidden/>
              </w:rPr>
              <w:tab/>
            </w:r>
            <w:r w:rsidR="00713DBF">
              <w:rPr>
                <w:noProof/>
                <w:webHidden/>
              </w:rPr>
              <w:fldChar w:fldCharType="begin"/>
            </w:r>
            <w:r w:rsidR="00713DBF">
              <w:rPr>
                <w:noProof/>
                <w:webHidden/>
              </w:rPr>
              <w:instrText xml:space="preserve"> PAGEREF _Toc2324592 \h </w:instrText>
            </w:r>
            <w:r w:rsidR="00713DBF">
              <w:rPr>
                <w:noProof/>
                <w:webHidden/>
              </w:rPr>
            </w:r>
            <w:r w:rsidR="00713DBF">
              <w:rPr>
                <w:noProof/>
                <w:webHidden/>
              </w:rPr>
              <w:fldChar w:fldCharType="separate"/>
            </w:r>
            <w:r w:rsidR="00713DBF">
              <w:rPr>
                <w:noProof/>
                <w:webHidden/>
              </w:rPr>
              <w:t>2</w:t>
            </w:r>
            <w:r w:rsidR="00713DBF">
              <w:rPr>
                <w:noProof/>
                <w:webHidden/>
              </w:rPr>
              <w:fldChar w:fldCharType="end"/>
            </w:r>
          </w:hyperlink>
        </w:p>
        <w:p w14:paraId="1C69820B" w14:textId="20905260" w:rsidR="00713DBF" w:rsidRDefault="00286289">
          <w:pPr>
            <w:pStyle w:val="TOC1"/>
            <w:tabs>
              <w:tab w:val="right" w:leader="dot" w:pos="6470"/>
            </w:tabs>
            <w:rPr>
              <w:rFonts w:cstheme="minorBidi"/>
              <w:noProof/>
            </w:rPr>
          </w:pPr>
          <w:hyperlink w:anchor="_Toc2324593" w:history="1">
            <w:r w:rsidR="00713DBF" w:rsidRPr="00D15468">
              <w:rPr>
                <w:rStyle w:val="Hyperlink"/>
                <w:noProof/>
              </w:rPr>
              <w:t>School history and amendments</w:t>
            </w:r>
            <w:r w:rsidR="00713DBF">
              <w:rPr>
                <w:noProof/>
                <w:webHidden/>
              </w:rPr>
              <w:tab/>
            </w:r>
            <w:r w:rsidR="00713DBF">
              <w:rPr>
                <w:noProof/>
                <w:webHidden/>
              </w:rPr>
              <w:fldChar w:fldCharType="begin"/>
            </w:r>
            <w:r w:rsidR="00713DBF">
              <w:rPr>
                <w:noProof/>
                <w:webHidden/>
              </w:rPr>
              <w:instrText xml:space="preserve"> PAGEREF _Toc2324593 \h </w:instrText>
            </w:r>
            <w:r w:rsidR="00713DBF">
              <w:rPr>
                <w:noProof/>
                <w:webHidden/>
              </w:rPr>
            </w:r>
            <w:r w:rsidR="00713DBF">
              <w:rPr>
                <w:noProof/>
                <w:webHidden/>
              </w:rPr>
              <w:fldChar w:fldCharType="separate"/>
            </w:r>
            <w:r w:rsidR="00713DBF">
              <w:rPr>
                <w:noProof/>
                <w:webHidden/>
              </w:rPr>
              <w:t>3</w:t>
            </w:r>
            <w:r w:rsidR="00713DBF">
              <w:rPr>
                <w:noProof/>
                <w:webHidden/>
              </w:rPr>
              <w:fldChar w:fldCharType="end"/>
            </w:r>
          </w:hyperlink>
        </w:p>
        <w:p w14:paraId="16AE9739" w14:textId="7156DFC5" w:rsidR="00713DBF" w:rsidRDefault="00286289">
          <w:pPr>
            <w:pStyle w:val="TOC1"/>
            <w:tabs>
              <w:tab w:val="right" w:leader="dot" w:pos="6470"/>
            </w:tabs>
            <w:rPr>
              <w:rFonts w:cstheme="minorBidi"/>
              <w:noProof/>
            </w:rPr>
          </w:pPr>
          <w:hyperlink w:anchor="_Toc2324594" w:history="1">
            <w:r w:rsidR="00713DBF" w:rsidRPr="00D15468">
              <w:rPr>
                <w:rStyle w:val="Hyperlink"/>
                <w:noProof/>
              </w:rPr>
              <w:t>Areas of accountability</w:t>
            </w:r>
            <w:r w:rsidR="00713DBF">
              <w:rPr>
                <w:noProof/>
                <w:webHidden/>
              </w:rPr>
              <w:tab/>
            </w:r>
            <w:r w:rsidR="00713DBF">
              <w:rPr>
                <w:noProof/>
                <w:webHidden/>
              </w:rPr>
              <w:fldChar w:fldCharType="begin"/>
            </w:r>
            <w:r w:rsidR="00713DBF">
              <w:rPr>
                <w:noProof/>
                <w:webHidden/>
              </w:rPr>
              <w:instrText xml:space="preserve"> PAGEREF _Toc2324594 \h </w:instrText>
            </w:r>
            <w:r w:rsidR="00713DBF">
              <w:rPr>
                <w:noProof/>
                <w:webHidden/>
              </w:rPr>
            </w:r>
            <w:r w:rsidR="00713DBF">
              <w:rPr>
                <w:noProof/>
                <w:webHidden/>
              </w:rPr>
              <w:fldChar w:fldCharType="separate"/>
            </w:r>
            <w:r w:rsidR="00713DBF">
              <w:rPr>
                <w:noProof/>
                <w:webHidden/>
              </w:rPr>
              <w:t>6</w:t>
            </w:r>
            <w:r w:rsidR="00713DBF">
              <w:rPr>
                <w:noProof/>
                <w:webHidden/>
              </w:rPr>
              <w:fldChar w:fldCharType="end"/>
            </w:r>
          </w:hyperlink>
        </w:p>
        <w:p w14:paraId="42EC142A" w14:textId="2530C217" w:rsidR="00713DBF" w:rsidRDefault="00286289">
          <w:pPr>
            <w:pStyle w:val="TOC1"/>
            <w:tabs>
              <w:tab w:val="right" w:leader="dot" w:pos="6470"/>
            </w:tabs>
            <w:rPr>
              <w:rFonts w:cstheme="minorBidi"/>
              <w:noProof/>
            </w:rPr>
          </w:pPr>
          <w:hyperlink w:anchor="_Toc2324595" w:history="1">
            <w:r w:rsidR="00713DBF" w:rsidRPr="00D15468">
              <w:rPr>
                <w:rStyle w:val="Hyperlink"/>
                <w:noProof/>
              </w:rPr>
              <w:t>Appendix A: Accountability plan performance</w:t>
            </w:r>
            <w:r w:rsidR="00713DBF">
              <w:rPr>
                <w:noProof/>
                <w:webHidden/>
              </w:rPr>
              <w:tab/>
            </w:r>
            <w:r w:rsidR="00713DBF">
              <w:rPr>
                <w:noProof/>
                <w:webHidden/>
              </w:rPr>
              <w:fldChar w:fldCharType="begin"/>
            </w:r>
            <w:r w:rsidR="00713DBF">
              <w:rPr>
                <w:noProof/>
                <w:webHidden/>
              </w:rPr>
              <w:instrText xml:space="preserve"> PAGEREF _Toc2324595 \h </w:instrText>
            </w:r>
            <w:r w:rsidR="00713DBF">
              <w:rPr>
                <w:noProof/>
                <w:webHidden/>
              </w:rPr>
            </w:r>
            <w:r w:rsidR="00713DBF">
              <w:rPr>
                <w:noProof/>
                <w:webHidden/>
              </w:rPr>
              <w:fldChar w:fldCharType="separate"/>
            </w:r>
            <w:r w:rsidR="00713DBF">
              <w:rPr>
                <w:noProof/>
                <w:webHidden/>
              </w:rPr>
              <w:t>12</w:t>
            </w:r>
            <w:r w:rsidR="00713DBF">
              <w:rPr>
                <w:noProof/>
                <w:webHidden/>
              </w:rPr>
              <w:fldChar w:fldCharType="end"/>
            </w:r>
          </w:hyperlink>
        </w:p>
        <w:p w14:paraId="75CE5A68" w14:textId="2B9FE04E" w:rsidR="00713DBF" w:rsidRDefault="00286289">
          <w:pPr>
            <w:pStyle w:val="TOC1"/>
            <w:tabs>
              <w:tab w:val="right" w:leader="dot" w:pos="6470"/>
            </w:tabs>
            <w:rPr>
              <w:rFonts w:cstheme="minorBidi"/>
              <w:noProof/>
            </w:rPr>
          </w:pPr>
          <w:hyperlink w:anchor="_Toc2324596" w:history="1">
            <w:r w:rsidR="00713DBF" w:rsidRPr="00D15468">
              <w:rPr>
                <w:rStyle w:val="Hyperlink"/>
                <w:noProof/>
              </w:rPr>
              <w:t>Appendix B: Demographic information</w:t>
            </w:r>
            <w:r w:rsidR="00713DBF">
              <w:rPr>
                <w:noProof/>
                <w:webHidden/>
              </w:rPr>
              <w:tab/>
            </w:r>
            <w:r w:rsidR="00713DBF">
              <w:rPr>
                <w:noProof/>
                <w:webHidden/>
              </w:rPr>
              <w:fldChar w:fldCharType="begin"/>
            </w:r>
            <w:r w:rsidR="00713DBF">
              <w:rPr>
                <w:noProof/>
                <w:webHidden/>
              </w:rPr>
              <w:instrText xml:space="preserve"> PAGEREF _Toc2324596 \h </w:instrText>
            </w:r>
            <w:r w:rsidR="00713DBF">
              <w:rPr>
                <w:noProof/>
                <w:webHidden/>
              </w:rPr>
            </w:r>
            <w:r w:rsidR="00713DBF">
              <w:rPr>
                <w:noProof/>
                <w:webHidden/>
              </w:rPr>
              <w:fldChar w:fldCharType="separate"/>
            </w:r>
            <w:r w:rsidR="00713DBF">
              <w:rPr>
                <w:noProof/>
                <w:webHidden/>
              </w:rPr>
              <w:t>16</w:t>
            </w:r>
            <w:r w:rsidR="00713DBF">
              <w:rPr>
                <w:noProof/>
                <w:webHidden/>
              </w:rPr>
              <w:fldChar w:fldCharType="end"/>
            </w:r>
          </w:hyperlink>
        </w:p>
        <w:p w14:paraId="086F4F1B" w14:textId="615DE5BD" w:rsidR="00713DBF" w:rsidRDefault="00286289">
          <w:pPr>
            <w:pStyle w:val="TOC1"/>
            <w:tabs>
              <w:tab w:val="right" w:leader="dot" w:pos="6470"/>
            </w:tabs>
            <w:rPr>
              <w:rFonts w:cstheme="minorBidi"/>
              <w:noProof/>
            </w:rPr>
          </w:pPr>
          <w:hyperlink w:anchor="_Toc2324597" w:history="1">
            <w:r w:rsidR="00713DBF" w:rsidRPr="00D15468">
              <w:rPr>
                <w:rStyle w:val="Hyperlink"/>
                <w:noProof/>
              </w:rPr>
              <w:t>Appendix C: Academic data</w:t>
            </w:r>
            <w:r w:rsidR="00713DBF">
              <w:rPr>
                <w:noProof/>
                <w:webHidden/>
              </w:rPr>
              <w:tab/>
            </w:r>
            <w:r w:rsidR="00713DBF">
              <w:rPr>
                <w:noProof/>
                <w:webHidden/>
              </w:rPr>
              <w:fldChar w:fldCharType="begin"/>
            </w:r>
            <w:r w:rsidR="00713DBF">
              <w:rPr>
                <w:noProof/>
                <w:webHidden/>
              </w:rPr>
              <w:instrText xml:space="preserve"> PAGEREF _Toc2324597 \h </w:instrText>
            </w:r>
            <w:r w:rsidR="00713DBF">
              <w:rPr>
                <w:noProof/>
                <w:webHidden/>
              </w:rPr>
            </w:r>
            <w:r w:rsidR="00713DBF">
              <w:rPr>
                <w:noProof/>
                <w:webHidden/>
              </w:rPr>
              <w:fldChar w:fldCharType="separate"/>
            </w:r>
            <w:r w:rsidR="00713DBF">
              <w:rPr>
                <w:noProof/>
                <w:webHidden/>
              </w:rPr>
              <w:t>17</w:t>
            </w:r>
            <w:r w:rsidR="00713DBF">
              <w:rPr>
                <w:noProof/>
                <w:webHidden/>
              </w:rPr>
              <w:fldChar w:fldCharType="end"/>
            </w:r>
          </w:hyperlink>
        </w:p>
        <w:p w14:paraId="313A7415" w14:textId="1D49A293" w:rsidR="00713DBF" w:rsidRDefault="00286289">
          <w:pPr>
            <w:pStyle w:val="TOC1"/>
            <w:tabs>
              <w:tab w:val="right" w:leader="dot" w:pos="6470"/>
            </w:tabs>
            <w:rPr>
              <w:rFonts w:cstheme="minorBidi"/>
              <w:noProof/>
            </w:rPr>
          </w:pPr>
          <w:hyperlink w:anchor="_Toc2324598" w:history="1">
            <w:r w:rsidR="00713DBF" w:rsidRPr="00D15468">
              <w:rPr>
                <w:rStyle w:val="Hyperlink"/>
                <w:noProof/>
              </w:rPr>
              <w:t>Appendix D: Five-year Financial Summary</w:t>
            </w:r>
            <w:r w:rsidR="00713DBF">
              <w:rPr>
                <w:noProof/>
                <w:webHidden/>
              </w:rPr>
              <w:tab/>
            </w:r>
            <w:r w:rsidR="00713DBF">
              <w:rPr>
                <w:noProof/>
                <w:webHidden/>
              </w:rPr>
              <w:fldChar w:fldCharType="begin"/>
            </w:r>
            <w:r w:rsidR="00713DBF">
              <w:rPr>
                <w:noProof/>
                <w:webHidden/>
              </w:rPr>
              <w:instrText xml:space="preserve"> PAGEREF _Toc2324598 \h </w:instrText>
            </w:r>
            <w:r w:rsidR="00713DBF">
              <w:rPr>
                <w:noProof/>
                <w:webHidden/>
              </w:rPr>
            </w:r>
            <w:r w:rsidR="00713DBF">
              <w:rPr>
                <w:noProof/>
                <w:webHidden/>
              </w:rPr>
              <w:fldChar w:fldCharType="separate"/>
            </w:r>
            <w:r w:rsidR="00713DBF">
              <w:rPr>
                <w:noProof/>
                <w:webHidden/>
              </w:rPr>
              <w:t>22</w:t>
            </w:r>
            <w:r w:rsidR="00713DBF">
              <w:rPr>
                <w:noProof/>
                <w:webHidden/>
              </w:rPr>
              <w:fldChar w:fldCharType="end"/>
            </w:r>
          </w:hyperlink>
        </w:p>
        <w:p w14:paraId="2A842917" w14:textId="4CF2E4FD" w:rsidR="00713DBF" w:rsidRDefault="00286289">
          <w:pPr>
            <w:pStyle w:val="TOC1"/>
            <w:tabs>
              <w:tab w:val="right" w:leader="dot" w:pos="6470"/>
            </w:tabs>
            <w:rPr>
              <w:rFonts w:cstheme="minorBidi"/>
              <w:noProof/>
            </w:rPr>
          </w:pPr>
          <w:hyperlink w:anchor="_Toc2324599" w:history="1">
            <w:r w:rsidR="00713DBF" w:rsidRPr="00D15468">
              <w:rPr>
                <w:rStyle w:val="Hyperlink"/>
                <w:noProof/>
              </w:rPr>
              <w:t>Appendix E: School’s Response to Summary of Review</w:t>
            </w:r>
            <w:r w:rsidR="00713DBF">
              <w:rPr>
                <w:noProof/>
                <w:webHidden/>
              </w:rPr>
              <w:tab/>
            </w:r>
            <w:r w:rsidR="00713DBF">
              <w:rPr>
                <w:noProof/>
                <w:webHidden/>
              </w:rPr>
              <w:fldChar w:fldCharType="begin"/>
            </w:r>
            <w:r w:rsidR="00713DBF">
              <w:rPr>
                <w:noProof/>
                <w:webHidden/>
              </w:rPr>
              <w:instrText xml:space="preserve"> PAGEREF _Toc2324599 \h </w:instrText>
            </w:r>
            <w:r w:rsidR="00713DBF">
              <w:rPr>
                <w:noProof/>
                <w:webHidden/>
              </w:rPr>
            </w:r>
            <w:r w:rsidR="00713DBF">
              <w:rPr>
                <w:noProof/>
                <w:webHidden/>
              </w:rPr>
              <w:fldChar w:fldCharType="separate"/>
            </w:r>
            <w:r w:rsidR="00713DBF">
              <w:rPr>
                <w:noProof/>
                <w:webHidden/>
              </w:rPr>
              <w:t>23</w:t>
            </w:r>
            <w:r w:rsidR="00713DBF">
              <w:rPr>
                <w:noProof/>
                <w:webHidden/>
              </w:rPr>
              <w:fldChar w:fldCharType="end"/>
            </w:r>
          </w:hyperlink>
        </w:p>
        <w:p w14:paraId="5F1DCC67" w14:textId="49ABE2F0" w:rsidR="0011279F" w:rsidRDefault="0011279F">
          <w:r w:rsidRPr="00FF4316">
            <w:rPr>
              <w:b/>
              <w:bCs/>
              <w:noProof/>
              <w:sz w:val="20"/>
              <w:szCs w:val="20"/>
            </w:rPr>
            <w:fldChar w:fldCharType="end"/>
          </w:r>
        </w:p>
      </w:sdtContent>
    </w:sdt>
    <w:p w14:paraId="0AACF5B6" w14:textId="757DA452" w:rsidR="000D0CB4" w:rsidRDefault="009015A9" w:rsidP="00111590">
      <w:pPr>
        <w:rPr>
          <w:b/>
          <w:sz w:val="28"/>
        </w:rPr>
      </w:pPr>
      <w:r>
        <w:rPr>
          <w:b/>
          <w:sz w:val="28"/>
        </w:rPr>
        <w:br w:type="page"/>
      </w:r>
    </w:p>
    <w:p w14:paraId="1AFE2355" w14:textId="77777777" w:rsidR="00713DBF" w:rsidRDefault="00713DBF" w:rsidP="0019721D">
      <w:pPr>
        <w:pStyle w:val="Heading1"/>
        <w:ind w:left="-2880"/>
        <w:sectPr w:rsidR="00713DBF" w:rsidSect="002F257C">
          <w:headerReference w:type="default" r:id="rId16"/>
          <w:footerReference w:type="default" r:id="rId17"/>
          <w:headerReference w:type="first" r:id="rId18"/>
          <w:footerReference w:type="first" r:id="rId19"/>
          <w:pgSz w:w="12240" w:h="15840"/>
          <w:pgMar w:top="1440" w:right="1440" w:bottom="1440" w:left="4320" w:header="720" w:footer="720" w:gutter="0"/>
          <w:pgNumType w:start="1"/>
          <w:cols w:space="720"/>
          <w:titlePg/>
          <w:docGrid w:linePitch="360"/>
        </w:sectPr>
      </w:pPr>
    </w:p>
    <w:p w14:paraId="285AF75F" w14:textId="615F2AE9" w:rsidR="00D261FF" w:rsidRPr="00E5713E" w:rsidRDefault="00D261FF" w:rsidP="0019721D">
      <w:pPr>
        <w:pStyle w:val="Heading1"/>
        <w:ind w:left="-2880"/>
      </w:pPr>
      <w:bookmarkStart w:id="1" w:name="_Toc2324590"/>
      <w:r w:rsidRPr="00E5713E">
        <w:lastRenderedPageBreak/>
        <w:t>Introduction</w:t>
      </w:r>
      <w:bookmarkEnd w:id="1"/>
    </w:p>
    <w:p w14:paraId="44D0D074" w14:textId="77777777" w:rsidR="000511B1" w:rsidRPr="005A2C10" w:rsidRDefault="000511B1" w:rsidP="00C577C0">
      <w:pPr>
        <w:pBdr>
          <w:top w:val="single" w:sz="36" w:space="1" w:color="auto"/>
        </w:pBdr>
        <w:ind w:left="-2880"/>
        <w:rPr>
          <w:sz w:val="20"/>
        </w:rPr>
      </w:pPr>
      <w:r w:rsidRPr="005A2C10">
        <w:rPr>
          <w:sz w:val="20"/>
        </w:rPr>
        <w:t xml:space="preserve">According to the Commonwealth of Massachusetts Virtual Schools (CMVS) </w:t>
      </w:r>
      <w:hyperlink r:id="rId20" w:history="1">
        <w:r w:rsidRPr="00A91B0A">
          <w:rPr>
            <w:rStyle w:val="Hyperlink"/>
            <w:sz w:val="20"/>
            <w:szCs w:val="20"/>
          </w:rPr>
          <w:t>regulations</w:t>
        </w:r>
      </w:hyperlink>
      <w:r w:rsidRPr="005A2C10">
        <w:rPr>
          <w:rStyle w:val="FootnoteReference"/>
          <w:sz w:val="18"/>
          <w:szCs w:val="20"/>
        </w:rPr>
        <w:footnoteReference w:id="1"/>
      </w:r>
      <w:r w:rsidRPr="005A2C10">
        <w:rPr>
          <w:sz w:val="20"/>
        </w:rPr>
        <w:t xml:space="preserve">, the decision of the Board of Elementary and Secondary Education (Board) to renew the certificate of a virtual school “shall be based upon the presentation of affirmative evidence regarding the faithfulness of the virtual school to the terms of its certificate, the virtual school's academic program, and the viability of the virtual school as an organization.” This Summary of Renewal Review (SOR) rated the performance of the Greenfield Commonwealth Virtual School (GCVS) in these areas, as codified in the CMVS </w:t>
      </w:r>
      <w:hyperlink r:id="rId21" w:history="1">
        <w:r w:rsidRPr="00A91B0A">
          <w:rPr>
            <w:rStyle w:val="Hyperlink"/>
            <w:sz w:val="20"/>
            <w:szCs w:val="20"/>
          </w:rPr>
          <w:t>Performance Criteria</w:t>
        </w:r>
      </w:hyperlink>
      <w:r w:rsidRPr="005A2C10">
        <w:rPr>
          <w:rStyle w:val="FootnoteReference"/>
          <w:sz w:val="18"/>
          <w:szCs w:val="20"/>
        </w:rPr>
        <w:footnoteReference w:id="2"/>
      </w:r>
      <w:r w:rsidRPr="005A2C10">
        <w:rPr>
          <w:sz w:val="20"/>
        </w:rPr>
        <w:t>.</w:t>
      </w:r>
    </w:p>
    <w:p w14:paraId="19D9BCEC" w14:textId="77777777" w:rsidR="000511B1" w:rsidRPr="005A2C10" w:rsidRDefault="000511B1" w:rsidP="00C577C0">
      <w:pPr>
        <w:ind w:left="-2880"/>
        <w:rPr>
          <w:sz w:val="20"/>
        </w:rPr>
      </w:pPr>
      <w:r w:rsidRPr="005A2C10">
        <w:rPr>
          <w:sz w:val="20"/>
        </w:rPr>
        <w:t xml:space="preserve">Sources of information and data for this SOR included (but were not limited to) the absolute performance of GCVS at the time of its renewal application, its progress over the three years of its </w:t>
      </w:r>
      <w:r w:rsidR="00653A4A">
        <w:rPr>
          <w:sz w:val="20"/>
        </w:rPr>
        <w:t xml:space="preserve">second </w:t>
      </w:r>
      <w:r w:rsidRPr="005A2C10">
        <w:rPr>
          <w:sz w:val="20"/>
        </w:rPr>
        <w:t>certifica</w:t>
      </w:r>
      <w:r w:rsidR="00653A4A">
        <w:rPr>
          <w:sz w:val="20"/>
        </w:rPr>
        <w:t>te term (2015-16 through 2018-19</w:t>
      </w:r>
      <w:r w:rsidRPr="005A2C10">
        <w:rPr>
          <w:sz w:val="20"/>
        </w:rPr>
        <w:t xml:space="preserve">), annual reports, financial audits, test results, accountability review reports, renewal application, and </w:t>
      </w:r>
      <w:r w:rsidR="00653A4A">
        <w:rPr>
          <w:sz w:val="20"/>
        </w:rPr>
        <w:t xml:space="preserve">October 2018 </w:t>
      </w:r>
      <w:r w:rsidRPr="005A2C10">
        <w:rPr>
          <w:sz w:val="20"/>
        </w:rPr>
        <w:t>renewal inspection report.</w:t>
      </w:r>
    </w:p>
    <w:p w14:paraId="513167D9" w14:textId="77777777" w:rsidR="000E7193" w:rsidRDefault="007621E2" w:rsidP="00C577C0">
      <w:pPr>
        <w:pStyle w:val="Heading1"/>
        <w:pBdr>
          <w:bottom w:val="single" w:sz="36" w:space="1" w:color="auto"/>
        </w:pBdr>
        <w:ind w:left="-2880"/>
      </w:pPr>
      <w:bookmarkStart w:id="2" w:name="_Toc2324591"/>
      <w:r w:rsidRPr="00E5713E">
        <w:t>Executive summary of virtual school performance</w:t>
      </w:r>
      <w:bookmarkEnd w:id="2"/>
    </w:p>
    <w:tbl>
      <w:tblPr>
        <w:tblStyle w:val="TableGrid"/>
        <w:tblW w:w="0" w:type="auto"/>
        <w:tblInd w:w="-2255" w:type="dxa"/>
        <w:tblLook w:val="04A0" w:firstRow="1" w:lastRow="0" w:firstColumn="1" w:lastColumn="0" w:noHBand="0" w:noVBand="1"/>
        <w:tblDescription w:val="Year opened: July 1, 2013&#10;Year(s) renewed: 2016 (with probationary conditions)&#10;Educational management organization: None (former contract with K12, Inc. was terminated in October 2017)&#10;Location of administrative offices: 238 Main Street&#10;3rd Floor&#10;Greenfield, MA 01301&#10;Maximum enrollment: 750&#10;Current enrollment 590 as of October 1, 2018&#10;Grade span: K-12&#10;Number of sending districts: 168 as of October 1, 2018&#10;Instructional days per year: 180&#10;Students waitlisted: 0 as of October 1, 2018&#10;Mission statement: The Greenfield Commonwealth Virtual School, a public school of choice, serves students from across Massachusetts who need a learning community that is accessible and flexible. We give our students and their families choices in what, how, when, and where they learn. &#10;&#10;As a pioneer of online personalized learning, we empower our educators to tailor learning experiences to each student’s strengths, interests, and challenges. We redefine and change how students and teachers engage through innovative technology, while ensuring mastery of competencies embedded in a rigorous curriculum.&#10;"/>
      </w:tblPr>
      <w:tblGrid>
        <w:gridCol w:w="2335"/>
        <w:gridCol w:w="5675"/>
      </w:tblGrid>
      <w:tr w:rsidR="00EB17F2" w:rsidRPr="00EB17F2" w14:paraId="2CCCBA86" w14:textId="77777777" w:rsidTr="006D7A08">
        <w:trPr>
          <w:tblHeader/>
        </w:trPr>
        <w:tc>
          <w:tcPr>
            <w:tcW w:w="2335" w:type="dxa"/>
          </w:tcPr>
          <w:p w14:paraId="6F69DFEC" w14:textId="77777777" w:rsidR="00EB17F2" w:rsidRPr="00EB17F2" w:rsidRDefault="00EB17F2" w:rsidP="00B0306C">
            <w:pPr>
              <w:spacing w:before="40" w:after="40" w:line="240" w:lineRule="auto"/>
              <w:rPr>
                <w:b/>
                <w:sz w:val="19"/>
                <w:szCs w:val="19"/>
              </w:rPr>
            </w:pPr>
            <w:r w:rsidRPr="00EB17F2">
              <w:rPr>
                <w:b/>
                <w:sz w:val="19"/>
                <w:szCs w:val="19"/>
              </w:rPr>
              <w:t>Year opened:</w:t>
            </w:r>
          </w:p>
        </w:tc>
        <w:tc>
          <w:tcPr>
            <w:tcW w:w="5675" w:type="dxa"/>
          </w:tcPr>
          <w:p w14:paraId="4BC056BF" w14:textId="77777777" w:rsidR="00EB17F2" w:rsidRPr="00EB17F2" w:rsidRDefault="00EB17F2" w:rsidP="00B0306C">
            <w:pPr>
              <w:spacing w:before="40" w:after="40" w:line="240" w:lineRule="auto"/>
              <w:rPr>
                <w:sz w:val="19"/>
                <w:szCs w:val="19"/>
              </w:rPr>
            </w:pPr>
            <w:r w:rsidRPr="00EB17F2">
              <w:rPr>
                <w:sz w:val="19"/>
                <w:szCs w:val="19"/>
              </w:rPr>
              <w:t>July 1, 2013</w:t>
            </w:r>
          </w:p>
        </w:tc>
      </w:tr>
      <w:tr w:rsidR="00EB17F2" w:rsidRPr="00EB17F2" w14:paraId="733DE8A7" w14:textId="77777777" w:rsidTr="006D7A08">
        <w:trPr>
          <w:tblHeader/>
        </w:trPr>
        <w:tc>
          <w:tcPr>
            <w:tcW w:w="2335" w:type="dxa"/>
          </w:tcPr>
          <w:p w14:paraId="451C780D" w14:textId="77777777" w:rsidR="00EB17F2" w:rsidRPr="00EB17F2" w:rsidRDefault="00EB17F2" w:rsidP="00B0306C">
            <w:pPr>
              <w:spacing w:before="40" w:after="40" w:line="240" w:lineRule="auto"/>
              <w:rPr>
                <w:b/>
                <w:sz w:val="19"/>
                <w:szCs w:val="19"/>
              </w:rPr>
            </w:pPr>
            <w:r w:rsidRPr="00EB17F2">
              <w:rPr>
                <w:b/>
                <w:sz w:val="19"/>
                <w:szCs w:val="19"/>
              </w:rPr>
              <w:t>Year(s) renewed:</w:t>
            </w:r>
          </w:p>
        </w:tc>
        <w:tc>
          <w:tcPr>
            <w:tcW w:w="5675" w:type="dxa"/>
          </w:tcPr>
          <w:p w14:paraId="70366E99" w14:textId="77777777" w:rsidR="00EB17F2" w:rsidRPr="00EB17F2" w:rsidRDefault="00653A4A" w:rsidP="00B0306C">
            <w:pPr>
              <w:spacing w:before="40" w:after="40" w:line="240" w:lineRule="auto"/>
              <w:rPr>
                <w:sz w:val="19"/>
                <w:szCs w:val="19"/>
              </w:rPr>
            </w:pPr>
            <w:r>
              <w:rPr>
                <w:sz w:val="19"/>
                <w:szCs w:val="19"/>
              </w:rPr>
              <w:t>2016 (with probationary conditions)</w:t>
            </w:r>
          </w:p>
        </w:tc>
      </w:tr>
      <w:tr w:rsidR="00EB17F2" w:rsidRPr="00EB17F2" w14:paraId="7165F393" w14:textId="77777777" w:rsidTr="006D7A08">
        <w:trPr>
          <w:tblHeader/>
        </w:trPr>
        <w:tc>
          <w:tcPr>
            <w:tcW w:w="2335" w:type="dxa"/>
          </w:tcPr>
          <w:p w14:paraId="29133F49" w14:textId="77777777" w:rsidR="00EB17F2" w:rsidRPr="00EB17F2" w:rsidRDefault="00EB17F2" w:rsidP="00B0306C">
            <w:pPr>
              <w:spacing w:before="40" w:after="40" w:line="240" w:lineRule="auto"/>
              <w:rPr>
                <w:b/>
                <w:sz w:val="19"/>
                <w:szCs w:val="19"/>
              </w:rPr>
            </w:pPr>
            <w:r w:rsidRPr="00EB17F2">
              <w:rPr>
                <w:b/>
                <w:sz w:val="19"/>
                <w:szCs w:val="19"/>
              </w:rPr>
              <w:t>Educational management organization:</w:t>
            </w:r>
          </w:p>
        </w:tc>
        <w:tc>
          <w:tcPr>
            <w:tcW w:w="5675" w:type="dxa"/>
          </w:tcPr>
          <w:p w14:paraId="626FADA8" w14:textId="77777777" w:rsidR="00EB17F2" w:rsidRPr="00EB17F2" w:rsidRDefault="00653A4A" w:rsidP="00B0306C">
            <w:pPr>
              <w:spacing w:before="40" w:after="40" w:line="240" w:lineRule="auto"/>
              <w:rPr>
                <w:sz w:val="19"/>
                <w:szCs w:val="19"/>
              </w:rPr>
            </w:pPr>
            <w:r>
              <w:rPr>
                <w:sz w:val="19"/>
                <w:szCs w:val="19"/>
              </w:rPr>
              <w:t xml:space="preserve">None (former contract with </w:t>
            </w:r>
            <w:r w:rsidR="00EB17F2">
              <w:rPr>
                <w:sz w:val="19"/>
                <w:szCs w:val="19"/>
              </w:rPr>
              <w:t>K12, Inc.</w:t>
            </w:r>
            <w:r>
              <w:rPr>
                <w:sz w:val="19"/>
                <w:szCs w:val="19"/>
              </w:rPr>
              <w:t xml:space="preserve"> was terminated in </w:t>
            </w:r>
            <w:r w:rsidR="000B784E">
              <w:rPr>
                <w:sz w:val="19"/>
                <w:szCs w:val="19"/>
              </w:rPr>
              <w:t xml:space="preserve">October </w:t>
            </w:r>
            <w:r>
              <w:rPr>
                <w:sz w:val="19"/>
                <w:szCs w:val="19"/>
              </w:rPr>
              <w:t>2017)</w:t>
            </w:r>
          </w:p>
        </w:tc>
      </w:tr>
      <w:tr w:rsidR="00EB17F2" w:rsidRPr="00EB17F2" w14:paraId="444770F1" w14:textId="77777777" w:rsidTr="006D7A08">
        <w:trPr>
          <w:tblHeader/>
        </w:trPr>
        <w:tc>
          <w:tcPr>
            <w:tcW w:w="2335" w:type="dxa"/>
          </w:tcPr>
          <w:p w14:paraId="6F3E3DAB" w14:textId="77777777" w:rsidR="00EB17F2" w:rsidRPr="00EB17F2" w:rsidRDefault="00EB17F2" w:rsidP="00B0306C">
            <w:pPr>
              <w:spacing w:before="40" w:after="40" w:line="240" w:lineRule="auto"/>
              <w:rPr>
                <w:b/>
                <w:sz w:val="19"/>
                <w:szCs w:val="19"/>
              </w:rPr>
            </w:pPr>
            <w:r w:rsidRPr="00EB17F2">
              <w:rPr>
                <w:b/>
                <w:sz w:val="19"/>
                <w:szCs w:val="19"/>
              </w:rPr>
              <w:t>Location of administrative offices:</w:t>
            </w:r>
          </w:p>
        </w:tc>
        <w:tc>
          <w:tcPr>
            <w:tcW w:w="5675" w:type="dxa"/>
          </w:tcPr>
          <w:p w14:paraId="41D0BF49" w14:textId="77777777" w:rsidR="000B784E" w:rsidRPr="000B784E" w:rsidRDefault="000B784E" w:rsidP="000B784E">
            <w:pPr>
              <w:spacing w:after="0" w:line="240" w:lineRule="auto"/>
              <w:rPr>
                <w:rFonts w:cstheme="minorHAnsi"/>
                <w:color w:val="000000"/>
                <w:sz w:val="19"/>
                <w:szCs w:val="19"/>
                <w:shd w:val="clear" w:color="auto" w:fill="FFFFFF"/>
              </w:rPr>
            </w:pPr>
            <w:r w:rsidRPr="000B784E">
              <w:rPr>
                <w:rFonts w:cstheme="minorHAnsi"/>
                <w:color w:val="000000"/>
                <w:sz w:val="19"/>
                <w:szCs w:val="19"/>
                <w:shd w:val="clear" w:color="auto" w:fill="FFFFFF"/>
              </w:rPr>
              <w:t>238 Main Street</w:t>
            </w:r>
          </w:p>
          <w:p w14:paraId="0047183C" w14:textId="77777777" w:rsidR="000B784E" w:rsidRPr="000B784E" w:rsidRDefault="000B784E" w:rsidP="000B784E">
            <w:pPr>
              <w:spacing w:after="0" w:line="240" w:lineRule="auto"/>
              <w:rPr>
                <w:rFonts w:cstheme="minorHAnsi"/>
                <w:color w:val="000000"/>
                <w:sz w:val="19"/>
                <w:szCs w:val="19"/>
                <w:shd w:val="clear" w:color="auto" w:fill="FFFFFF"/>
              </w:rPr>
            </w:pPr>
            <w:r w:rsidRPr="000B784E">
              <w:rPr>
                <w:rFonts w:cstheme="minorHAnsi"/>
                <w:color w:val="000000"/>
                <w:sz w:val="19"/>
                <w:szCs w:val="19"/>
                <w:shd w:val="clear" w:color="auto" w:fill="FFFFFF"/>
              </w:rPr>
              <w:t>3rd Floor</w:t>
            </w:r>
          </w:p>
          <w:p w14:paraId="42795890" w14:textId="77777777" w:rsidR="00EB17F2" w:rsidRPr="00EB17F2" w:rsidRDefault="000B784E" w:rsidP="000B784E">
            <w:pPr>
              <w:spacing w:after="0" w:line="240" w:lineRule="auto"/>
              <w:rPr>
                <w:sz w:val="19"/>
                <w:szCs w:val="19"/>
              </w:rPr>
            </w:pPr>
            <w:r w:rsidRPr="000B784E">
              <w:rPr>
                <w:rFonts w:cstheme="minorHAnsi"/>
                <w:color w:val="000000"/>
                <w:sz w:val="19"/>
                <w:szCs w:val="19"/>
                <w:shd w:val="clear" w:color="auto" w:fill="FFFFFF"/>
              </w:rPr>
              <w:t>Greenfield, MA 01301</w:t>
            </w:r>
          </w:p>
        </w:tc>
      </w:tr>
      <w:tr w:rsidR="00EB17F2" w:rsidRPr="00EB17F2" w14:paraId="09423A92" w14:textId="77777777" w:rsidTr="006D7A08">
        <w:trPr>
          <w:tblHeader/>
        </w:trPr>
        <w:tc>
          <w:tcPr>
            <w:tcW w:w="2335" w:type="dxa"/>
          </w:tcPr>
          <w:p w14:paraId="03C4B39B" w14:textId="77777777" w:rsidR="00EB17F2" w:rsidRPr="00EB17F2" w:rsidRDefault="00EB17F2" w:rsidP="00B0306C">
            <w:pPr>
              <w:spacing w:before="40" w:after="40" w:line="240" w:lineRule="auto"/>
              <w:rPr>
                <w:b/>
                <w:sz w:val="19"/>
                <w:szCs w:val="19"/>
              </w:rPr>
            </w:pPr>
            <w:r w:rsidRPr="00EB17F2">
              <w:rPr>
                <w:b/>
                <w:sz w:val="19"/>
                <w:szCs w:val="19"/>
              </w:rPr>
              <w:t>Maximum enrollment:</w:t>
            </w:r>
          </w:p>
        </w:tc>
        <w:tc>
          <w:tcPr>
            <w:tcW w:w="5675" w:type="dxa"/>
          </w:tcPr>
          <w:p w14:paraId="2C2B03EC" w14:textId="77777777" w:rsidR="00EB17F2" w:rsidRPr="00EB17F2" w:rsidRDefault="000B784E" w:rsidP="000B784E">
            <w:pPr>
              <w:spacing w:before="40" w:after="40" w:line="240" w:lineRule="auto"/>
              <w:rPr>
                <w:sz w:val="19"/>
                <w:szCs w:val="19"/>
              </w:rPr>
            </w:pPr>
            <w:r>
              <w:rPr>
                <w:sz w:val="19"/>
                <w:szCs w:val="19"/>
              </w:rPr>
              <w:t>750</w:t>
            </w:r>
          </w:p>
        </w:tc>
      </w:tr>
      <w:tr w:rsidR="00EB17F2" w:rsidRPr="00EB17F2" w14:paraId="086CF656" w14:textId="77777777" w:rsidTr="006D7A08">
        <w:trPr>
          <w:tblHeader/>
        </w:trPr>
        <w:tc>
          <w:tcPr>
            <w:tcW w:w="2335" w:type="dxa"/>
          </w:tcPr>
          <w:p w14:paraId="4CCDB19B" w14:textId="77777777" w:rsidR="00EB17F2" w:rsidRPr="00EB17F2" w:rsidRDefault="00EB17F2" w:rsidP="00B0306C">
            <w:pPr>
              <w:spacing w:before="40" w:after="40" w:line="240" w:lineRule="auto"/>
              <w:rPr>
                <w:b/>
                <w:sz w:val="19"/>
                <w:szCs w:val="19"/>
              </w:rPr>
            </w:pPr>
            <w:r w:rsidRPr="00EB17F2">
              <w:rPr>
                <w:b/>
                <w:sz w:val="19"/>
                <w:szCs w:val="19"/>
              </w:rPr>
              <w:t>Current enrollment</w:t>
            </w:r>
          </w:p>
        </w:tc>
        <w:tc>
          <w:tcPr>
            <w:tcW w:w="5675" w:type="dxa"/>
          </w:tcPr>
          <w:p w14:paraId="0A23547D" w14:textId="77777777" w:rsidR="00EB17F2" w:rsidRPr="00EB17F2" w:rsidRDefault="000B784E" w:rsidP="000B784E">
            <w:pPr>
              <w:spacing w:before="40" w:after="40" w:line="240" w:lineRule="auto"/>
              <w:rPr>
                <w:sz w:val="19"/>
                <w:szCs w:val="19"/>
              </w:rPr>
            </w:pPr>
            <w:r>
              <w:rPr>
                <w:sz w:val="19"/>
                <w:szCs w:val="19"/>
              </w:rPr>
              <w:t>590</w:t>
            </w:r>
            <w:r w:rsidR="00EB17F2">
              <w:rPr>
                <w:sz w:val="19"/>
                <w:szCs w:val="19"/>
              </w:rPr>
              <w:t xml:space="preserve"> as of </w:t>
            </w:r>
            <w:r>
              <w:rPr>
                <w:sz w:val="19"/>
                <w:szCs w:val="19"/>
              </w:rPr>
              <w:t>October 1, 2018</w:t>
            </w:r>
          </w:p>
        </w:tc>
      </w:tr>
      <w:tr w:rsidR="00EB17F2" w:rsidRPr="00EB17F2" w14:paraId="0ADEBB5D" w14:textId="77777777" w:rsidTr="006D7A08">
        <w:trPr>
          <w:tblHeader/>
        </w:trPr>
        <w:tc>
          <w:tcPr>
            <w:tcW w:w="2335" w:type="dxa"/>
          </w:tcPr>
          <w:p w14:paraId="5732FA30" w14:textId="77777777" w:rsidR="00EB17F2" w:rsidRPr="00EB17F2" w:rsidRDefault="00EB17F2" w:rsidP="00B0306C">
            <w:pPr>
              <w:spacing w:before="40" w:after="40" w:line="240" w:lineRule="auto"/>
              <w:rPr>
                <w:b/>
                <w:sz w:val="19"/>
                <w:szCs w:val="19"/>
              </w:rPr>
            </w:pPr>
            <w:r w:rsidRPr="00EB17F2">
              <w:rPr>
                <w:b/>
                <w:sz w:val="19"/>
                <w:szCs w:val="19"/>
              </w:rPr>
              <w:t>Grade span:</w:t>
            </w:r>
          </w:p>
        </w:tc>
        <w:tc>
          <w:tcPr>
            <w:tcW w:w="5675" w:type="dxa"/>
          </w:tcPr>
          <w:p w14:paraId="59B4DF13" w14:textId="77777777" w:rsidR="00EB17F2" w:rsidRPr="00EB17F2" w:rsidRDefault="00EB17F2" w:rsidP="00B0306C">
            <w:pPr>
              <w:spacing w:before="40" w:after="40" w:line="240" w:lineRule="auto"/>
              <w:rPr>
                <w:sz w:val="19"/>
                <w:szCs w:val="19"/>
              </w:rPr>
            </w:pPr>
            <w:r>
              <w:rPr>
                <w:sz w:val="19"/>
                <w:szCs w:val="19"/>
              </w:rPr>
              <w:t>K-12</w:t>
            </w:r>
          </w:p>
        </w:tc>
      </w:tr>
      <w:tr w:rsidR="00EB17F2" w:rsidRPr="00EB17F2" w14:paraId="3578B785" w14:textId="77777777" w:rsidTr="006D7A08">
        <w:trPr>
          <w:tblHeader/>
        </w:trPr>
        <w:tc>
          <w:tcPr>
            <w:tcW w:w="2335" w:type="dxa"/>
          </w:tcPr>
          <w:p w14:paraId="1DC6A200" w14:textId="77777777" w:rsidR="00EB17F2" w:rsidRPr="00EB17F2" w:rsidRDefault="00EB17F2" w:rsidP="00B0306C">
            <w:pPr>
              <w:spacing w:before="40" w:after="40" w:line="240" w:lineRule="auto"/>
              <w:rPr>
                <w:b/>
                <w:sz w:val="19"/>
                <w:szCs w:val="19"/>
              </w:rPr>
            </w:pPr>
            <w:r w:rsidRPr="00EB17F2">
              <w:rPr>
                <w:b/>
                <w:sz w:val="19"/>
                <w:szCs w:val="19"/>
              </w:rPr>
              <w:t>Number of sending districts:</w:t>
            </w:r>
          </w:p>
        </w:tc>
        <w:tc>
          <w:tcPr>
            <w:tcW w:w="5675" w:type="dxa"/>
          </w:tcPr>
          <w:p w14:paraId="68418ADA" w14:textId="02FA68FA" w:rsidR="00EB17F2" w:rsidRPr="00EB17F2" w:rsidRDefault="005356A2" w:rsidP="003D1073">
            <w:pPr>
              <w:spacing w:before="40" w:after="40" w:line="240" w:lineRule="auto"/>
              <w:rPr>
                <w:sz w:val="19"/>
                <w:szCs w:val="19"/>
              </w:rPr>
            </w:pPr>
            <w:r w:rsidRPr="000E6C15">
              <w:rPr>
                <w:sz w:val="19"/>
                <w:szCs w:val="19"/>
              </w:rPr>
              <w:t>168</w:t>
            </w:r>
            <w:r w:rsidR="00EB17F2" w:rsidRPr="000E6C15">
              <w:rPr>
                <w:sz w:val="19"/>
                <w:szCs w:val="19"/>
              </w:rPr>
              <w:t xml:space="preserve"> as of </w:t>
            </w:r>
            <w:r w:rsidR="003D1073" w:rsidRPr="000E6C15">
              <w:rPr>
                <w:sz w:val="19"/>
                <w:szCs w:val="19"/>
              </w:rPr>
              <w:t>October 1, 2018</w:t>
            </w:r>
          </w:p>
        </w:tc>
      </w:tr>
      <w:tr w:rsidR="00EB17F2" w:rsidRPr="00EB17F2" w14:paraId="12077376" w14:textId="77777777" w:rsidTr="006D7A08">
        <w:trPr>
          <w:tblHeader/>
        </w:trPr>
        <w:tc>
          <w:tcPr>
            <w:tcW w:w="2335" w:type="dxa"/>
          </w:tcPr>
          <w:p w14:paraId="7325397D" w14:textId="77777777" w:rsidR="00EB17F2" w:rsidRPr="00EB17F2" w:rsidRDefault="00EB17F2" w:rsidP="00B0306C">
            <w:pPr>
              <w:spacing w:before="40" w:after="40" w:line="240" w:lineRule="auto"/>
              <w:rPr>
                <w:b/>
                <w:sz w:val="19"/>
                <w:szCs w:val="19"/>
              </w:rPr>
            </w:pPr>
            <w:r w:rsidRPr="00EB17F2">
              <w:rPr>
                <w:b/>
                <w:sz w:val="19"/>
                <w:szCs w:val="19"/>
              </w:rPr>
              <w:t>Instructional days per year:</w:t>
            </w:r>
          </w:p>
        </w:tc>
        <w:tc>
          <w:tcPr>
            <w:tcW w:w="5675" w:type="dxa"/>
          </w:tcPr>
          <w:p w14:paraId="761B57E2" w14:textId="77777777" w:rsidR="00EB17F2" w:rsidRPr="00EB17F2" w:rsidRDefault="00E6438E" w:rsidP="00B0306C">
            <w:pPr>
              <w:spacing w:before="40" w:after="40" w:line="240" w:lineRule="auto"/>
              <w:rPr>
                <w:sz w:val="19"/>
                <w:szCs w:val="19"/>
              </w:rPr>
            </w:pPr>
            <w:r>
              <w:rPr>
                <w:sz w:val="19"/>
                <w:szCs w:val="19"/>
              </w:rPr>
              <w:t>180</w:t>
            </w:r>
          </w:p>
        </w:tc>
      </w:tr>
      <w:tr w:rsidR="00EB17F2" w:rsidRPr="00EB17F2" w14:paraId="17678434" w14:textId="77777777" w:rsidTr="006D7A08">
        <w:trPr>
          <w:tblHeader/>
        </w:trPr>
        <w:tc>
          <w:tcPr>
            <w:tcW w:w="2335" w:type="dxa"/>
          </w:tcPr>
          <w:p w14:paraId="42E5412C" w14:textId="77777777" w:rsidR="00EB17F2" w:rsidRPr="00EB17F2" w:rsidRDefault="00EB17F2" w:rsidP="00B0306C">
            <w:pPr>
              <w:spacing w:before="40" w:after="40" w:line="240" w:lineRule="auto"/>
              <w:rPr>
                <w:b/>
                <w:sz w:val="19"/>
                <w:szCs w:val="19"/>
              </w:rPr>
            </w:pPr>
            <w:r w:rsidRPr="00EB17F2">
              <w:rPr>
                <w:b/>
                <w:sz w:val="19"/>
                <w:szCs w:val="19"/>
              </w:rPr>
              <w:t>Students waitlisted:</w:t>
            </w:r>
          </w:p>
        </w:tc>
        <w:tc>
          <w:tcPr>
            <w:tcW w:w="5675" w:type="dxa"/>
          </w:tcPr>
          <w:p w14:paraId="7001FD83" w14:textId="77777777" w:rsidR="00EB17F2" w:rsidRPr="00EB17F2" w:rsidRDefault="003D1073" w:rsidP="00B0306C">
            <w:pPr>
              <w:spacing w:before="40" w:after="40" w:line="240" w:lineRule="auto"/>
              <w:rPr>
                <w:sz w:val="19"/>
                <w:szCs w:val="19"/>
              </w:rPr>
            </w:pPr>
            <w:r>
              <w:rPr>
                <w:sz w:val="19"/>
                <w:szCs w:val="19"/>
              </w:rPr>
              <w:t>0</w:t>
            </w:r>
            <w:r w:rsidR="00EB17F2">
              <w:rPr>
                <w:sz w:val="19"/>
                <w:szCs w:val="19"/>
              </w:rPr>
              <w:t xml:space="preserve"> as </w:t>
            </w:r>
            <w:r w:rsidR="00EB17F2" w:rsidRPr="003D1073">
              <w:rPr>
                <w:sz w:val="19"/>
                <w:szCs w:val="19"/>
              </w:rPr>
              <w:t xml:space="preserve">of </w:t>
            </w:r>
            <w:r w:rsidRPr="003D1073">
              <w:rPr>
                <w:sz w:val="19"/>
                <w:szCs w:val="19"/>
              </w:rPr>
              <w:t>October 1, 2018</w:t>
            </w:r>
          </w:p>
        </w:tc>
      </w:tr>
      <w:tr w:rsidR="00EB17F2" w:rsidRPr="00EB17F2" w14:paraId="679C52E6" w14:textId="77777777" w:rsidTr="006D7A08">
        <w:trPr>
          <w:tblHeader/>
        </w:trPr>
        <w:tc>
          <w:tcPr>
            <w:tcW w:w="2335" w:type="dxa"/>
          </w:tcPr>
          <w:p w14:paraId="79476ADF" w14:textId="77777777" w:rsidR="00EB17F2" w:rsidRPr="00EB17F2" w:rsidRDefault="00EB17F2" w:rsidP="00B0306C">
            <w:pPr>
              <w:spacing w:before="40" w:after="40" w:line="240" w:lineRule="auto"/>
              <w:rPr>
                <w:b/>
                <w:sz w:val="19"/>
                <w:szCs w:val="19"/>
              </w:rPr>
            </w:pPr>
            <w:r w:rsidRPr="00EB17F2">
              <w:rPr>
                <w:b/>
                <w:sz w:val="19"/>
                <w:szCs w:val="19"/>
              </w:rPr>
              <w:t>Mission statement:</w:t>
            </w:r>
          </w:p>
        </w:tc>
        <w:tc>
          <w:tcPr>
            <w:tcW w:w="5675" w:type="dxa"/>
          </w:tcPr>
          <w:p w14:paraId="43DBDEC1" w14:textId="12FCDA8E" w:rsidR="003D1073" w:rsidRDefault="003D1073" w:rsidP="006202BC">
            <w:pPr>
              <w:spacing w:after="0" w:line="240" w:lineRule="auto"/>
              <w:rPr>
                <w:sz w:val="19"/>
                <w:szCs w:val="19"/>
              </w:rPr>
            </w:pPr>
            <w:r w:rsidRPr="003D1073">
              <w:rPr>
                <w:sz w:val="19"/>
                <w:szCs w:val="19"/>
              </w:rPr>
              <w:t xml:space="preserve">The Greenfield Commonwealth Virtual School, a public school of choice, serves students from across Massachusetts who need a learning community that is accessible and flexible. We give our students and their families choices in what, how, when, and where they learn. </w:t>
            </w:r>
          </w:p>
          <w:p w14:paraId="0959293E" w14:textId="77777777" w:rsidR="006202BC" w:rsidRPr="003D1073" w:rsidRDefault="006202BC" w:rsidP="006202BC">
            <w:pPr>
              <w:spacing w:after="0" w:line="240" w:lineRule="auto"/>
              <w:rPr>
                <w:sz w:val="19"/>
                <w:szCs w:val="19"/>
              </w:rPr>
            </w:pPr>
          </w:p>
          <w:p w14:paraId="64FD61C3" w14:textId="212E980A" w:rsidR="00EB17F2" w:rsidRDefault="003D1073" w:rsidP="006202BC">
            <w:pPr>
              <w:spacing w:after="0" w:line="240" w:lineRule="auto"/>
              <w:rPr>
                <w:sz w:val="19"/>
                <w:szCs w:val="19"/>
              </w:rPr>
            </w:pPr>
            <w:r w:rsidRPr="003D1073">
              <w:rPr>
                <w:sz w:val="19"/>
                <w:szCs w:val="19"/>
              </w:rPr>
              <w:t>As a pioneer of online personalized learning, we empower our educators to tailor learning experiences to each student’s strengths, interests, and challenges. We redefine and change how students and teachers engage through innovative technology, while ensuring mastery of competencies embedded in a rigorous curriculum</w:t>
            </w:r>
            <w:r w:rsidR="006202BC">
              <w:rPr>
                <w:sz w:val="19"/>
                <w:szCs w:val="19"/>
              </w:rPr>
              <w:t>.</w:t>
            </w:r>
          </w:p>
        </w:tc>
      </w:tr>
    </w:tbl>
    <w:p w14:paraId="73253252" w14:textId="77777777" w:rsidR="007621E2" w:rsidRDefault="00EB17F2" w:rsidP="0019721D">
      <w:pPr>
        <w:pStyle w:val="Heading1"/>
        <w:pBdr>
          <w:bottom w:val="single" w:sz="36" w:space="1" w:color="auto"/>
        </w:pBdr>
        <w:ind w:left="-2880"/>
      </w:pPr>
      <w:bookmarkStart w:id="3" w:name="_Toc2324592"/>
      <w:r>
        <w:lastRenderedPageBreak/>
        <w:t>Accountability ratings</w:t>
      </w:r>
      <w:bookmarkEnd w:id="3"/>
    </w:p>
    <w:tbl>
      <w:tblPr>
        <w:tblStyle w:val="TableGrid"/>
        <w:tblW w:w="0" w:type="auto"/>
        <w:tblInd w:w="-2975" w:type="dxa"/>
        <w:tblLook w:val="04A0" w:firstRow="1" w:lastRow="0" w:firstColumn="1" w:lastColumn="0" w:noHBand="0" w:noVBand="1"/>
        <w:tblDescription w:val="Massachusetts Virtual Academy at Greenfield Commonwealth Virtual School&#10;Rating Scale:&#10; Exceeds Fully and consistently meets the criterion and is a potential exemplar in this area.&#10; Meets Generally meets the criterion; minor concerns are noted.&#10; Partially meets Meets some aspects of the criterion but not others and/or moderate concerns are noted.&#10; Falls far below Falls far below the criterion; significant concern(s) are noted.&#10;   &#10;&#10;Guiding area Criteria Rating&#10;Faithfulness to  certificate 1. Mission and key design elements: The school is faithful to its mission, implements the key design elements outlined in its certificate, and substantially meets its accountability plan goals.  Partially meets&#10; 2. Access and equity: The school ensures program access and equity for all students eligible to attend the school.  Partially meets&#10; 3. Compliance: The school compiles a record of compliance with the terms of its certificate and applicable state and federal laws and regulations. N/A&#10;Academic and program success 4. Student performance: The school consistently meets state student performance standards for academic growth, proficiency, and college and career readiness.  Falls far below&#10; 5. Program delivery: The school delivers an academic program that delivers improved academic outcomes and educational success for all students. Curriculum  Partially meets&#10;  Instruction  Partially meets&#10;  Assessment and program evaluation  Partially meets&#10;  Diverse learners  Partially meets&#10; 6. Culture and family engagement: The school supports students’ social and emotional health in a safe and respectful learning environment that engages families. Social, emotional, and health needs  Meets&#10;  Family and community engagement &#10;Organizational viability 7. Capacity: The school sustains a well-functioning organizational structure and creates a professional working climate for all staff. School leadership  Partially meets&#10;  Professional climate  Partially meets&#10;  Contractual relationships N/A&#10; 8. Governance: The Board of Trustees act as public agents authorized by the state and provide competent governance to ensure the success and sustainability of the school.  Meets&#10; 9. Finance: The school maintains a sound and stable financial condition that operates in a fiscally responsible and publicly accountable manner.  Meets&#10;"/>
      </w:tblPr>
      <w:tblGrid>
        <w:gridCol w:w="1260"/>
        <w:gridCol w:w="4230"/>
        <w:gridCol w:w="2340"/>
        <w:gridCol w:w="1615"/>
      </w:tblGrid>
      <w:tr w:rsidR="005A2C10" w:rsidRPr="005A2C10" w14:paraId="65694DFA" w14:textId="77777777" w:rsidTr="006D7A08">
        <w:trPr>
          <w:tblHeader/>
        </w:trPr>
        <w:tc>
          <w:tcPr>
            <w:tcW w:w="9445" w:type="dxa"/>
            <w:gridSpan w:val="4"/>
          </w:tcPr>
          <w:p w14:paraId="75085BC9" w14:textId="77777777" w:rsidR="005A2C10" w:rsidRPr="005A2C10" w:rsidRDefault="005A2C10" w:rsidP="00BB539E">
            <w:pPr>
              <w:spacing w:before="120" w:after="120" w:line="240" w:lineRule="auto"/>
              <w:jc w:val="center"/>
              <w:rPr>
                <w:b/>
                <w:sz w:val="19"/>
                <w:szCs w:val="19"/>
              </w:rPr>
            </w:pPr>
            <w:r w:rsidRPr="005A2C10">
              <w:rPr>
                <w:b/>
                <w:sz w:val="19"/>
                <w:szCs w:val="19"/>
              </w:rPr>
              <w:t>Massachusetts Virtual Academy at Greenfield Commonwealth Virtual School</w:t>
            </w:r>
          </w:p>
          <w:tbl>
            <w:tblPr>
              <w:tblStyle w:val="TableGrid"/>
              <w:tblW w:w="0" w:type="auto"/>
              <w:tblLook w:val="04A0" w:firstRow="1" w:lastRow="0" w:firstColumn="1" w:lastColumn="0" w:noHBand="0" w:noVBand="1"/>
              <w:tblDescription w:val="Rating Scale:&#10; Exceeds Fully and consistently meets the criterion and is a potential exemplar in this area.&#10; Meets Generally meets the criterion; minor concerns are noted.&#10; Partially meets Meets some aspects of the criterion but not others and/or moderate concerns are noted.&#10; Falls far below Falls far below the criterion; significant concern(s) are noted.&#10;   &#10;"/>
            </w:tblPr>
            <w:tblGrid>
              <w:gridCol w:w="393"/>
              <w:gridCol w:w="851"/>
              <w:gridCol w:w="624"/>
              <w:gridCol w:w="7351"/>
            </w:tblGrid>
            <w:tr w:rsidR="005A2C10" w:rsidRPr="005A2C10" w14:paraId="54C48AB1" w14:textId="77777777" w:rsidTr="006D7A08">
              <w:trPr>
                <w:tblHeader/>
              </w:trPr>
              <w:tc>
                <w:tcPr>
                  <w:tcW w:w="9345" w:type="dxa"/>
                  <w:gridSpan w:val="4"/>
                  <w:tcBorders>
                    <w:bottom w:val="nil"/>
                  </w:tcBorders>
                </w:tcPr>
                <w:p w14:paraId="5CB632B7" w14:textId="77777777" w:rsidR="005A2C10" w:rsidRPr="005A2C10" w:rsidRDefault="005A2C10" w:rsidP="00BB539E">
                  <w:pPr>
                    <w:spacing w:before="80" w:after="80" w:line="240" w:lineRule="auto"/>
                    <w:rPr>
                      <w:b/>
                      <w:sz w:val="19"/>
                      <w:szCs w:val="19"/>
                    </w:rPr>
                  </w:pPr>
                  <w:r w:rsidRPr="005A2C10">
                    <w:rPr>
                      <w:b/>
                      <w:sz w:val="19"/>
                      <w:szCs w:val="19"/>
                    </w:rPr>
                    <w:t>Rating Scale:</w:t>
                  </w:r>
                </w:p>
              </w:tc>
            </w:tr>
            <w:tr w:rsidR="005A2C10" w:rsidRPr="005A2C10" w14:paraId="6A47C493" w14:textId="77777777" w:rsidTr="006D7A08">
              <w:trPr>
                <w:trHeight w:val="87"/>
                <w:tblHeader/>
              </w:trPr>
              <w:tc>
                <w:tcPr>
                  <w:tcW w:w="1885" w:type="dxa"/>
                  <w:gridSpan w:val="3"/>
                  <w:tcBorders>
                    <w:top w:val="nil"/>
                    <w:bottom w:val="nil"/>
                    <w:right w:val="nil"/>
                  </w:tcBorders>
                </w:tcPr>
                <w:p w14:paraId="13099DF1" w14:textId="77777777" w:rsidR="005A2C10" w:rsidRPr="005A2C10" w:rsidRDefault="005A2C10" w:rsidP="00BB539E">
                  <w:pPr>
                    <w:spacing w:before="80" w:after="80" w:line="240" w:lineRule="auto"/>
                    <w:rPr>
                      <w:b/>
                      <w:sz w:val="19"/>
                      <w:szCs w:val="19"/>
                    </w:rPr>
                  </w:pPr>
                  <w:r w:rsidRPr="005A2C10">
                    <w:rPr>
                      <w:rFonts w:ascii="Wingdings" w:hAnsi="Wingdings"/>
                      <w:color w:val="0070C0"/>
                      <w:sz w:val="19"/>
                      <w:szCs w:val="19"/>
                    </w:rPr>
                    <w:t></w:t>
                  </w:r>
                  <w:r w:rsidRPr="005A2C10">
                    <w:rPr>
                      <w:color w:val="00B050"/>
                      <w:sz w:val="19"/>
                      <w:szCs w:val="19"/>
                    </w:rPr>
                    <w:t xml:space="preserve"> </w:t>
                  </w:r>
                  <w:r w:rsidRPr="005A2C10">
                    <w:rPr>
                      <w:b/>
                      <w:sz w:val="19"/>
                      <w:szCs w:val="19"/>
                    </w:rPr>
                    <w:t>Exceeds</w:t>
                  </w:r>
                </w:p>
              </w:tc>
              <w:tc>
                <w:tcPr>
                  <w:tcW w:w="7460" w:type="dxa"/>
                  <w:tcBorders>
                    <w:top w:val="nil"/>
                    <w:left w:val="nil"/>
                    <w:bottom w:val="nil"/>
                  </w:tcBorders>
                </w:tcPr>
                <w:p w14:paraId="72FCE0C4" w14:textId="77777777" w:rsidR="005A2C10" w:rsidRPr="005A2C10" w:rsidRDefault="005A2C10" w:rsidP="00BB539E">
                  <w:pPr>
                    <w:spacing w:before="80" w:after="80" w:line="240" w:lineRule="auto"/>
                    <w:rPr>
                      <w:sz w:val="19"/>
                      <w:szCs w:val="19"/>
                    </w:rPr>
                  </w:pPr>
                  <w:r w:rsidRPr="005A2C10">
                    <w:rPr>
                      <w:sz w:val="19"/>
                      <w:szCs w:val="19"/>
                    </w:rPr>
                    <w:t>Fully and consistently meets the criterion and is a potential exemplar in this area.</w:t>
                  </w:r>
                </w:p>
              </w:tc>
            </w:tr>
            <w:tr w:rsidR="005A2C10" w:rsidRPr="005A2C10" w14:paraId="7D66D69E" w14:textId="77777777" w:rsidTr="006D7A08">
              <w:trPr>
                <w:trHeight w:val="270"/>
                <w:tblHeader/>
              </w:trPr>
              <w:tc>
                <w:tcPr>
                  <w:tcW w:w="1885" w:type="dxa"/>
                  <w:gridSpan w:val="3"/>
                  <w:tcBorders>
                    <w:top w:val="nil"/>
                    <w:bottom w:val="nil"/>
                    <w:right w:val="nil"/>
                  </w:tcBorders>
                </w:tcPr>
                <w:p w14:paraId="5E4D2187" w14:textId="77777777" w:rsidR="005A2C10" w:rsidRPr="005A2C10" w:rsidRDefault="005A2C10" w:rsidP="00BB539E">
                  <w:pPr>
                    <w:spacing w:before="80" w:after="80" w:line="240" w:lineRule="auto"/>
                    <w:rPr>
                      <w:b/>
                      <w:sz w:val="19"/>
                      <w:szCs w:val="19"/>
                    </w:rPr>
                  </w:pPr>
                  <w:r w:rsidRPr="005A2C10">
                    <w:rPr>
                      <w:rFonts w:ascii="Wingdings" w:hAnsi="Wingdings"/>
                      <w:color w:val="00B050"/>
                      <w:sz w:val="19"/>
                      <w:szCs w:val="19"/>
                    </w:rPr>
                    <w:t></w:t>
                  </w:r>
                  <w:r w:rsidRPr="005A2C10">
                    <w:rPr>
                      <w:color w:val="00B050"/>
                      <w:sz w:val="19"/>
                      <w:szCs w:val="19"/>
                    </w:rPr>
                    <w:t xml:space="preserve"> </w:t>
                  </w:r>
                  <w:r w:rsidRPr="005A2C10">
                    <w:rPr>
                      <w:b/>
                      <w:sz w:val="19"/>
                      <w:szCs w:val="19"/>
                    </w:rPr>
                    <w:t>Meets</w:t>
                  </w:r>
                </w:p>
              </w:tc>
              <w:tc>
                <w:tcPr>
                  <w:tcW w:w="7460" w:type="dxa"/>
                  <w:tcBorders>
                    <w:top w:val="nil"/>
                    <w:left w:val="nil"/>
                    <w:bottom w:val="nil"/>
                  </w:tcBorders>
                </w:tcPr>
                <w:p w14:paraId="500C27FC" w14:textId="77777777" w:rsidR="005A2C10" w:rsidRPr="005A2C10" w:rsidRDefault="005A2C10" w:rsidP="00BB539E">
                  <w:pPr>
                    <w:spacing w:before="80" w:after="80" w:line="240" w:lineRule="auto"/>
                    <w:rPr>
                      <w:sz w:val="19"/>
                      <w:szCs w:val="19"/>
                    </w:rPr>
                  </w:pPr>
                  <w:r w:rsidRPr="005A2C10">
                    <w:rPr>
                      <w:sz w:val="19"/>
                      <w:szCs w:val="19"/>
                    </w:rPr>
                    <w:t>Generally meets the criterion; minor concerns are noted.</w:t>
                  </w:r>
                </w:p>
              </w:tc>
            </w:tr>
            <w:tr w:rsidR="005A2C10" w:rsidRPr="005A2C10" w14:paraId="55F90422" w14:textId="77777777" w:rsidTr="006D7A08">
              <w:trPr>
                <w:trHeight w:val="87"/>
                <w:tblHeader/>
              </w:trPr>
              <w:tc>
                <w:tcPr>
                  <w:tcW w:w="1885" w:type="dxa"/>
                  <w:gridSpan w:val="3"/>
                  <w:tcBorders>
                    <w:top w:val="nil"/>
                    <w:bottom w:val="nil"/>
                    <w:right w:val="nil"/>
                  </w:tcBorders>
                </w:tcPr>
                <w:p w14:paraId="6D447710" w14:textId="77777777" w:rsidR="005A2C10" w:rsidRPr="005A2C10" w:rsidRDefault="005A2C10" w:rsidP="00BB539E">
                  <w:pPr>
                    <w:spacing w:before="80" w:after="80" w:line="240" w:lineRule="auto"/>
                    <w:rPr>
                      <w:b/>
                      <w:sz w:val="19"/>
                      <w:szCs w:val="19"/>
                    </w:rPr>
                  </w:pPr>
                  <w:r w:rsidRPr="005A2C10">
                    <w:rPr>
                      <w:rFonts w:ascii="Wingdings" w:hAnsi="Wingdings"/>
                      <w:color w:val="FFC000"/>
                      <w:sz w:val="19"/>
                      <w:szCs w:val="19"/>
                    </w:rPr>
                    <w:t></w:t>
                  </w:r>
                  <w:r w:rsidRPr="005A2C10">
                    <w:rPr>
                      <w:color w:val="FFC000"/>
                      <w:sz w:val="19"/>
                      <w:szCs w:val="19"/>
                    </w:rPr>
                    <w:t xml:space="preserve"> </w:t>
                  </w:r>
                  <w:r w:rsidRPr="005A2C10">
                    <w:rPr>
                      <w:b/>
                      <w:sz w:val="19"/>
                      <w:szCs w:val="19"/>
                    </w:rPr>
                    <w:t>Partially meets</w:t>
                  </w:r>
                </w:p>
              </w:tc>
              <w:tc>
                <w:tcPr>
                  <w:tcW w:w="7460" w:type="dxa"/>
                  <w:tcBorders>
                    <w:top w:val="nil"/>
                    <w:left w:val="nil"/>
                    <w:bottom w:val="nil"/>
                  </w:tcBorders>
                </w:tcPr>
                <w:p w14:paraId="769890D4" w14:textId="77777777" w:rsidR="005A2C10" w:rsidRPr="005A2C10" w:rsidRDefault="005A2C10" w:rsidP="00BB539E">
                  <w:pPr>
                    <w:spacing w:before="80" w:after="80" w:line="240" w:lineRule="auto"/>
                    <w:rPr>
                      <w:sz w:val="19"/>
                      <w:szCs w:val="19"/>
                    </w:rPr>
                  </w:pPr>
                  <w:r w:rsidRPr="005A2C10">
                    <w:rPr>
                      <w:sz w:val="19"/>
                      <w:szCs w:val="19"/>
                    </w:rPr>
                    <w:t>Meets some aspects of the criterion but not others and/or moderate concerns are noted.</w:t>
                  </w:r>
                </w:p>
              </w:tc>
            </w:tr>
            <w:tr w:rsidR="005A2C10" w:rsidRPr="005A2C10" w14:paraId="3815615B" w14:textId="77777777" w:rsidTr="006D7A08">
              <w:trPr>
                <w:trHeight w:val="87"/>
                <w:tblHeader/>
              </w:trPr>
              <w:tc>
                <w:tcPr>
                  <w:tcW w:w="1885" w:type="dxa"/>
                  <w:gridSpan w:val="3"/>
                  <w:tcBorders>
                    <w:top w:val="nil"/>
                    <w:bottom w:val="single" w:sz="4" w:space="0" w:color="auto"/>
                    <w:right w:val="nil"/>
                  </w:tcBorders>
                </w:tcPr>
                <w:p w14:paraId="4D207494" w14:textId="77777777" w:rsidR="005A2C10" w:rsidRPr="005A2C10" w:rsidRDefault="005A2C10" w:rsidP="00BB539E">
                  <w:pPr>
                    <w:spacing w:before="80" w:after="80" w:line="240" w:lineRule="auto"/>
                    <w:rPr>
                      <w:b/>
                      <w:sz w:val="19"/>
                      <w:szCs w:val="19"/>
                    </w:rPr>
                  </w:pPr>
                  <w:r w:rsidRPr="005A2C10">
                    <w:rPr>
                      <w:rFonts w:ascii="Wingdings" w:hAnsi="Wingdings"/>
                      <w:color w:val="FF0000"/>
                      <w:sz w:val="19"/>
                      <w:szCs w:val="19"/>
                    </w:rPr>
                    <w:t></w:t>
                  </w:r>
                  <w:r w:rsidRPr="005A2C10">
                    <w:rPr>
                      <w:sz w:val="19"/>
                      <w:szCs w:val="19"/>
                    </w:rPr>
                    <w:t xml:space="preserve"> </w:t>
                  </w:r>
                  <w:r w:rsidRPr="005A2C10">
                    <w:rPr>
                      <w:b/>
                      <w:sz w:val="19"/>
                      <w:szCs w:val="19"/>
                    </w:rPr>
                    <w:t>Falls far below</w:t>
                  </w:r>
                </w:p>
              </w:tc>
              <w:tc>
                <w:tcPr>
                  <w:tcW w:w="7460" w:type="dxa"/>
                  <w:tcBorders>
                    <w:top w:val="nil"/>
                    <w:left w:val="nil"/>
                    <w:bottom w:val="single" w:sz="4" w:space="0" w:color="auto"/>
                  </w:tcBorders>
                </w:tcPr>
                <w:p w14:paraId="71251EA4" w14:textId="77777777" w:rsidR="005A2C10" w:rsidRPr="005A2C10" w:rsidRDefault="005A2C10" w:rsidP="00BB539E">
                  <w:pPr>
                    <w:spacing w:before="80" w:after="80" w:line="240" w:lineRule="auto"/>
                    <w:rPr>
                      <w:sz w:val="19"/>
                      <w:szCs w:val="19"/>
                    </w:rPr>
                  </w:pPr>
                  <w:r w:rsidRPr="005A2C10">
                    <w:rPr>
                      <w:sz w:val="19"/>
                      <w:szCs w:val="19"/>
                    </w:rPr>
                    <w:t>Falls far below the criterion; significant concern(s) are noted.</w:t>
                  </w:r>
                </w:p>
              </w:tc>
            </w:tr>
            <w:tr w:rsidR="005A2C10" w:rsidRPr="005A2C10" w14:paraId="71043707" w14:textId="77777777" w:rsidTr="006D7A08">
              <w:trPr>
                <w:tblHeader/>
              </w:trPr>
              <w:tc>
                <w:tcPr>
                  <w:tcW w:w="395" w:type="dxa"/>
                  <w:tcBorders>
                    <w:left w:val="nil"/>
                    <w:bottom w:val="nil"/>
                    <w:right w:val="nil"/>
                  </w:tcBorders>
                </w:tcPr>
                <w:p w14:paraId="2744A991" w14:textId="77777777" w:rsidR="005A2C10" w:rsidRPr="005A2C10" w:rsidRDefault="005A2C10" w:rsidP="00BB539E">
                  <w:pPr>
                    <w:spacing w:after="0" w:line="240" w:lineRule="auto"/>
                    <w:rPr>
                      <w:color w:val="FF0000"/>
                      <w:sz w:val="19"/>
                      <w:szCs w:val="19"/>
                    </w:rPr>
                  </w:pPr>
                </w:p>
              </w:tc>
              <w:tc>
                <w:tcPr>
                  <w:tcW w:w="860" w:type="dxa"/>
                  <w:tcBorders>
                    <w:left w:val="nil"/>
                    <w:bottom w:val="nil"/>
                    <w:right w:val="nil"/>
                  </w:tcBorders>
                </w:tcPr>
                <w:p w14:paraId="1029DA6C" w14:textId="77777777" w:rsidR="005A2C10" w:rsidRPr="005A2C10" w:rsidRDefault="005A2C10" w:rsidP="00BB539E">
                  <w:pPr>
                    <w:spacing w:after="0" w:line="240" w:lineRule="auto"/>
                    <w:rPr>
                      <w:sz w:val="19"/>
                      <w:szCs w:val="19"/>
                    </w:rPr>
                  </w:pPr>
                </w:p>
              </w:tc>
              <w:tc>
                <w:tcPr>
                  <w:tcW w:w="630" w:type="dxa"/>
                  <w:tcBorders>
                    <w:left w:val="nil"/>
                    <w:bottom w:val="nil"/>
                    <w:right w:val="nil"/>
                  </w:tcBorders>
                </w:tcPr>
                <w:p w14:paraId="30AD244C" w14:textId="77777777" w:rsidR="005A2C10" w:rsidRPr="005A2C10" w:rsidRDefault="005A2C10" w:rsidP="00BB539E">
                  <w:pPr>
                    <w:spacing w:after="0" w:line="240" w:lineRule="auto"/>
                    <w:rPr>
                      <w:b/>
                      <w:sz w:val="19"/>
                      <w:szCs w:val="19"/>
                    </w:rPr>
                  </w:pPr>
                </w:p>
              </w:tc>
              <w:tc>
                <w:tcPr>
                  <w:tcW w:w="7460" w:type="dxa"/>
                  <w:tcBorders>
                    <w:left w:val="nil"/>
                    <w:bottom w:val="nil"/>
                    <w:right w:val="nil"/>
                  </w:tcBorders>
                </w:tcPr>
                <w:p w14:paraId="7D5640E3" w14:textId="77777777" w:rsidR="005A2C10" w:rsidRPr="005A2C10" w:rsidRDefault="005A2C10" w:rsidP="00BB539E">
                  <w:pPr>
                    <w:spacing w:after="0" w:line="240" w:lineRule="auto"/>
                    <w:rPr>
                      <w:sz w:val="19"/>
                      <w:szCs w:val="19"/>
                    </w:rPr>
                  </w:pPr>
                </w:p>
              </w:tc>
            </w:tr>
          </w:tbl>
          <w:p w14:paraId="49BFFD68" w14:textId="77777777" w:rsidR="005A2C10" w:rsidRPr="005A2C10" w:rsidRDefault="005A2C10" w:rsidP="00BB539E">
            <w:pPr>
              <w:spacing w:after="0"/>
              <w:rPr>
                <w:sz w:val="19"/>
                <w:szCs w:val="19"/>
              </w:rPr>
            </w:pPr>
          </w:p>
        </w:tc>
      </w:tr>
      <w:tr w:rsidR="005A2C10" w:rsidRPr="005A2C10" w14:paraId="6C262B1B" w14:textId="77777777" w:rsidTr="006D7A08">
        <w:trPr>
          <w:tblHeader/>
        </w:trPr>
        <w:tc>
          <w:tcPr>
            <w:tcW w:w="1260" w:type="dxa"/>
            <w:shd w:val="clear" w:color="auto" w:fill="F2F2F2" w:themeFill="background1" w:themeFillShade="F2"/>
          </w:tcPr>
          <w:p w14:paraId="13E16FCD" w14:textId="77777777" w:rsidR="005A2C10" w:rsidRPr="005A2C10" w:rsidRDefault="005A2C10" w:rsidP="00BB539E">
            <w:pPr>
              <w:spacing w:before="40" w:after="40"/>
              <w:rPr>
                <w:b/>
                <w:sz w:val="19"/>
                <w:szCs w:val="19"/>
              </w:rPr>
            </w:pPr>
            <w:r w:rsidRPr="005A2C10">
              <w:rPr>
                <w:b/>
                <w:sz w:val="19"/>
                <w:szCs w:val="19"/>
              </w:rPr>
              <w:t>Guiding area</w:t>
            </w:r>
          </w:p>
        </w:tc>
        <w:tc>
          <w:tcPr>
            <w:tcW w:w="6570" w:type="dxa"/>
            <w:gridSpan w:val="2"/>
            <w:shd w:val="clear" w:color="auto" w:fill="F2F2F2" w:themeFill="background1" w:themeFillShade="F2"/>
          </w:tcPr>
          <w:p w14:paraId="4A8AC83D" w14:textId="77777777" w:rsidR="005A2C10" w:rsidRPr="005A2C10" w:rsidRDefault="005A2C10" w:rsidP="00BB539E">
            <w:pPr>
              <w:spacing w:before="40" w:after="40" w:line="240" w:lineRule="auto"/>
              <w:rPr>
                <w:b/>
                <w:sz w:val="19"/>
                <w:szCs w:val="19"/>
              </w:rPr>
            </w:pPr>
            <w:r w:rsidRPr="005A2C10">
              <w:rPr>
                <w:b/>
                <w:sz w:val="19"/>
                <w:szCs w:val="19"/>
              </w:rPr>
              <w:t>Criteria</w:t>
            </w:r>
          </w:p>
        </w:tc>
        <w:tc>
          <w:tcPr>
            <w:tcW w:w="1615" w:type="dxa"/>
            <w:shd w:val="clear" w:color="auto" w:fill="F2F2F2" w:themeFill="background1" w:themeFillShade="F2"/>
          </w:tcPr>
          <w:p w14:paraId="4930B1EA" w14:textId="77777777" w:rsidR="005A2C10" w:rsidRPr="005A2C10" w:rsidRDefault="005A2C10" w:rsidP="00BB539E">
            <w:pPr>
              <w:spacing w:before="40" w:after="40" w:line="240" w:lineRule="auto"/>
              <w:jc w:val="right"/>
              <w:rPr>
                <w:b/>
                <w:sz w:val="19"/>
                <w:szCs w:val="19"/>
              </w:rPr>
            </w:pPr>
            <w:r w:rsidRPr="005A2C10">
              <w:rPr>
                <w:b/>
                <w:sz w:val="19"/>
                <w:szCs w:val="19"/>
              </w:rPr>
              <w:t>Rating</w:t>
            </w:r>
          </w:p>
        </w:tc>
      </w:tr>
      <w:tr w:rsidR="005A2C10" w:rsidRPr="005A2C10" w14:paraId="24D13121" w14:textId="77777777" w:rsidTr="005A2C10">
        <w:tc>
          <w:tcPr>
            <w:tcW w:w="1260" w:type="dxa"/>
            <w:vMerge w:val="restart"/>
            <w:textDirection w:val="btLr"/>
            <w:vAlign w:val="center"/>
          </w:tcPr>
          <w:p w14:paraId="0F50A77E" w14:textId="77777777" w:rsidR="005A2C10" w:rsidRPr="005A2C10" w:rsidRDefault="005A2C10" w:rsidP="00BB539E">
            <w:pPr>
              <w:spacing w:before="40" w:after="40" w:line="240" w:lineRule="auto"/>
              <w:ind w:left="113" w:right="113"/>
              <w:jc w:val="center"/>
              <w:rPr>
                <w:b/>
                <w:sz w:val="19"/>
                <w:szCs w:val="19"/>
              </w:rPr>
            </w:pPr>
            <w:r w:rsidRPr="005A2C10">
              <w:rPr>
                <w:b/>
                <w:sz w:val="19"/>
                <w:szCs w:val="19"/>
              </w:rPr>
              <w:t>Faithfulness to  certificate</w:t>
            </w:r>
          </w:p>
        </w:tc>
        <w:tc>
          <w:tcPr>
            <w:tcW w:w="6570" w:type="dxa"/>
            <w:gridSpan w:val="2"/>
          </w:tcPr>
          <w:p w14:paraId="243649D8" w14:textId="77777777" w:rsidR="005A2C10" w:rsidRPr="005A2C10" w:rsidRDefault="005A2C10" w:rsidP="005A2C10">
            <w:pPr>
              <w:pStyle w:val="ListParagraph"/>
              <w:numPr>
                <w:ilvl w:val="0"/>
                <w:numId w:val="1"/>
              </w:numPr>
              <w:spacing w:before="40" w:after="40"/>
              <w:contextualSpacing w:val="0"/>
              <w:rPr>
                <w:rFonts w:asciiTheme="minorHAnsi" w:hAnsiTheme="minorHAnsi"/>
                <w:sz w:val="19"/>
                <w:szCs w:val="19"/>
              </w:rPr>
            </w:pPr>
            <w:r w:rsidRPr="005A2C10">
              <w:rPr>
                <w:rFonts w:asciiTheme="minorHAnsi" w:hAnsiTheme="minorHAnsi"/>
                <w:b/>
                <w:sz w:val="19"/>
                <w:szCs w:val="19"/>
              </w:rPr>
              <w:t>Mission and key design elements:</w:t>
            </w:r>
            <w:r w:rsidRPr="005A2C10">
              <w:rPr>
                <w:rFonts w:asciiTheme="minorHAnsi" w:hAnsiTheme="minorHAnsi"/>
                <w:sz w:val="19"/>
                <w:szCs w:val="19"/>
              </w:rPr>
              <w:t xml:space="preserve"> The school is faithful to its mission, implements the key design elements outlined in its certificate, and substantially meets its accountability plan goals.</w:t>
            </w:r>
          </w:p>
        </w:tc>
        <w:tc>
          <w:tcPr>
            <w:tcW w:w="1615" w:type="dxa"/>
          </w:tcPr>
          <w:p w14:paraId="51BB985E" w14:textId="095EB180" w:rsidR="005A2C10" w:rsidRPr="005A2C10" w:rsidRDefault="0067316C" w:rsidP="00BB539E">
            <w:pPr>
              <w:spacing w:before="40" w:after="40" w:line="240" w:lineRule="auto"/>
              <w:jc w:val="right"/>
              <w:rPr>
                <w:b/>
                <w:i/>
                <w:sz w:val="19"/>
                <w:szCs w:val="19"/>
              </w:rPr>
            </w:pPr>
            <w:r w:rsidRPr="005A2C10">
              <w:rPr>
                <w:rFonts w:ascii="Wingdings" w:hAnsi="Wingdings"/>
                <w:color w:val="FFC000"/>
                <w:sz w:val="19"/>
                <w:szCs w:val="19"/>
              </w:rPr>
              <w:t></w:t>
            </w:r>
            <w:r w:rsidRPr="005A2C10">
              <w:rPr>
                <w:color w:val="FFC000"/>
                <w:sz w:val="19"/>
                <w:szCs w:val="19"/>
              </w:rPr>
              <w:t xml:space="preserve"> </w:t>
            </w:r>
            <w:r w:rsidRPr="005A2C10">
              <w:rPr>
                <w:b/>
                <w:sz w:val="19"/>
                <w:szCs w:val="19"/>
              </w:rPr>
              <w:t>Partially meets</w:t>
            </w:r>
          </w:p>
        </w:tc>
      </w:tr>
      <w:tr w:rsidR="005A2C10" w:rsidRPr="005A2C10" w14:paraId="34F3626B" w14:textId="77777777" w:rsidTr="005A2C10">
        <w:tc>
          <w:tcPr>
            <w:tcW w:w="1260" w:type="dxa"/>
            <w:vMerge/>
          </w:tcPr>
          <w:p w14:paraId="085696CF" w14:textId="77777777" w:rsidR="005A2C10" w:rsidRPr="005A2C10" w:rsidRDefault="005A2C10" w:rsidP="00BB539E">
            <w:pPr>
              <w:spacing w:before="40" w:after="40" w:line="240" w:lineRule="auto"/>
              <w:rPr>
                <w:sz w:val="19"/>
                <w:szCs w:val="19"/>
              </w:rPr>
            </w:pPr>
          </w:p>
        </w:tc>
        <w:tc>
          <w:tcPr>
            <w:tcW w:w="6570" w:type="dxa"/>
            <w:gridSpan w:val="2"/>
          </w:tcPr>
          <w:p w14:paraId="7CE4322D" w14:textId="77777777" w:rsidR="005A2C10" w:rsidRPr="005A2C10" w:rsidRDefault="005A2C10" w:rsidP="005A2C10">
            <w:pPr>
              <w:pStyle w:val="ListParagraph"/>
              <w:numPr>
                <w:ilvl w:val="0"/>
                <w:numId w:val="1"/>
              </w:numPr>
              <w:spacing w:before="40" w:after="40"/>
              <w:contextualSpacing w:val="0"/>
              <w:rPr>
                <w:rFonts w:asciiTheme="minorHAnsi" w:hAnsiTheme="minorHAnsi"/>
                <w:sz w:val="19"/>
                <w:szCs w:val="19"/>
              </w:rPr>
            </w:pPr>
            <w:r w:rsidRPr="005A2C10">
              <w:rPr>
                <w:rFonts w:asciiTheme="minorHAnsi" w:hAnsiTheme="minorHAnsi"/>
                <w:b/>
                <w:sz w:val="19"/>
                <w:szCs w:val="19"/>
              </w:rPr>
              <w:t>Access and equity</w:t>
            </w:r>
            <w:r w:rsidRPr="005A2C10">
              <w:rPr>
                <w:rFonts w:asciiTheme="minorHAnsi" w:hAnsiTheme="minorHAnsi"/>
                <w:sz w:val="19"/>
                <w:szCs w:val="19"/>
              </w:rPr>
              <w:t>: The school ensures program access and equity for all students eligible to attend the school.</w:t>
            </w:r>
          </w:p>
        </w:tc>
        <w:tc>
          <w:tcPr>
            <w:tcW w:w="1615" w:type="dxa"/>
          </w:tcPr>
          <w:p w14:paraId="5965E447" w14:textId="10CC2C0F" w:rsidR="005A2C10" w:rsidRPr="005A2C10" w:rsidRDefault="0067316C" w:rsidP="00BB539E">
            <w:pPr>
              <w:spacing w:before="40" w:after="40" w:line="240" w:lineRule="auto"/>
              <w:jc w:val="right"/>
              <w:rPr>
                <w:b/>
                <w:i/>
                <w:sz w:val="19"/>
                <w:szCs w:val="19"/>
              </w:rPr>
            </w:pPr>
            <w:r w:rsidRPr="005A2C10">
              <w:rPr>
                <w:rFonts w:ascii="Wingdings" w:hAnsi="Wingdings"/>
                <w:color w:val="FFC000"/>
                <w:sz w:val="19"/>
                <w:szCs w:val="19"/>
              </w:rPr>
              <w:t></w:t>
            </w:r>
            <w:r w:rsidRPr="005A2C10">
              <w:rPr>
                <w:color w:val="FFC000"/>
                <w:sz w:val="19"/>
                <w:szCs w:val="19"/>
              </w:rPr>
              <w:t xml:space="preserve"> </w:t>
            </w:r>
            <w:r w:rsidRPr="005A2C10">
              <w:rPr>
                <w:b/>
                <w:sz w:val="19"/>
                <w:szCs w:val="19"/>
              </w:rPr>
              <w:t>Partially meets</w:t>
            </w:r>
          </w:p>
        </w:tc>
      </w:tr>
      <w:tr w:rsidR="005A2C10" w:rsidRPr="005A2C10" w14:paraId="42D1747B" w14:textId="77777777" w:rsidTr="005A2C10">
        <w:tc>
          <w:tcPr>
            <w:tcW w:w="1260" w:type="dxa"/>
            <w:vMerge/>
          </w:tcPr>
          <w:p w14:paraId="7813688D" w14:textId="77777777" w:rsidR="005A2C10" w:rsidRPr="005A2C10" w:rsidRDefault="005A2C10" w:rsidP="00BB539E">
            <w:pPr>
              <w:spacing w:before="40" w:after="40" w:line="240" w:lineRule="auto"/>
              <w:rPr>
                <w:sz w:val="19"/>
                <w:szCs w:val="19"/>
              </w:rPr>
            </w:pPr>
          </w:p>
        </w:tc>
        <w:tc>
          <w:tcPr>
            <w:tcW w:w="6570" w:type="dxa"/>
            <w:gridSpan w:val="2"/>
          </w:tcPr>
          <w:p w14:paraId="1B9EE695" w14:textId="77777777" w:rsidR="005A2C10" w:rsidRPr="005A2C10" w:rsidRDefault="005A2C10" w:rsidP="005A2C10">
            <w:pPr>
              <w:pStyle w:val="ListParagraph"/>
              <w:numPr>
                <w:ilvl w:val="0"/>
                <w:numId w:val="1"/>
              </w:numPr>
              <w:spacing w:before="40" w:after="40"/>
              <w:contextualSpacing w:val="0"/>
              <w:rPr>
                <w:rFonts w:asciiTheme="minorHAnsi" w:hAnsiTheme="minorHAnsi"/>
                <w:sz w:val="19"/>
                <w:szCs w:val="19"/>
              </w:rPr>
            </w:pPr>
            <w:r w:rsidRPr="005A2C10">
              <w:rPr>
                <w:rFonts w:asciiTheme="minorHAnsi" w:hAnsiTheme="minorHAnsi"/>
                <w:b/>
                <w:sz w:val="19"/>
                <w:szCs w:val="19"/>
              </w:rPr>
              <w:t>Compliance</w:t>
            </w:r>
            <w:r w:rsidRPr="005A2C10">
              <w:rPr>
                <w:rFonts w:asciiTheme="minorHAnsi" w:hAnsiTheme="minorHAnsi"/>
                <w:sz w:val="19"/>
                <w:szCs w:val="19"/>
              </w:rPr>
              <w:t>: The school compiles a record of compliance with the terms of its certificate and applicable state and federal laws and regulations.</w:t>
            </w:r>
          </w:p>
        </w:tc>
        <w:tc>
          <w:tcPr>
            <w:tcW w:w="1615" w:type="dxa"/>
          </w:tcPr>
          <w:p w14:paraId="3A009142" w14:textId="576006DC" w:rsidR="005A2C10" w:rsidRPr="0067316C" w:rsidRDefault="0067316C" w:rsidP="00BB539E">
            <w:pPr>
              <w:spacing w:before="40" w:after="40" w:line="240" w:lineRule="auto"/>
              <w:jc w:val="right"/>
              <w:rPr>
                <w:b/>
                <w:sz w:val="19"/>
                <w:szCs w:val="19"/>
              </w:rPr>
            </w:pPr>
            <w:r>
              <w:rPr>
                <w:b/>
                <w:sz w:val="19"/>
                <w:szCs w:val="19"/>
              </w:rPr>
              <w:t>N/A</w:t>
            </w:r>
          </w:p>
        </w:tc>
      </w:tr>
      <w:tr w:rsidR="005A2C10" w:rsidRPr="005A2C10" w14:paraId="20F8E0AC" w14:textId="77777777" w:rsidTr="005A2C10">
        <w:tc>
          <w:tcPr>
            <w:tcW w:w="1260" w:type="dxa"/>
            <w:vMerge w:val="restart"/>
            <w:textDirection w:val="btLr"/>
            <w:vAlign w:val="center"/>
          </w:tcPr>
          <w:p w14:paraId="786E74E9" w14:textId="77777777" w:rsidR="005A2C10" w:rsidRPr="005A2C10" w:rsidRDefault="005A2C10" w:rsidP="00BB539E">
            <w:pPr>
              <w:spacing w:before="40" w:after="40" w:line="240" w:lineRule="auto"/>
              <w:ind w:left="113" w:right="113"/>
              <w:jc w:val="center"/>
              <w:rPr>
                <w:b/>
                <w:sz w:val="19"/>
                <w:szCs w:val="19"/>
              </w:rPr>
            </w:pPr>
            <w:r w:rsidRPr="005A2C10">
              <w:rPr>
                <w:b/>
                <w:sz w:val="19"/>
                <w:szCs w:val="19"/>
              </w:rPr>
              <w:t>Academic and program success</w:t>
            </w:r>
          </w:p>
        </w:tc>
        <w:tc>
          <w:tcPr>
            <w:tcW w:w="6570" w:type="dxa"/>
            <w:gridSpan w:val="2"/>
          </w:tcPr>
          <w:p w14:paraId="408813DE" w14:textId="77777777" w:rsidR="005A2C10" w:rsidRPr="005A2C10" w:rsidRDefault="005A2C10" w:rsidP="005A2C10">
            <w:pPr>
              <w:pStyle w:val="ListParagraph"/>
              <w:numPr>
                <w:ilvl w:val="0"/>
                <w:numId w:val="1"/>
              </w:numPr>
              <w:spacing w:before="40" w:after="40"/>
              <w:contextualSpacing w:val="0"/>
              <w:rPr>
                <w:rFonts w:asciiTheme="minorHAnsi" w:hAnsiTheme="minorHAnsi"/>
                <w:sz w:val="19"/>
                <w:szCs w:val="19"/>
              </w:rPr>
            </w:pPr>
            <w:r w:rsidRPr="005A2C10">
              <w:rPr>
                <w:rFonts w:asciiTheme="minorHAnsi" w:hAnsiTheme="minorHAnsi"/>
                <w:b/>
                <w:sz w:val="19"/>
                <w:szCs w:val="19"/>
              </w:rPr>
              <w:t>Student performance</w:t>
            </w:r>
            <w:r w:rsidRPr="005A2C10">
              <w:rPr>
                <w:rFonts w:asciiTheme="minorHAnsi" w:hAnsiTheme="minorHAnsi"/>
                <w:sz w:val="19"/>
                <w:szCs w:val="19"/>
              </w:rPr>
              <w:t>: The school consistently meets state student performance standards for academic growth, proficiency, and college and career readiness.</w:t>
            </w:r>
          </w:p>
        </w:tc>
        <w:tc>
          <w:tcPr>
            <w:tcW w:w="1615" w:type="dxa"/>
          </w:tcPr>
          <w:p w14:paraId="3F6F03FD" w14:textId="11778E35" w:rsidR="005A2C10" w:rsidRPr="005A2C10" w:rsidRDefault="0067316C" w:rsidP="00BB539E">
            <w:pPr>
              <w:jc w:val="center"/>
              <w:rPr>
                <w:sz w:val="19"/>
                <w:szCs w:val="19"/>
              </w:rPr>
            </w:pPr>
            <w:r w:rsidRPr="005A2C10">
              <w:rPr>
                <w:rFonts w:ascii="Wingdings" w:hAnsi="Wingdings"/>
                <w:color w:val="FF0000"/>
                <w:sz w:val="19"/>
                <w:szCs w:val="19"/>
              </w:rPr>
              <w:t></w:t>
            </w:r>
            <w:r w:rsidRPr="005A2C10">
              <w:rPr>
                <w:sz w:val="19"/>
                <w:szCs w:val="19"/>
              </w:rPr>
              <w:t xml:space="preserve"> </w:t>
            </w:r>
            <w:r w:rsidRPr="005A2C10">
              <w:rPr>
                <w:b/>
                <w:sz w:val="19"/>
                <w:szCs w:val="19"/>
              </w:rPr>
              <w:t>Falls far below</w:t>
            </w:r>
          </w:p>
        </w:tc>
      </w:tr>
      <w:tr w:rsidR="005A2C10" w:rsidRPr="005A2C10" w14:paraId="6A74FE3B" w14:textId="77777777" w:rsidTr="005A2C10">
        <w:trPr>
          <w:trHeight w:val="98"/>
        </w:trPr>
        <w:tc>
          <w:tcPr>
            <w:tcW w:w="1260" w:type="dxa"/>
            <w:vMerge/>
          </w:tcPr>
          <w:p w14:paraId="06CFDF35" w14:textId="77777777" w:rsidR="005A2C10" w:rsidRPr="005A2C10" w:rsidRDefault="005A2C10" w:rsidP="00BB539E">
            <w:pPr>
              <w:spacing w:before="40" w:after="40" w:line="240" w:lineRule="auto"/>
              <w:ind w:left="113" w:right="113"/>
              <w:jc w:val="center"/>
              <w:rPr>
                <w:b/>
                <w:sz w:val="19"/>
                <w:szCs w:val="19"/>
              </w:rPr>
            </w:pPr>
          </w:p>
        </w:tc>
        <w:tc>
          <w:tcPr>
            <w:tcW w:w="4230" w:type="dxa"/>
            <w:vMerge w:val="restart"/>
          </w:tcPr>
          <w:p w14:paraId="6FB2BAFC" w14:textId="77777777" w:rsidR="005A2C10" w:rsidRPr="005A2C10" w:rsidRDefault="005A2C10" w:rsidP="005A2C10">
            <w:pPr>
              <w:pStyle w:val="ListParagraph"/>
              <w:numPr>
                <w:ilvl w:val="0"/>
                <w:numId w:val="1"/>
              </w:numPr>
              <w:spacing w:before="40" w:after="40"/>
              <w:contextualSpacing w:val="0"/>
              <w:rPr>
                <w:rFonts w:asciiTheme="minorHAnsi" w:hAnsiTheme="minorHAnsi"/>
                <w:sz w:val="19"/>
                <w:szCs w:val="19"/>
              </w:rPr>
            </w:pPr>
            <w:r w:rsidRPr="005A2C10">
              <w:rPr>
                <w:rFonts w:asciiTheme="minorHAnsi" w:hAnsiTheme="minorHAnsi"/>
                <w:b/>
                <w:sz w:val="19"/>
                <w:szCs w:val="19"/>
              </w:rPr>
              <w:t>Program delivery</w:t>
            </w:r>
            <w:r w:rsidRPr="005A2C10">
              <w:rPr>
                <w:rFonts w:asciiTheme="minorHAnsi" w:hAnsiTheme="minorHAnsi"/>
                <w:sz w:val="19"/>
                <w:szCs w:val="19"/>
              </w:rPr>
              <w:t>: The school delivers an academic program that delivers improved academic outcomes and educational success for all students.</w:t>
            </w:r>
          </w:p>
        </w:tc>
        <w:tc>
          <w:tcPr>
            <w:tcW w:w="2340" w:type="dxa"/>
            <w:vAlign w:val="center"/>
          </w:tcPr>
          <w:p w14:paraId="36BC415F" w14:textId="77777777" w:rsidR="005A2C10" w:rsidRPr="005A2C10" w:rsidRDefault="005A2C10" w:rsidP="00BB539E">
            <w:pPr>
              <w:spacing w:before="40" w:after="40" w:line="240" w:lineRule="auto"/>
              <w:rPr>
                <w:b/>
                <w:sz w:val="19"/>
                <w:szCs w:val="19"/>
              </w:rPr>
            </w:pPr>
            <w:r w:rsidRPr="005A2C10">
              <w:rPr>
                <w:b/>
                <w:sz w:val="19"/>
                <w:szCs w:val="19"/>
              </w:rPr>
              <w:t>Curriculum</w:t>
            </w:r>
          </w:p>
        </w:tc>
        <w:tc>
          <w:tcPr>
            <w:tcW w:w="1615" w:type="dxa"/>
          </w:tcPr>
          <w:p w14:paraId="6F249BAC" w14:textId="03C2E38A" w:rsidR="005A2C10" w:rsidRPr="005A2C10" w:rsidRDefault="0067316C" w:rsidP="00BB539E">
            <w:pPr>
              <w:spacing w:before="40" w:after="40" w:line="240" w:lineRule="auto"/>
              <w:jc w:val="right"/>
              <w:rPr>
                <w:b/>
                <w:i/>
                <w:sz w:val="19"/>
                <w:szCs w:val="19"/>
              </w:rPr>
            </w:pPr>
            <w:r w:rsidRPr="005A2C10">
              <w:rPr>
                <w:rFonts w:ascii="Wingdings" w:hAnsi="Wingdings"/>
                <w:color w:val="FFC000"/>
                <w:sz w:val="19"/>
                <w:szCs w:val="19"/>
              </w:rPr>
              <w:t></w:t>
            </w:r>
            <w:r w:rsidRPr="005A2C10">
              <w:rPr>
                <w:color w:val="FFC000"/>
                <w:sz w:val="19"/>
                <w:szCs w:val="19"/>
              </w:rPr>
              <w:t xml:space="preserve"> </w:t>
            </w:r>
            <w:r w:rsidRPr="005A2C10">
              <w:rPr>
                <w:b/>
                <w:sz w:val="19"/>
                <w:szCs w:val="19"/>
              </w:rPr>
              <w:t>Partially meets</w:t>
            </w:r>
          </w:p>
        </w:tc>
      </w:tr>
      <w:tr w:rsidR="005A2C10" w:rsidRPr="005A2C10" w14:paraId="5D8829F6" w14:textId="77777777" w:rsidTr="005A2C10">
        <w:trPr>
          <w:trHeight w:val="50"/>
        </w:trPr>
        <w:tc>
          <w:tcPr>
            <w:tcW w:w="1260" w:type="dxa"/>
            <w:vMerge/>
          </w:tcPr>
          <w:p w14:paraId="254A1B3D" w14:textId="77777777" w:rsidR="005A2C10" w:rsidRPr="005A2C10" w:rsidRDefault="005A2C10" w:rsidP="00BB539E">
            <w:pPr>
              <w:spacing w:before="40" w:after="40" w:line="240" w:lineRule="auto"/>
              <w:ind w:left="113" w:right="113"/>
              <w:jc w:val="center"/>
              <w:rPr>
                <w:b/>
                <w:sz w:val="19"/>
                <w:szCs w:val="19"/>
              </w:rPr>
            </w:pPr>
          </w:p>
        </w:tc>
        <w:tc>
          <w:tcPr>
            <w:tcW w:w="4230" w:type="dxa"/>
            <w:vMerge/>
          </w:tcPr>
          <w:p w14:paraId="2703CC07" w14:textId="77777777" w:rsidR="005A2C10" w:rsidRPr="005A2C10" w:rsidRDefault="005A2C10" w:rsidP="005A2C10">
            <w:pPr>
              <w:pStyle w:val="ListParagraph"/>
              <w:numPr>
                <w:ilvl w:val="0"/>
                <w:numId w:val="1"/>
              </w:numPr>
              <w:spacing w:before="40" w:after="40"/>
              <w:contextualSpacing w:val="0"/>
              <w:rPr>
                <w:rFonts w:asciiTheme="minorHAnsi" w:hAnsiTheme="minorHAnsi"/>
                <w:b/>
                <w:sz w:val="19"/>
                <w:szCs w:val="19"/>
              </w:rPr>
            </w:pPr>
          </w:p>
        </w:tc>
        <w:tc>
          <w:tcPr>
            <w:tcW w:w="2340" w:type="dxa"/>
            <w:vAlign w:val="center"/>
          </w:tcPr>
          <w:p w14:paraId="57B6EC5A" w14:textId="77777777" w:rsidR="005A2C10" w:rsidRPr="005A2C10" w:rsidRDefault="005A2C10" w:rsidP="00BB539E">
            <w:pPr>
              <w:spacing w:before="40" w:after="40" w:line="240" w:lineRule="auto"/>
              <w:rPr>
                <w:b/>
                <w:sz w:val="19"/>
                <w:szCs w:val="19"/>
              </w:rPr>
            </w:pPr>
            <w:r w:rsidRPr="005A2C10">
              <w:rPr>
                <w:b/>
                <w:sz w:val="19"/>
                <w:szCs w:val="19"/>
              </w:rPr>
              <w:t>Instruction</w:t>
            </w:r>
          </w:p>
        </w:tc>
        <w:tc>
          <w:tcPr>
            <w:tcW w:w="1615" w:type="dxa"/>
          </w:tcPr>
          <w:p w14:paraId="1F96214C" w14:textId="669FDF6D" w:rsidR="005A2C10" w:rsidRPr="005A2C10" w:rsidRDefault="0067316C" w:rsidP="00BB539E">
            <w:pPr>
              <w:spacing w:before="40" w:after="40" w:line="240" w:lineRule="auto"/>
              <w:jc w:val="right"/>
              <w:rPr>
                <w:b/>
                <w:i/>
                <w:sz w:val="19"/>
                <w:szCs w:val="19"/>
              </w:rPr>
            </w:pPr>
            <w:r w:rsidRPr="005A2C10">
              <w:rPr>
                <w:rFonts w:ascii="Wingdings" w:hAnsi="Wingdings"/>
                <w:color w:val="FFC000"/>
                <w:sz w:val="19"/>
                <w:szCs w:val="19"/>
              </w:rPr>
              <w:t></w:t>
            </w:r>
            <w:r w:rsidRPr="005A2C10">
              <w:rPr>
                <w:color w:val="FFC000"/>
                <w:sz w:val="19"/>
                <w:szCs w:val="19"/>
              </w:rPr>
              <w:t xml:space="preserve"> </w:t>
            </w:r>
            <w:r w:rsidRPr="005A2C10">
              <w:rPr>
                <w:b/>
                <w:sz w:val="19"/>
                <w:szCs w:val="19"/>
              </w:rPr>
              <w:t>Partially meets</w:t>
            </w:r>
          </w:p>
        </w:tc>
      </w:tr>
      <w:tr w:rsidR="005A2C10" w:rsidRPr="005A2C10" w14:paraId="34AF060E" w14:textId="77777777" w:rsidTr="005A2C10">
        <w:trPr>
          <w:trHeight w:val="50"/>
        </w:trPr>
        <w:tc>
          <w:tcPr>
            <w:tcW w:w="1260" w:type="dxa"/>
            <w:vMerge/>
          </w:tcPr>
          <w:p w14:paraId="4BBEBBE7" w14:textId="77777777" w:rsidR="005A2C10" w:rsidRPr="005A2C10" w:rsidRDefault="005A2C10" w:rsidP="00BB539E">
            <w:pPr>
              <w:spacing w:before="40" w:after="40" w:line="240" w:lineRule="auto"/>
              <w:ind w:left="113" w:right="113"/>
              <w:jc w:val="center"/>
              <w:rPr>
                <w:b/>
                <w:sz w:val="19"/>
                <w:szCs w:val="19"/>
              </w:rPr>
            </w:pPr>
          </w:p>
        </w:tc>
        <w:tc>
          <w:tcPr>
            <w:tcW w:w="4230" w:type="dxa"/>
            <w:vMerge/>
          </w:tcPr>
          <w:p w14:paraId="6F3B5838" w14:textId="77777777" w:rsidR="005A2C10" w:rsidRPr="005A2C10" w:rsidRDefault="005A2C10" w:rsidP="005A2C10">
            <w:pPr>
              <w:pStyle w:val="ListParagraph"/>
              <w:numPr>
                <w:ilvl w:val="0"/>
                <w:numId w:val="1"/>
              </w:numPr>
              <w:spacing w:before="40" w:after="40"/>
              <w:contextualSpacing w:val="0"/>
              <w:rPr>
                <w:rFonts w:asciiTheme="minorHAnsi" w:hAnsiTheme="minorHAnsi"/>
                <w:b/>
                <w:sz w:val="19"/>
                <w:szCs w:val="19"/>
              </w:rPr>
            </w:pPr>
          </w:p>
        </w:tc>
        <w:tc>
          <w:tcPr>
            <w:tcW w:w="2340" w:type="dxa"/>
            <w:vAlign w:val="center"/>
          </w:tcPr>
          <w:p w14:paraId="52B44B3D" w14:textId="77777777" w:rsidR="005A2C10" w:rsidRPr="005A2C10" w:rsidRDefault="005A2C10" w:rsidP="00BB539E">
            <w:pPr>
              <w:spacing w:before="40" w:after="40" w:line="240" w:lineRule="auto"/>
              <w:rPr>
                <w:b/>
                <w:sz w:val="19"/>
                <w:szCs w:val="19"/>
              </w:rPr>
            </w:pPr>
            <w:r w:rsidRPr="005A2C10">
              <w:rPr>
                <w:b/>
                <w:sz w:val="19"/>
                <w:szCs w:val="19"/>
              </w:rPr>
              <w:t>Assessment and program evaluation</w:t>
            </w:r>
          </w:p>
        </w:tc>
        <w:tc>
          <w:tcPr>
            <w:tcW w:w="1615" w:type="dxa"/>
          </w:tcPr>
          <w:p w14:paraId="69B73667" w14:textId="1E4B3E94" w:rsidR="005A2C10" w:rsidRPr="005A2C10" w:rsidRDefault="0067316C" w:rsidP="00BB539E">
            <w:pPr>
              <w:spacing w:before="40" w:after="40" w:line="240" w:lineRule="auto"/>
              <w:jc w:val="right"/>
              <w:rPr>
                <w:b/>
                <w:i/>
                <w:sz w:val="19"/>
                <w:szCs w:val="19"/>
              </w:rPr>
            </w:pPr>
            <w:r w:rsidRPr="005A2C10">
              <w:rPr>
                <w:rFonts w:ascii="Wingdings" w:hAnsi="Wingdings"/>
                <w:color w:val="FFC000"/>
                <w:sz w:val="19"/>
                <w:szCs w:val="19"/>
              </w:rPr>
              <w:t></w:t>
            </w:r>
            <w:r w:rsidRPr="005A2C10">
              <w:rPr>
                <w:color w:val="FFC000"/>
                <w:sz w:val="19"/>
                <w:szCs w:val="19"/>
              </w:rPr>
              <w:t xml:space="preserve"> </w:t>
            </w:r>
            <w:r w:rsidRPr="005A2C10">
              <w:rPr>
                <w:b/>
                <w:sz w:val="19"/>
                <w:szCs w:val="19"/>
              </w:rPr>
              <w:t>Partially meets</w:t>
            </w:r>
          </w:p>
        </w:tc>
      </w:tr>
      <w:tr w:rsidR="005A2C10" w:rsidRPr="005A2C10" w14:paraId="4225EFA8" w14:textId="77777777" w:rsidTr="005A2C10">
        <w:trPr>
          <w:trHeight w:val="50"/>
        </w:trPr>
        <w:tc>
          <w:tcPr>
            <w:tcW w:w="1260" w:type="dxa"/>
            <w:vMerge/>
          </w:tcPr>
          <w:p w14:paraId="39880B7F" w14:textId="77777777" w:rsidR="005A2C10" w:rsidRPr="005A2C10" w:rsidRDefault="005A2C10" w:rsidP="00BB539E">
            <w:pPr>
              <w:spacing w:before="40" w:after="40" w:line="240" w:lineRule="auto"/>
              <w:ind w:left="113" w:right="113"/>
              <w:jc w:val="center"/>
              <w:rPr>
                <w:b/>
                <w:sz w:val="19"/>
                <w:szCs w:val="19"/>
              </w:rPr>
            </w:pPr>
          </w:p>
        </w:tc>
        <w:tc>
          <w:tcPr>
            <w:tcW w:w="4230" w:type="dxa"/>
            <w:vMerge/>
          </w:tcPr>
          <w:p w14:paraId="332DDAC2" w14:textId="77777777" w:rsidR="005A2C10" w:rsidRPr="005A2C10" w:rsidRDefault="005A2C10" w:rsidP="005A2C10">
            <w:pPr>
              <w:pStyle w:val="ListParagraph"/>
              <w:numPr>
                <w:ilvl w:val="0"/>
                <w:numId w:val="1"/>
              </w:numPr>
              <w:spacing w:before="40" w:after="40"/>
              <w:contextualSpacing w:val="0"/>
              <w:rPr>
                <w:rFonts w:asciiTheme="minorHAnsi" w:hAnsiTheme="minorHAnsi"/>
                <w:b/>
                <w:sz w:val="19"/>
                <w:szCs w:val="19"/>
              </w:rPr>
            </w:pPr>
          </w:p>
        </w:tc>
        <w:tc>
          <w:tcPr>
            <w:tcW w:w="2340" w:type="dxa"/>
            <w:vAlign w:val="center"/>
          </w:tcPr>
          <w:p w14:paraId="012E133B" w14:textId="77777777" w:rsidR="005A2C10" w:rsidRPr="005A2C10" w:rsidRDefault="005A2C10" w:rsidP="00BB539E">
            <w:pPr>
              <w:spacing w:before="40" w:after="40" w:line="240" w:lineRule="auto"/>
              <w:rPr>
                <w:b/>
                <w:sz w:val="19"/>
                <w:szCs w:val="19"/>
              </w:rPr>
            </w:pPr>
            <w:r w:rsidRPr="005A2C10">
              <w:rPr>
                <w:b/>
                <w:sz w:val="19"/>
                <w:szCs w:val="19"/>
              </w:rPr>
              <w:t>Diverse learners</w:t>
            </w:r>
          </w:p>
        </w:tc>
        <w:tc>
          <w:tcPr>
            <w:tcW w:w="1615" w:type="dxa"/>
          </w:tcPr>
          <w:p w14:paraId="5FA46E3C" w14:textId="47AC6F69" w:rsidR="005A2C10" w:rsidRPr="005A2C10" w:rsidRDefault="0067316C" w:rsidP="00BB539E">
            <w:pPr>
              <w:spacing w:before="40" w:after="40" w:line="240" w:lineRule="auto"/>
              <w:jc w:val="right"/>
              <w:rPr>
                <w:b/>
                <w:i/>
                <w:sz w:val="19"/>
                <w:szCs w:val="19"/>
              </w:rPr>
            </w:pPr>
            <w:r w:rsidRPr="005A2C10">
              <w:rPr>
                <w:rFonts w:ascii="Wingdings" w:hAnsi="Wingdings"/>
                <w:color w:val="FFC000"/>
                <w:sz w:val="19"/>
                <w:szCs w:val="19"/>
              </w:rPr>
              <w:t></w:t>
            </w:r>
            <w:r w:rsidRPr="005A2C10">
              <w:rPr>
                <w:color w:val="FFC000"/>
                <w:sz w:val="19"/>
                <w:szCs w:val="19"/>
              </w:rPr>
              <w:t xml:space="preserve"> </w:t>
            </w:r>
            <w:r w:rsidRPr="005A2C10">
              <w:rPr>
                <w:b/>
                <w:sz w:val="19"/>
                <w:szCs w:val="19"/>
              </w:rPr>
              <w:t>Partially meets</w:t>
            </w:r>
          </w:p>
        </w:tc>
      </w:tr>
      <w:tr w:rsidR="0067316C" w:rsidRPr="005A2C10" w14:paraId="60A467E3" w14:textId="77777777" w:rsidTr="005A2C10">
        <w:trPr>
          <w:trHeight w:val="566"/>
        </w:trPr>
        <w:tc>
          <w:tcPr>
            <w:tcW w:w="1260" w:type="dxa"/>
            <w:vMerge/>
          </w:tcPr>
          <w:p w14:paraId="4467C8A3" w14:textId="77777777" w:rsidR="0067316C" w:rsidRPr="005A2C10" w:rsidRDefault="0067316C" w:rsidP="00BB539E">
            <w:pPr>
              <w:spacing w:before="40" w:after="40" w:line="240" w:lineRule="auto"/>
              <w:ind w:left="113" w:right="113"/>
              <w:jc w:val="center"/>
              <w:rPr>
                <w:b/>
                <w:sz w:val="19"/>
                <w:szCs w:val="19"/>
              </w:rPr>
            </w:pPr>
          </w:p>
        </w:tc>
        <w:tc>
          <w:tcPr>
            <w:tcW w:w="4230" w:type="dxa"/>
            <w:vMerge w:val="restart"/>
          </w:tcPr>
          <w:p w14:paraId="5C88EF6D" w14:textId="77777777" w:rsidR="0067316C" w:rsidRPr="005A2C10" w:rsidRDefault="0067316C" w:rsidP="005A2C10">
            <w:pPr>
              <w:pStyle w:val="ListParagraph"/>
              <w:numPr>
                <w:ilvl w:val="0"/>
                <w:numId w:val="1"/>
              </w:numPr>
              <w:spacing w:before="40" w:after="40"/>
              <w:contextualSpacing w:val="0"/>
              <w:rPr>
                <w:rFonts w:asciiTheme="minorHAnsi" w:hAnsiTheme="minorHAnsi"/>
                <w:sz w:val="19"/>
                <w:szCs w:val="19"/>
              </w:rPr>
            </w:pPr>
            <w:r w:rsidRPr="005A2C10">
              <w:rPr>
                <w:rFonts w:asciiTheme="minorHAnsi" w:hAnsiTheme="minorHAnsi"/>
                <w:b/>
                <w:sz w:val="19"/>
                <w:szCs w:val="19"/>
              </w:rPr>
              <w:t xml:space="preserve">Culture and family engagement: </w:t>
            </w:r>
            <w:r w:rsidRPr="005A2C10">
              <w:rPr>
                <w:rFonts w:asciiTheme="minorHAnsi" w:hAnsiTheme="minorHAnsi"/>
                <w:sz w:val="19"/>
                <w:szCs w:val="19"/>
              </w:rPr>
              <w:t>The school supports students’ social and emotional health in a safe and respectful learning environment that engages families.</w:t>
            </w:r>
          </w:p>
        </w:tc>
        <w:tc>
          <w:tcPr>
            <w:tcW w:w="2340" w:type="dxa"/>
            <w:vAlign w:val="center"/>
          </w:tcPr>
          <w:p w14:paraId="0C561D1D" w14:textId="77777777" w:rsidR="0067316C" w:rsidRPr="005A2C10" w:rsidRDefault="0067316C" w:rsidP="00BB539E">
            <w:pPr>
              <w:spacing w:before="40" w:after="40" w:line="240" w:lineRule="auto"/>
              <w:rPr>
                <w:b/>
                <w:sz w:val="19"/>
                <w:szCs w:val="19"/>
              </w:rPr>
            </w:pPr>
            <w:r w:rsidRPr="005A2C10">
              <w:rPr>
                <w:b/>
                <w:sz w:val="19"/>
                <w:szCs w:val="19"/>
              </w:rPr>
              <w:t>Social, emotional, and health needs</w:t>
            </w:r>
          </w:p>
        </w:tc>
        <w:tc>
          <w:tcPr>
            <w:tcW w:w="1615" w:type="dxa"/>
            <w:vMerge w:val="restart"/>
          </w:tcPr>
          <w:p w14:paraId="5EA7A651" w14:textId="48BC5BF9" w:rsidR="0067316C" w:rsidRPr="005A2C10" w:rsidRDefault="0067316C" w:rsidP="00BB539E">
            <w:pPr>
              <w:spacing w:before="40" w:after="40" w:line="240" w:lineRule="auto"/>
              <w:jc w:val="right"/>
              <w:rPr>
                <w:b/>
                <w:i/>
                <w:sz w:val="19"/>
                <w:szCs w:val="19"/>
              </w:rPr>
            </w:pPr>
            <w:r w:rsidRPr="005A2C10">
              <w:rPr>
                <w:rFonts w:ascii="Wingdings" w:hAnsi="Wingdings"/>
                <w:color w:val="00B050"/>
                <w:sz w:val="19"/>
                <w:szCs w:val="19"/>
              </w:rPr>
              <w:t></w:t>
            </w:r>
            <w:r w:rsidRPr="005A2C10">
              <w:rPr>
                <w:color w:val="00B050"/>
                <w:sz w:val="19"/>
                <w:szCs w:val="19"/>
              </w:rPr>
              <w:t xml:space="preserve"> </w:t>
            </w:r>
            <w:r w:rsidRPr="005A2C10">
              <w:rPr>
                <w:b/>
                <w:sz w:val="19"/>
                <w:szCs w:val="19"/>
              </w:rPr>
              <w:t>Meets</w:t>
            </w:r>
          </w:p>
        </w:tc>
      </w:tr>
      <w:tr w:rsidR="0067316C" w:rsidRPr="005A2C10" w14:paraId="718B6937" w14:textId="77777777" w:rsidTr="005A2C10">
        <w:trPr>
          <w:trHeight w:val="380"/>
        </w:trPr>
        <w:tc>
          <w:tcPr>
            <w:tcW w:w="1260" w:type="dxa"/>
            <w:vMerge/>
          </w:tcPr>
          <w:p w14:paraId="1E324FFA" w14:textId="77777777" w:rsidR="0067316C" w:rsidRPr="005A2C10" w:rsidRDefault="0067316C" w:rsidP="00BB539E">
            <w:pPr>
              <w:spacing w:before="40" w:after="40"/>
              <w:ind w:left="113" w:right="113"/>
              <w:jc w:val="center"/>
              <w:rPr>
                <w:b/>
                <w:sz w:val="19"/>
                <w:szCs w:val="19"/>
              </w:rPr>
            </w:pPr>
          </w:p>
        </w:tc>
        <w:tc>
          <w:tcPr>
            <w:tcW w:w="4230" w:type="dxa"/>
            <w:vMerge/>
          </w:tcPr>
          <w:p w14:paraId="0B32DB80" w14:textId="77777777" w:rsidR="0067316C" w:rsidRPr="005A2C10" w:rsidRDefault="0067316C" w:rsidP="005A2C10">
            <w:pPr>
              <w:pStyle w:val="ListParagraph"/>
              <w:numPr>
                <w:ilvl w:val="0"/>
                <w:numId w:val="1"/>
              </w:numPr>
              <w:spacing w:before="40" w:after="40"/>
              <w:contextualSpacing w:val="0"/>
              <w:rPr>
                <w:rFonts w:asciiTheme="minorHAnsi" w:hAnsiTheme="minorHAnsi"/>
                <w:sz w:val="19"/>
                <w:szCs w:val="19"/>
              </w:rPr>
            </w:pPr>
          </w:p>
        </w:tc>
        <w:tc>
          <w:tcPr>
            <w:tcW w:w="2340" w:type="dxa"/>
            <w:vAlign w:val="center"/>
          </w:tcPr>
          <w:p w14:paraId="391B8163" w14:textId="77777777" w:rsidR="0067316C" w:rsidRPr="005A2C10" w:rsidRDefault="0067316C" w:rsidP="00BB539E">
            <w:pPr>
              <w:spacing w:before="40" w:after="40" w:line="240" w:lineRule="auto"/>
              <w:rPr>
                <w:b/>
                <w:sz w:val="19"/>
                <w:szCs w:val="19"/>
              </w:rPr>
            </w:pPr>
            <w:r w:rsidRPr="005A2C10">
              <w:rPr>
                <w:b/>
                <w:sz w:val="19"/>
                <w:szCs w:val="19"/>
              </w:rPr>
              <w:t>Family and community engagement</w:t>
            </w:r>
          </w:p>
        </w:tc>
        <w:tc>
          <w:tcPr>
            <w:tcW w:w="1615" w:type="dxa"/>
            <w:vMerge/>
          </w:tcPr>
          <w:p w14:paraId="6F3F7C2B" w14:textId="77777777" w:rsidR="0067316C" w:rsidRPr="005A2C10" w:rsidRDefault="0067316C" w:rsidP="00BB539E">
            <w:pPr>
              <w:spacing w:before="40" w:after="40" w:line="240" w:lineRule="auto"/>
              <w:jc w:val="right"/>
              <w:rPr>
                <w:b/>
                <w:i/>
                <w:sz w:val="19"/>
                <w:szCs w:val="19"/>
              </w:rPr>
            </w:pPr>
          </w:p>
        </w:tc>
      </w:tr>
      <w:tr w:rsidR="005A2C10" w:rsidRPr="005A2C10" w14:paraId="41C2ED47" w14:textId="77777777" w:rsidTr="005A2C10">
        <w:trPr>
          <w:trHeight w:val="42"/>
        </w:trPr>
        <w:tc>
          <w:tcPr>
            <w:tcW w:w="1260" w:type="dxa"/>
            <w:vMerge w:val="restart"/>
            <w:textDirection w:val="btLr"/>
            <w:vAlign w:val="center"/>
          </w:tcPr>
          <w:p w14:paraId="0C505CE4" w14:textId="77777777" w:rsidR="005A2C10" w:rsidRPr="005A2C10" w:rsidRDefault="005A2C10" w:rsidP="00BB539E">
            <w:pPr>
              <w:spacing w:before="40" w:after="40" w:line="240" w:lineRule="auto"/>
              <w:ind w:left="113" w:right="113"/>
              <w:jc w:val="center"/>
              <w:rPr>
                <w:b/>
                <w:sz w:val="19"/>
                <w:szCs w:val="19"/>
              </w:rPr>
            </w:pPr>
            <w:r w:rsidRPr="005A2C10">
              <w:rPr>
                <w:b/>
                <w:sz w:val="19"/>
                <w:szCs w:val="19"/>
              </w:rPr>
              <w:t>Organizational viability</w:t>
            </w:r>
          </w:p>
        </w:tc>
        <w:tc>
          <w:tcPr>
            <w:tcW w:w="4230" w:type="dxa"/>
            <w:vMerge w:val="restart"/>
          </w:tcPr>
          <w:p w14:paraId="02085EB0" w14:textId="77777777" w:rsidR="005A2C10" w:rsidRPr="005A2C10" w:rsidRDefault="005A2C10" w:rsidP="005A2C10">
            <w:pPr>
              <w:pStyle w:val="ListParagraph"/>
              <w:numPr>
                <w:ilvl w:val="0"/>
                <w:numId w:val="1"/>
              </w:numPr>
              <w:spacing w:before="40" w:after="40"/>
              <w:contextualSpacing w:val="0"/>
              <w:rPr>
                <w:rFonts w:asciiTheme="minorHAnsi" w:hAnsiTheme="minorHAnsi"/>
                <w:sz w:val="19"/>
                <w:szCs w:val="19"/>
              </w:rPr>
            </w:pPr>
            <w:r w:rsidRPr="005A2C10">
              <w:rPr>
                <w:rFonts w:asciiTheme="minorHAnsi" w:hAnsiTheme="minorHAnsi"/>
                <w:b/>
                <w:sz w:val="19"/>
                <w:szCs w:val="19"/>
              </w:rPr>
              <w:t xml:space="preserve">Capacity: </w:t>
            </w:r>
            <w:r w:rsidRPr="005A2C10">
              <w:rPr>
                <w:rFonts w:asciiTheme="minorHAnsi" w:hAnsiTheme="minorHAnsi"/>
                <w:sz w:val="19"/>
                <w:szCs w:val="19"/>
              </w:rPr>
              <w:t>The school sustains a well-functioning organizational structure and creates a professional working climate for all staff.</w:t>
            </w:r>
          </w:p>
        </w:tc>
        <w:tc>
          <w:tcPr>
            <w:tcW w:w="2340" w:type="dxa"/>
            <w:vAlign w:val="center"/>
          </w:tcPr>
          <w:p w14:paraId="162540D6" w14:textId="77777777" w:rsidR="005A2C10" w:rsidRPr="005A2C10" w:rsidRDefault="005A2C10" w:rsidP="00BB539E">
            <w:pPr>
              <w:spacing w:before="40" w:after="40" w:line="240" w:lineRule="auto"/>
              <w:rPr>
                <w:b/>
                <w:sz w:val="19"/>
                <w:szCs w:val="19"/>
              </w:rPr>
            </w:pPr>
            <w:r w:rsidRPr="005A2C10">
              <w:rPr>
                <w:b/>
                <w:sz w:val="19"/>
                <w:szCs w:val="19"/>
              </w:rPr>
              <w:t>School leadership</w:t>
            </w:r>
          </w:p>
        </w:tc>
        <w:tc>
          <w:tcPr>
            <w:tcW w:w="1615" w:type="dxa"/>
          </w:tcPr>
          <w:p w14:paraId="2E34FC61" w14:textId="3D3AD919" w:rsidR="005A2C10" w:rsidRPr="005A2C10" w:rsidRDefault="0067316C" w:rsidP="00BB539E">
            <w:pPr>
              <w:spacing w:before="40" w:after="40" w:line="240" w:lineRule="auto"/>
              <w:jc w:val="right"/>
              <w:rPr>
                <w:b/>
                <w:i/>
                <w:sz w:val="19"/>
                <w:szCs w:val="19"/>
              </w:rPr>
            </w:pPr>
            <w:r w:rsidRPr="005A2C10">
              <w:rPr>
                <w:rFonts w:ascii="Wingdings" w:hAnsi="Wingdings"/>
                <w:color w:val="FFC000"/>
                <w:sz w:val="19"/>
                <w:szCs w:val="19"/>
              </w:rPr>
              <w:t></w:t>
            </w:r>
            <w:r w:rsidRPr="005A2C10">
              <w:rPr>
                <w:color w:val="FFC000"/>
                <w:sz w:val="19"/>
                <w:szCs w:val="19"/>
              </w:rPr>
              <w:t xml:space="preserve"> </w:t>
            </w:r>
            <w:r w:rsidRPr="005A2C10">
              <w:rPr>
                <w:b/>
                <w:sz w:val="19"/>
                <w:szCs w:val="19"/>
              </w:rPr>
              <w:t>Partially meets</w:t>
            </w:r>
          </w:p>
        </w:tc>
      </w:tr>
      <w:tr w:rsidR="005A2C10" w:rsidRPr="005A2C10" w14:paraId="1EAE1EA9" w14:textId="77777777" w:rsidTr="005A2C10">
        <w:trPr>
          <w:trHeight w:val="42"/>
        </w:trPr>
        <w:tc>
          <w:tcPr>
            <w:tcW w:w="1260" w:type="dxa"/>
            <w:vMerge/>
            <w:textDirection w:val="btLr"/>
            <w:vAlign w:val="center"/>
          </w:tcPr>
          <w:p w14:paraId="6E15A70A" w14:textId="77777777" w:rsidR="005A2C10" w:rsidRPr="005A2C10" w:rsidRDefault="005A2C10" w:rsidP="00BB539E">
            <w:pPr>
              <w:spacing w:before="40" w:after="40"/>
              <w:ind w:left="113" w:right="113"/>
              <w:jc w:val="center"/>
              <w:rPr>
                <w:b/>
                <w:sz w:val="19"/>
                <w:szCs w:val="19"/>
              </w:rPr>
            </w:pPr>
          </w:p>
        </w:tc>
        <w:tc>
          <w:tcPr>
            <w:tcW w:w="4230" w:type="dxa"/>
            <w:vMerge/>
          </w:tcPr>
          <w:p w14:paraId="4FB61A33" w14:textId="77777777" w:rsidR="005A2C10" w:rsidRPr="005A2C10" w:rsidRDefault="005A2C10" w:rsidP="005A2C10">
            <w:pPr>
              <w:pStyle w:val="ListParagraph"/>
              <w:numPr>
                <w:ilvl w:val="0"/>
                <w:numId w:val="1"/>
              </w:numPr>
              <w:spacing w:before="40" w:after="40"/>
              <w:contextualSpacing w:val="0"/>
              <w:rPr>
                <w:rFonts w:asciiTheme="minorHAnsi" w:hAnsiTheme="minorHAnsi"/>
                <w:sz w:val="19"/>
                <w:szCs w:val="19"/>
              </w:rPr>
            </w:pPr>
          </w:p>
        </w:tc>
        <w:tc>
          <w:tcPr>
            <w:tcW w:w="2340" w:type="dxa"/>
            <w:vAlign w:val="center"/>
          </w:tcPr>
          <w:p w14:paraId="18180234" w14:textId="77777777" w:rsidR="005A2C10" w:rsidRPr="005A2C10" w:rsidRDefault="005A2C10" w:rsidP="00BB539E">
            <w:pPr>
              <w:spacing w:before="40" w:after="40" w:line="240" w:lineRule="auto"/>
              <w:rPr>
                <w:b/>
                <w:sz w:val="19"/>
                <w:szCs w:val="19"/>
              </w:rPr>
            </w:pPr>
            <w:r w:rsidRPr="005A2C10">
              <w:rPr>
                <w:b/>
                <w:sz w:val="19"/>
                <w:szCs w:val="19"/>
              </w:rPr>
              <w:t>Professional climate</w:t>
            </w:r>
          </w:p>
        </w:tc>
        <w:tc>
          <w:tcPr>
            <w:tcW w:w="1615" w:type="dxa"/>
          </w:tcPr>
          <w:p w14:paraId="6C19390A" w14:textId="15A778A4" w:rsidR="005A2C10" w:rsidRPr="005A2C10" w:rsidRDefault="0067316C" w:rsidP="00BB539E">
            <w:pPr>
              <w:spacing w:before="40" w:after="40" w:line="240" w:lineRule="auto"/>
              <w:jc w:val="right"/>
              <w:rPr>
                <w:b/>
                <w:i/>
                <w:sz w:val="19"/>
                <w:szCs w:val="19"/>
              </w:rPr>
            </w:pPr>
            <w:r w:rsidRPr="005A2C10">
              <w:rPr>
                <w:rFonts w:ascii="Wingdings" w:hAnsi="Wingdings"/>
                <w:color w:val="FFC000"/>
                <w:sz w:val="19"/>
                <w:szCs w:val="19"/>
              </w:rPr>
              <w:t></w:t>
            </w:r>
            <w:r w:rsidRPr="005A2C10">
              <w:rPr>
                <w:color w:val="FFC000"/>
                <w:sz w:val="19"/>
                <w:szCs w:val="19"/>
              </w:rPr>
              <w:t xml:space="preserve"> </w:t>
            </w:r>
            <w:r w:rsidRPr="005A2C10">
              <w:rPr>
                <w:b/>
                <w:sz w:val="19"/>
                <w:szCs w:val="19"/>
              </w:rPr>
              <w:t>Partially meets</w:t>
            </w:r>
          </w:p>
        </w:tc>
      </w:tr>
      <w:tr w:rsidR="005A2C10" w:rsidRPr="005A2C10" w14:paraId="4347822F" w14:textId="77777777" w:rsidTr="005A2C10">
        <w:trPr>
          <w:trHeight w:val="42"/>
        </w:trPr>
        <w:tc>
          <w:tcPr>
            <w:tcW w:w="1260" w:type="dxa"/>
            <w:vMerge/>
            <w:textDirection w:val="btLr"/>
            <w:vAlign w:val="center"/>
          </w:tcPr>
          <w:p w14:paraId="18DAEDC6" w14:textId="77777777" w:rsidR="005A2C10" w:rsidRPr="005A2C10" w:rsidRDefault="005A2C10" w:rsidP="00BB539E">
            <w:pPr>
              <w:spacing w:before="40" w:after="40"/>
              <w:ind w:left="113" w:right="113"/>
              <w:jc w:val="center"/>
              <w:rPr>
                <w:b/>
                <w:sz w:val="19"/>
                <w:szCs w:val="19"/>
              </w:rPr>
            </w:pPr>
          </w:p>
        </w:tc>
        <w:tc>
          <w:tcPr>
            <w:tcW w:w="4230" w:type="dxa"/>
            <w:vMerge/>
          </w:tcPr>
          <w:p w14:paraId="21E07722" w14:textId="77777777" w:rsidR="005A2C10" w:rsidRPr="005A2C10" w:rsidRDefault="005A2C10" w:rsidP="005A2C10">
            <w:pPr>
              <w:pStyle w:val="ListParagraph"/>
              <w:numPr>
                <w:ilvl w:val="0"/>
                <w:numId w:val="1"/>
              </w:numPr>
              <w:spacing w:before="40" w:after="40"/>
              <w:contextualSpacing w:val="0"/>
              <w:rPr>
                <w:rFonts w:asciiTheme="minorHAnsi" w:hAnsiTheme="minorHAnsi"/>
                <w:sz w:val="19"/>
                <w:szCs w:val="19"/>
              </w:rPr>
            </w:pPr>
          </w:p>
        </w:tc>
        <w:tc>
          <w:tcPr>
            <w:tcW w:w="2340" w:type="dxa"/>
            <w:vAlign w:val="center"/>
          </w:tcPr>
          <w:p w14:paraId="3B4721A7" w14:textId="77777777" w:rsidR="005A2C10" w:rsidRPr="005A2C10" w:rsidRDefault="005A2C10" w:rsidP="00BB539E">
            <w:pPr>
              <w:spacing w:before="40" w:after="40" w:line="240" w:lineRule="auto"/>
              <w:rPr>
                <w:b/>
                <w:sz w:val="19"/>
                <w:szCs w:val="19"/>
              </w:rPr>
            </w:pPr>
            <w:r w:rsidRPr="005A2C10">
              <w:rPr>
                <w:b/>
                <w:sz w:val="19"/>
                <w:szCs w:val="19"/>
              </w:rPr>
              <w:t>Contractual relationships</w:t>
            </w:r>
          </w:p>
        </w:tc>
        <w:tc>
          <w:tcPr>
            <w:tcW w:w="1615" w:type="dxa"/>
          </w:tcPr>
          <w:p w14:paraId="32E2D664" w14:textId="154C9A13" w:rsidR="005A2C10" w:rsidRPr="0067316C" w:rsidRDefault="0067316C" w:rsidP="00BB539E">
            <w:pPr>
              <w:spacing w:before="40" w:after="40" w:line="240" w:lineRule="auto"/>
              <w:jc w:val="right"/>
              <w:rPr>
                <w:b/>
                <w:sz w:val="19"/>
                <w:szCs w:val="19"/>
              </w:rPr>
            </w:pPr>
            <w:r w:rsidRPr="0067316C">
              <w:rPr>
                <w:b/>
                <w:sz w:val="19"/>
                <w:szCs w:val="19"/>
              </w:rPr>
              <w:t>N/A</w:t>
            </w:r>
          </w:p>
        </w:tc>
      </w:tr>
      <w:tr w:rsidR="005A2C10" w:rsidRPr="005A2C10" w14:paraId="4677AA3F" w14:textId="77777777" w:rsidTr="005A2C10">
        <w:tc>
          <w:tcPr>
            <w:tcW w:w="1260" w:type="dxa"/>
            <w:vMerge/>
          </w:tcPr>
          <w:p w14:paraId="295A2655" w14:textId="77777777" w:rsidR="005A2C10" w:rsidRPr="005A2C10" w:rsidRDefault="005A2C10" w:rsidP="00BB539E">
            <w:pPr>
              <w:spacing w:before="40" w:after="40" w:line="240" w:lineRule="auto"/>
              <w:rPr>
                <w:sz w:val="19"/>
                <w:szCs w:val="19"/>
              </w:rPr>
            </w:pPr>
          </w:p>
        </w:tc>
        <w:tc>
          <w:tcPr>
            <w:tcW w:w="6570" w:type="dxa"/>
            <w:gridSpan w:val="2"/>
          </w:tcPr>
          <w:p w14:paraId="027D5BE1" w14:textId="19E45577" w:rsidR="005A2C10" w:rsidRPr="005A2C10" w:rsidRDefault="005A2C10" w:rsidP="005A2C10">
            <w:pPr>
              <w:pStyle w:val="ListParagraph"/>
              <w:numPr>
                <w:ilvl w:val="0"/>
                <w:numId w:val="1"/>
              </w:numPr>
              <w:spacing w:before="40" w:after="40"/>
              <w:contextualSpacing w:val="0"/>
              <w:rPr>
                <w:rFonts w:asciiTheme="minorHAnsi" w:hAnsiTheme="minorHAnsi"/>
                <w:sz w:val="19"/>
                <w:szCs w:val="19"/>
              </w:rPr>
            </w:pPr>
            <w:r w:rsidRPr="005A2C10">
              <w:rPr>
                <w:rFonts w:asciiTheme="minorHAnsi" w:hAnsiTheme="minorHAnsi"/>
                <w:b/>
                <w:sz w:val="19"/>
                <w:szCs w:val="19"/>
              </w:rPr>
              <w:t xml:space="preserve">Governance: </w:t>
            </w:r>
            <w:r w:rsidRPr="005A2C10">
              <w:rPr>
                <w:rFonts w:asciiTheme="minorHAnsi" w:hAnsiTheme="minorHAnsi"/>
                <w:sz w:val="19"/>
                <w:szCs w:val="19"/>
              </w:rPr>
              <w:t>The Board of Trustees act as public agents authorized by the state and provide competent governance to ensure the success and sustainability of the school.</w:t>
            </w:r>
          </w:p>
        </w:tc>
        <w:tc>
          <w:tcPr>
            <w:tcW w:w="1615" w:type="dxa"/>
          </w:tcPr>
          <w:p w14:paraId="1E3A87C7" w14:textId="63FF0053" w:rsidR="005A2C10" w:rsidRPr="005A2C10" w:rsidRDefault="0067316C" w:rsidP="00BB539E">
            <w:pPr>
              <w:spacing w:before="40" w:after="40" w:line="240" w:lineRule="auto"/>
              <w:jc w:val="right"/>
              <w:rPr>
                <w:b/>
                <w:i/>
                <w:sz w:val="19"/>
                <w:szCs w:val="19"/>
              </w:rPr>
            </w:pPr>
            <w:r w:rsidRPr="005A2C10">
              <w:rPr>
                <w:rFonts w:ascii="Wingdings" w:hAnsi="Wingdings"/>
                <w:color w:val="00B050"/>
                <w:sz w:val="19"/>
                <w:szCs w:val="19"/>
              </w:rPr>
              <w:t></w:t>
            </w:r>
            <w:r w:rsidRPr="005A2C10">
              <w:rPr>
                <w:color w:val="00B050"/>
                <w:sz w:val="19"/>
                <w:szCs w:val="19"/>
              </w:rPr>
              <w:t xml:space="preserve"> </w:t>
            </w:r>
            <w:r w:rsidRPr="005A2C10">
              <w:rPr>
                <w:b/>
                <w:sz w:val="19"/>
                <w:szCs w:val="19"/>
              </w:rPr>
              <w:t>Meets</w:t>
            </w:r>
          </w:p>
        </w:tc>
      </w:tr>
      <w:tr w:rsidR="005A2C10" w:rsidRPr="005A2C10" w14:paraId="7872FA3C" w14:textId="77777777" w:rsidTr="005A2C10">
        <w:tc>
          <w:tcPr>
            <w:tcW w:w="1260" w:type="dxa"/>
            <w:vMerge/>
          </w:tcPr>
          <w:p w14:paraId="77CB1244" w14:textId="77777777" w:rsidR="005A2C10" w:rsidRPr="005A2C10" w:rsidRDefault="005A2C10" w:rsidP="00BB539E">
            <w:pPr>
              <w:spacing w:before="40" w:after="40" w:line="240" w:lineRule="auto"/>
              <w:rPr>
                <w:sz w:val="19"/>
                <w:szCs w:val="19"/>
              </w:rPr>
            </w:pPr>
          </w:p>
        </w:tc>
        <w:tc>
          <w:tcPr>
            <w:tcW w:w="6570" w:type="dxa"/>
            <w:gridSpan w:val="2"/>
          </w:tcPr>
          <w:p w14:paraId="4488C3AC" w14:textId="77777777" w:rsidR="005A2C10" w:rsidRPr="005A2C10" w:rsidRDefault="005A2C10" w:rsidP="005A2C10">
            <w:pPr>
              <w:pStyle w:val="ListParagraph"/>
              <w:numPr>
                <w:ilvl w:val="0"/>
                <w:numId w:val="1"/>
              </w:numPr>
              <w:spacing w:before="40" w:after="40"/>
              <w:contextualSpacing w:val="0"/>
              <w:rPr>
                <w:rFonts w:asciiTheme="minorHAnsi" w:hAnsiTheme="minorHAnsi"/>
                <w:sz w:val="19"/>
                <w:szCs w:val="19"/>
              </w:rPr>
            </w:pPr>
            <w:r w:rsidRPr="005A2C10">
              <w:rPr>
                <w:rFonts w:asciiTheme="minorHAnsi" w:hAnsiTheme="minorHAnsi"/>
                <w:b/>
                <w:sz w:val="19"/>
                <w:szCs w:val="19"/>
              </w:rPr>
              <w:t xml:space="preserve">Finance: </w:t>
            </w:r>
            <w:r w:rsidRPr="005A2C10">
              <w:rPr>
                <w:rFonts w:asciiTheme="minorHAnsi" w:hAnsiTheme="minorHAnsi"/>
                <w:sz w:val="19"/>
                <w:szCs w:val="19"/>
              </w:rPr>
              <w:t>The school maintains a sound and stable financial condition that operates in a fiscally responsible and publicly accountable manner.</w:t>
            </w:r>
          </w:p>
        </w:tc>
        <w:tc>
          <w:tcPr>
            <w:tcW w:w="1615" w:type="dxa"/>
          </w:tcPr>
          <w:p w14:paraId="4DC778D2" w14:textId="7D2147E7" w:rsidR="005A2C10" w:rsidRPr="005A2C10" w:rsidRDefault="0067316C" w:rsidP="00BB539E">
            <w:pPr>
              <w:spacing w:before="40" w:after="40" w:line="240" w:lineRule="auto"/>
              <w:jc w:val="right"/>
              <w:rPr>
                <w:b/>
                <w:i/>
                <w:sz w:val="19"/>
                <w:szCs w:val="19"/>
              </w:rPr>
            </w:pPr>
            <w:r w:rsidRPr="005A2C10">
              <w:rPr>
                <w:rFonts w:ascii="Wingdings" w:hAnsi="Wingdings"/>
                <w:color w:val="00B050"/>
                <w:sz w:val="19"/>
                <w:szCs w:val="19"/>
              </w:rPr>
              <w:t></w:t>
            </w:r>
            <w:r w:rsidRPr="005A2C10">
              <w:rPr>
                <w:color w:val="00B050"/>
                <w:sz w:val="19"/>
                <w:szCs w:val="19"/>
              </w:rPr>
              <w:t xml:space="preserve"> </w:t>
            </w:r>
            <w:r w:rsidRPr="005A2C10">
              <w:rPr>
                <w:b/>
                <w:sz w:val="19"/>
                <w:szCs w:val="19"/>
              </w:rPr>
              <w:t>Meets</w:t>
            </w:r>
          </w:p>
        </w:tc>
      </w:tr>
    </w:tbl>
    <w:p w14:paraId="6DF6C9DA" w14:textId="77777777" w:rsidR="005A2C10" w:rsidRPr="005A2C10" w:rsidRDefault="005A2C10" w:rsidP="005A2C10"/>
    <w:p w14:paraId="2FAAAC5A" w14:textId="77777777" w:rsidR="00B0306C" w:rsidRPr="00EB17F2" w:rsidRDefault="00B0306C" w:rsidP="00EB17F2"/>
    <w:p w14:paraId="41A2D1C9" w14:textId="77777777" w:rsidR="007621E2" w:rsidRDefault="007621E2">
      <w:pPr>
        <w:rPr>
          <w:b/>
          <w:sz w:val="28"/>
        </w:rPr>
      </w:pPr>
    </w:p>
    <w:p w14:paraId="1E56E4BD" w14:textId="77777777" w:rsidR="00EC1CDE" w:rsidRPr="00EC1CDE" w:rsidRDefault="007621E2" w:rsidP="0011279F">
      <w:pPr>
        <w:pStyle w:val="Heading1"/>
      </w:pPr>
      <w:bookmarkStart w:id="4" w:name="_Toc2324593"/>
      <w:r w:rsidRPr="00D261FF">
        <w:lastRenderedPageBreak/>
        <w:t>School history and amendments</w:t>
      </w:r>
      <w:bookmarkEnd w:id="4"/>
    </w:p>
    <w:p w14:paraId="0691DC8A" w14:textId="77777777" w:rsidR="007621E2" w:rsidRPr="00771873" w:rsidRDefault="00FE6BBE" w:rsidP="00D261FF">
      <w:pPr>
        <w:pBdr>
          <w:top w:val="single" w:sz="36" w:space="1" w:color="auto"/>
        </w:pBdr>
        <w:rPr>
          <w:sz w:val="20"/>
          <w:szCs w:val="20"/>
        </w:rPr>
      </w:pPr>
      <w:r w:rsidRPr="005A2C10">
        <w:rPr>
          <w:sz w:val="20"/>
        </w:rPr>
        <w:t xml:space="preserve">Greenfield Commonwealth Virtual School (GCVS) </w:t>
      </w:r>
      <w:r>
        <w:rPr>
          <w:sz w:val="20"/>
        </w:rPr>
        <w:t>opened in 2010 as t</w:t>
      </w:r>
      <w:r w:rsidR="007621E2" w:rsidRPr="00771873">
        <w:rPr>
          <w:sz w:val="20"/>
          <w:szCs w:val="20"/>
        </w:rPr>
        <w:t>he Massachusetts Virtual Academy of Greenfield (MAVA) under the innovation school law (G.L. c. 71, § 92). On January 2, 2013, Governor Patrick signed into law Chapter 379 of the Acts of 2012, “An Act Establishing Commonwealth Virtual Schools” (Act), most of which is codified as G.L. c. 71, § 94</w:t>
      </w:r>
      <w:r w:rsidR="007621E2" w:rsidRPr="00D261FF">
        <w:rPr>
          <w:sz w:val="20"/>
          <w:szCs w:val="20"/>
        </w:rPr>
        <w:footnoteReference w:id="3"/>
      </w:r>
      <w:r w:rsidR="007621E2" w:rsidRPr="00771873">
        <w:rPr>
          <w:sz w:val="20"/>
          <w:szCs w:val="20"/>
        </w:rPr>
        <w:t>. By statute, MAVA ceased to exist on July 1, 2013. Section 6 of the Act required the Board to grant a certificate to operate a CMVS to Greenfield upon submission of a timely application that addressed the information specified in</w:t>
      </w:r>
      <w:r w:rsidR="007621E2">
        <w:rPr>
          <w:sz w:val="20"/>
          <w:szCs w:val="20"/>
        </w:rPr>
        <w:t xml:space="preserve"> the statute</w:t>
      </w:r>
      <w:r w:rsidR="007621E2" w:rsidRPr="00771873">
        <w:rPr>
          <w:sz w:val="20"/>
          <w:szCs w:val="20"/>
        </w:rPr>
        <w:t>.</w:t>
      </w:r>
    </w:p>
    <w:p w14:paraId="24C63E40" w14:textId="77777777" w:rsidR="00EC1CDE" w:rsidRDefault="007621E2" w:rsidP="00D261FF">
      <w:pPr>
        <w:rPr>
          <w:sz w:val="20"/>
          <w:szCs w:val="20"/>
        </w:rPr>
      </w:pPr>
      <w:r w:rsidRPr="00771873">
        <w:rPr>
          <w:sz w:val="20"/>
          <w:szCs w:val="20"/>
        </w:rPr>
        <w:t>The Department received an application from Greenfield on April 22, 2013 to establish a new CMVS be</w:t>
      </w:r>
      <w:r>
        <w:rPr>
          <w:sz w:val="20"/>
          <w:szCs w:val="20"/>
        </w:rPr>
        <w:t>ginning in the 2013-</w:t>
      </w:r>
      <w:r w:rsidRPr="00771873">
        <w:rPr>
          <w:sz w:val="20"/>
          <w:szCs w:val="20"/>
        </w:rPr>
        <w:t>14 school year. On June 25, 2013, the Board granted a three-year certificate to GCVS to a board of trustees formed to assume governance of MAVA from the Greenfield Public Schools. During the transition, the Greenfield Public Schools provided services to GCVS under a memorandum of understanding through April 1, 2014.</w:t>
      </w:r>
    </w:p>
    <w:p w14:paraId="644EE5DB" w14:textId="77777777" w:rsidR="007621E2" w:rsidRPr="00771873" w:rsidRDefault="007621E2" w:rsidP="00D261FF">
      <w:pPr>
        <w:rPr>
          <w:sz w:val="20"/>
          <w:szCs w:val="20"/>
        </w:rPr>
      </w:pPr>
      <w:r>
        <w:rPr>
          <w:sz w:val="20"/>
          <w:szCs w:val="20"/>
        </w:rPr>
        <w:t>The Commissioner of Elementary and Secondary Education’s</w:t>
      </w:r>
      <w:r w:rsidRPr="00771873">
        <w:rPr>
          <w:sz w:val="20"/>
          <w:szCs w:val="20"/>
        </w:rPr>
        <w:t xml:space="preserve"> recommendation to award a CMVS certificate was consistent with the requirements of section 6 of the Act, in which the Legislature intentionally set a unique bar for the award of an initial certificate to Greenfield. In doing so, the Legislature acknowledged Greenfield's pioneering role in establishing a virtual innovation school and expressed its intent to give Greenfield a fair opportunity to adjust to the extensive requirements of the new statute. To assist </w:t>
      </w:r>
      <w:r>
        <w:rPr>
          <w:sz w:val="20"/>
          <w:szCs w:val="20"/>
        </w:rPr>
        <w:t>GCVS</w:t>
      </w:r>
      <w:r w:rsidRPr="00771873">
        <w:rPr>
          <w:sz w:val="20"/>
          <w:szCs w:val="20"/>
        </w:rPr>
        <w:t xml:space="preserve"> in</w:t>
      </w:r>
      <w:r>
        <w:rPr>
          <w:sz w:val="20"/>
          <w:szCs w:val="20"/>
        </w:rPr>
        <w:t xml:space="preserve"> meeting those high standards, the Commissioner</w:t>
      </w:r>
      <w:r w:rsidRPr="00771873">
        <w:rPr>
          <w:sz w:val="20"/>
          <w:szCs w:val="20"/>
        </w:rPr>
        <w:t xml:space="preserve"> recommended, and the Board approved, that several conditions be placed on its operating certificate, with each of these items subject to the review and approval of the Depa</w:t>
      </w:r>
      <w:r>
        <w:rPr>
          <w:sz w:val="20"/>
          <w:szCs w:val="20"/>
        </w:rPr>
        <w:t>rtment.</w:t>
      </w:r>
      <w:r>
        <w:rPr>
          <w:rStyle w:val="FootnoteReference"/>
          <w:sz w:val="20"/>
          <w:szCs w:val="20"/>
        </w:rPr>
        <w:footnoteReference w:id="4"/>
      </w:r>
    </w:p>
    <w:p w14:paraId="41D4DCC6" w14:textId="77777777" w:rsidR="007621E2" w:rsidRPr="00EC1CDE" w:rsidRDefault="009015A9" w:rsidP="00D261FF">
      <w:pPr>
        <w:pStyle w:val="sidehead"/>
        <w:framePr w:wrap="around"/>
        <w:pBdr>
          <w:top w:val="single" w:sz="8" w:space="1" w:color="auto"/>
        </w:pBdr>
        <w:rPr>
          <w:b/>
        </w:rPr>
      </w:pPr>
      <w:r>
        <w:rPr>
          <w:b/>
        </w:rPr>
        <w:t>June 2014</w:t>
      </w:r>
      <w:r w:rsidR="00EC1CDE">
        <w:rPr>
          <w:b/>
        </w:rPr>
        <w:t xml:space="preserve"> accountability review</w:t>
      </w:r>
    </w:p>
    <w:p w14:paraId="1E266615" w14:textId="77777777" w:rsidR="00EC1CDE" w:rsidRDefault="007621E2" w:rsidP="009015A9">
      <w:pPr>
        <w:pBdr>
          <w:top w:val="single" w:sz="8" w:space="1" w:color="auto"/>
        </w:pBdr>
        <w:rPr>
          <w:sz w:val="20"/>
          <w:szCs w:val="20"/>
        </w:rPr>
      </w:pPr>
      <w:r w:rsidRPr="00771873">
        <w:rPr>
          <w:sz w:val="20"/>
          <w:szCs w:val="20"/>
        </w:rPr>
        <w:t xml:space="preserve">On June 5, 2014, the Department conducted an accountability review of GCVS in accordance with CMR 52.08. The report was completed on September 17, 2014, after the results of the Spring 2014 MCAS tests became official. The resulting site visit report documented concerns about </w:t>
      </w:r>
      <w:r>
        <w:rPr>
          <w:sz w:val="20"/>
          <w:szCs w:val="20"/>
        </w:rPr>
        <w:t>the school’s</w:t>
      </w:r>
      <w:r w:rsidRPr="00771873">
        <w:rPr>
          <w:sz w:val="20"/>
          <w:szCs w:val="20"/>
        </w:rPr>
        <w:t xml:space="preserve"> faithfulness to its certificate, the quality of the academic program, the quality and amount of supports for diverse learners, and the school's lack of compliance with regulatory requirements and Department guidance. </w:t>
      </w:r>
    </w:p>
    <w:p w14:paraId="4226F86A" w14:textId="77777777" w:rsidR="00EC1CDE" w:rsidRPr="00EC1CDE" w:rsidRDefault="00EC1CDE" w:rsidP="00D261FF">
      <w:pPr>
        <w:pStyle w:val="sidehead"/>
        <w:framePr w:wrap="around"/>
        <w:pBdr>
          <w:top w:val="single" w:sz="8" w:space="1" w:color="auto"/>
        </w:pBdr>
        <w:rPr>
          <w:b/>
        </w:rPr>
      </w:pPr>
      <w:r w:rsidRPr="00EC1CDE">
        <w:rPr>
          <w:b/>
        </w:rPr>
        <w:t>Placement on probation</w:t>
      </w:r>
    </w:p>
    <w:p w14:paraId="74AD7CD0" w14:textId="1FF86F5C" w:rsidR="007621E2" w:rsidRPr="00771873" w:rsidRDefault="00FE6BBE" w:rsidP="001B113D">
      <w:pPr>
        <w:pBdr>
          <w:top w:val="single" w:sz="8" w:space="1" w:color="auto"/>
        </w:pBdr>
      </w:pPr>
      <w:r>
        <w:rPr>
          <w:sz w:val="20"/>
          <w:szCs w:val="20"/>
        </w:rPr>
        <w:t>Due to the</w:t>
      </w:r>
      <w:r w:rsidR="007621E2" w:rsidRPr="00771873">
        <w:rPr>
          <w:sz w:val="20"/>
          <w:szCs w:val="20"/>
        </w:rPr>
        <w:t xml:space="preserve"> concerns</w:t>
      </w:r>
      <w:r>
        <w:rPr>
          <w:sz w:val="20"/>
          <w:szCs w:val="20"/>
        </w:rPr>
        <w:t xml:space="preserve"> from the June 2014 accountability review</w:t>
      </w:r>
      <w:r w:rsidR="007621E2" w:rsidRPr="00771873">
        <w:rPr>
          <w:sz w:val="20"/>
          <w:szCs w:val="20"/>
        </w:rPr>
        <w:t>, pursuant to the CMVS r</w:t>
      </w:r>
      <w:r w:rsidR="007621E2">
        <w:rPr>
          <w:sz w:val="20"/>
          <w:szCs w:val="20"/>
        </w:rPr>
        <w:t>egulations at 603 CMR 52.12(2) the Commissioner</w:t>
      </w:r>
      <w:r w:rsidR="007621E2" w:rsidRPr="00771873">
        <w:rPr>
          <w:sz w:val="20"/>
          <w:szCs w:val="20"/>
        </w:rPr>
        <w:t xml:space="preserve"> recommended, and the Board approved, to place GCVS on probation for the remainder of the school's</w:t>
      </w:r>
      <w:r>
        <w:rPr>
          <w:sz w:val="20"/>
          <w:szCs w:val="20"/>
        </w:rPr>
        <w:t xml:space="preserve"> certificate term (until June 30, 2016)</w:t>
      </w:r>
      <w:r w:rsidR="00516454">
        <w:rPr>
          <w:sz w:val="20"/>
          <w:szCs w:val="20"/>
        </w:rPr>
        <w:t xml:space="preserve"> with </w:t>
      </w:r>
      <w:r w:rsidR="007621E2" w:rsidRPr="00771873">
        <w:rPr>
          <w:sz w:val="20"/>
          <w:szCs w:val="20"/>
        </w:rPr>
        <w:t>conditions</w:t>
      </w:r>
      <w:r w:rsidR="00516454">
        <w:rPr>
          <w:sz w:val="20"/>
          <w:szCs w:val="20"/>
        </w:rPr>
        <w:t xml:space="preserve"> requiring the school to</w:t>
      </w:r>
      <w:r w:rsidR="007621E2" w:rsidRPr="00771873">
        <w:rPr>
          <w:sz w:val="20"/>
          <w:szCs w:val="20"/>
        </w:rPr>
        <w:t>:</w:t>
      </w:r>
      <w:r w:rsidR="00516454">
        <w:rPr>
          <w:sz w:val="20"/>
          <w:szCs w:val="20"/>
        </w:rPr>
        <w:t xml:space="preserve"> submit board of trustees minutes to the Department; submit a final contract with K12, Inc.; align its curriculum with the Massachusetts curriculum frameworks; submit a comprehensive evaluation of its academic program; </w:t>
      </w:r>
      <w:r w:rsidR="00516454">
        <w:rPr>
          <w:sz w:val="20"/>
          <w:szCs w:val="20"/>
        </w:rPr>
        <w:lastRenderedPageBreak/>
        <w:t xml:space="preserve">submit an action plan outlining strategies to improve academic performance; </w:t>
      </w:r>
      <w:r w:rsidR="00E734A3">
        <w:rPr>
          <w:sz w:val="20"/>
          <w:szCs w:val="20"/>
        </w:rPr>
        <w:t xml:space="preserve">and </w:t>
      </w:r>
      <w:r w:rsidR="00516454">
        <w:rPr>
          <w:sz w:val="20"/>
          <w:szCs w:val="20"/>
        </w:rPr>
        <w:t xml:space="preserve">demonstrate significant academic improvement by 2015. </w:t>
      </w:r>
    </w:p>
    <w:p w14:paraId="3E9A35F8" w14:textId="77777777" w:rsidR="00EC1CDE" w:rsidRPr="00EC1CDE" w:rsidRDefault="00EC1CDE" w:rsidP="00E330CF">
      <w:pPr>
        <w:pStyle w:val="sidehead"/>
        <w:framePr w:wrap="around"/>
        <w:pBdr>
          <w:top w:val="single" w:sz="8" w:space="1" w:color="auto"/>
        </w:pBdr>
        <w:rPr>
          <w:b/>
        </w:rPr>
      </w:pPr>
      <w:r w:rsidRPr="00EC1CDE">
        <w:rPr>
          <w:b/>
        </w:rPr>
        <w:t>March 2015 accountability review</w:t>
      </w:r>
    </w:p>
    <w:p w14:paraId="3D152F0E" w14:textId="77777777" w:rsidR="007621E2" w:rsidRDefault="007621E2" w:rsidP="00A91B0A">
      <w:pPr>
        <w:pStyle w:val="NormalWeb"/>
        <w:pBdr>
          <w:top w:val="single" w:sz="8" w:space="1" w:color="auto"/>
        </w:pBdr>
        <w:spacing w:before="0" w:beforeAutospacing="0" w:after="160" w:afterAutospacing="0" w:line="259" w:lineRule="auto"/>
        <w:rPr>
          <w:rFonts w:asciiTheme="minorHAnsi" w:hAnsiTheme="minorHAnsi"/>
          <w:sz w:val="20"/>
          <w:szCs w:val="20"/>
        </w:rPr>
      </w:pPr>
      <w:r w:rsidRPr="00771873">
        <w:rPr>
          <w:rFonts w:asciiTheme="minorHAnsi" w:hAnsiTheme="minorHAnsi"/>
          <w:sz w:val="20"/>
          <w:szCs w:val="20"/>
        </w:rPr>
        <w:t>The Department conducted a second review of GCVS on March 2, 2015</w:t>
      </w:r>
      <w:r>
        <w:rPr>
          <w:rFonts w:asciiTheme="minorHAnsi" w:hAnsiTheme="minorHAnsi"/>
          <w:sz w:val="20"/>
          <w:szCs w:val="20"/>
        </w:rPr>
        <w:t xml:space="preserve"> </w:t>
      </w:r>
      <w:r w:rsidRPr="00771873">
        <w:rPr>
          <w:rFonts w:asciiTheme="minorHAnsi" w:hAnsiTheme="minorHAnsi"/>
          <w:sz w:val="20"/>
          <w:szCs w:val="20"/>
        </w:rPr>
        <w:t xml:space="preserve">in accordance with CMR 52.08. The review indicated that GCVS had made progress toward meeting the terms of its probation, and noted that the </w:t>
      </w:r>
      <w:r>
        <w:rPr>
          <w:rFonts w:asciiTheme="minorHAnsi" w:hAnsiTheme="minorHAnsi"/>
          <w:sz w:val="20"/>
          <w:szCs w:val="20"/>
        </w:rPr>
        <w:t xml:space="preserve">GCVS </w:t>
      </w:r>
      <w:r w:rsidRPr="00771873">
        <w:rPr>
          <w:rFonts w:asciiTheme="minorHAnsi" w:hAnsiTheme="minorHAnsi"/>
          <w:sz w:val="20"/>
          <w:szCs w:val="20"/>
        </w:rPr>
        <w:t xml:space="preserve">board and leadership </w:t>
      </w:r>
      <w:r>
        <w:rPr>
          <w:rFonts w:asciiTheme="minorHAnsi" w:hAnsiTheme="minorHAnsi"/>
          <w:sz w:val="20"/>
          <w:szCs w:val="20"/>
        </w:rPr>
        <w:t>had taken</w:t>
      </w:r>
      <w:r w:rsidRPr="00771873">
        <w:rPr>
          <w:rFonts w:asciiTheme="minorHAnsi" w:hAnsiTheme="minorHAnsi"/>
          <w:sz w:val="20"/>
          <w:szCs w:val="20"/>
        </w:rPr>
        <w:t xml:space="preserve"> affirmative steps to improve instruction and professional learning. </w:t>
      </w:r>
      <w:r>
        <w:rPr>
          <w:rFonts w:asciiTheme="minorHAnsi" w:hAnsiTheme="minorHAnsi"/>
          <w:sz w:val="20"/>
          <w:szCs w:val="20"/>
        </w:rPr>
        <w:t>However, the review noted a</w:t>
      </w:r>
      <w:r w:rsidRPr="00771873">
        <w:rPr>
          <w:rFonts w:asciiTheme="minorHAnsi" w:hAnsiTheme="minorHAnsi"/>
          <w:sz w:val="20"/>
          <w:szCs w:val="20"/>
        </w:rPr>
        <w:t xml:space="preserve"> dependency on teacher-developed materials to ensure curriculum alignment; the lack of a formal curriculum for English language learners; the lack of a formal inclusion model for students with disabilities; variation in the execution of the school’s expectations for teaching higher-order thinking skills; and uneven instruction.</w:t>
      </w:r>
    </w:p>
    <w:p w14:paraId="70BAFC42" w14:textId="77777777" w:rsidR="00EC1CDE" w:rsidRPr="00EC1CDE" w:rsidRDefault="00124505" w:rsidP="00D261FF">
      <w:pPr>
        <w:pStyle w:val="sidehead"/>
        <w:framePr w:wrap="around"/>
        <w:pBdr>
          <w:top w:val="single" w:sz="8" w:space="1" w:color="auto"/>
        </w:pBdr>
        <w:rPr>
          <w:b/>
        </w:rPr>
      </w:pPr>
      <w:r>
        <w:rPr>
          <w:b/>
        </w:rPr>
        <w:t>2016 Renewal</w:t>
      </w:r>
    </w:p>
    <w:p w14:paraId="4EB516C3" w14:textId="0F1319F8" w:rsidR="00124505" w:rsidRPr="00A91B0A" w:rsidRDefault="00E330CF" w:rsidP="00A91B0A">
      <w:pPr>
        <w:pStyle w:val="NormalWeb"/>
        <w:pBdr>
          <w:top w:val="single" w:sz="8" w:space="1" w:color="auto"/>
        </w:pBdr>
        <w:spacing w:before="0" w:beforeAutospacing="0" w:after="160" w:afterAutospacing="0" w:line="259" w:lineRule="auto"/>
        <w:rPr>
          <w:rFonts w:asciiTheme="minorHAnsi" w:hAnsiTheme="minorHAnsi" w:cstheme="minorHAnsi"/>
        </w:rPr>
      </w:pPr>
      <w:r w:rsidRPr="00A91B0A">
        <w:rPr>
          <w:rFonts w:asciiTheme="minorHAnsi" w:hAnsiTheme="minorHAnsi" w:cstheme="minorHAnsi"/>
          <w:sz w:val="20"/>
          <w:szCs w:val="20"/>
        </w:rPr>
        <w:t xml:space="preserve">The school’s </w:t>
      </w:r>
      <w:r w:rsidR="00A91B0A" w:rsidRPr="00A91B0A">
        <w:rPr>
          <w:rFonts w:asciiTheme="minorHAnsi" w:hAnsiTheme="minorHAnsi" w:cstheme="minorHAnsi"/>
          <w:sz w:val="20"/>
          <w:szCs w:val="20"/>
        </w:rPr>
        <w:t xml:space="preserve">initial </w:t>
      </w:r>
      <w:r w:rsidRPr="00A91B0A">
        <w:rPr>
          <w:rFonts w:asciiTheme="minorHAnsi" w:hAnsiTheme="minorHAnsi" w:cstheme="minorHAnsi"/>
          <w:sz w:val="20"/>
          <w:szCs w:val="20"/>
        </w:rPr>
        <w:t xml:space="preserve">certificate expired at the end of the 2015-16 school year. Pursuant to </w:t>
      </w:r>
      <w:hyperlink r:id="rId22" w:history="1">
        <w:r w:rsidRPr="00A91B0A">
          <w:rPr>
            <w:rStyle w:val="Hyperlink"/>
            <w:rFonts w:asciiTheme="minorHAnsi" w:hAnsiTheme="minorHAnsi" w:cstheme="minorHAnsi"/>
            <w:sz w:val="20"/>
            <w:szCs w:val="20"/>
          </w:rPr>
          <w:t>CMR 52.11</w:t>
        </w:r>
      </w:hyperlink>
      <w:r w:rsidRPr="00A91B0A">
        <w:rPr>
          <w:rFonts w:asciiTheme="minorHAnsi" w:hAnsiTheme="minorHAnsi" w:cstheme="minorHAnsi"/>
          <w:sz w:val="20"/>
          <w:szCs w:val="20"/>
        </w:rPr>
        <w:t xml:space="preserve">, and in accordance with ESE </w:t>
      </w:r>
      <w:hyperlink r:id="rId23" w:history="1">
        <w:r w:rsidRPr="00A91B0A">
          <w:rPr>
            <w:rStyle w:val="Hyperlink"/>
            <w:rFonts w:asciiTheme="minorHAnsi" w:hAnsiTheme="minorHAnsi" w:cstheme="minorHAnsi"/>
            <w:sz w:val="20"/>
            <w:szCs w:val="20"/>
          </w:rPr>
          <w:t>guidelines</w:t>
        </w:r>
      </w:hyperlink>
      <w:r w:rsidRPr="00A91B0A">
        <w:rPr>
          <w:rFonts w:asciiTheme="minorHAnsi" w:hAnsiTheme="minorHAnsi" w:cstheme="minorHAnsi"/>
          <w:sz w:val="20"/>
          <w:szCs w:val="20"/>
        </w:rPr>
        <w:t xml:space="preserve">, on June 28, 2015, GCVS submitted an application to renew its certificate. </w:t>
      </w:r>
      <w:r w:rsidR="003D0904" w:rsidRPr="00A91B0A">
        <w:rPr>
          <w:rFonts w:asciiTheme="minorHAnsi" w:hAnsiTheme="minorHAnsi" w:cstheme="minorHAnsi"/>
          <w:sz w:val="20"/>
          <w:szCs w:val="20"/>
        </w:rPr>
        <w:t xml:space="preserve">During the certificate term, GCVS also requested and received permission from the Commissioner to amend the following terms of its certificate: mission statement, annual goals, and additional board members. </w:t>
      </w:r>
      <w:r w:rsidR="00124505" w:rsidRPr="00A91B0A">
        <w:rPr>
          <w:rFonts w:asciiTheme="minorHAnsi" w:hAnsiTheme="minorHAnsi" w:cstheme="minorHAnsi"/>
          <w:sz w:val="20"/>
          <w:szCs w:val="20"/>
        </w:rPr>
        <w:t xml:space="preserve">ESE conducted a renewal inspection in November 2015; the </w:t>
      </w:r>
      <w:hyperlink r:id="rId24" w:history="1">
        <w:r w:rsidR="00124505" w:rsidRPr="00A91B0A">
          <w:rPr>
            <w:rStyle w:val="Hyperlink"/>
            <w:rFonts w:asciiTheme="minorHAnsi" w:hAnsiTheme="minorHAnsi" w:cstheme="minorHAnsi"/>
            <w:sz w:val="20"/>
            <w:szCs w:val="20"/>
          </w:rPr>
          <w:t>report</w:t>
        </w:r>
      </w:hyperlink>
      <w:r w:rsidR="00124505" w:rsidRPr="00A91B0A">
        <w:rPr>
          <w:rFonts w:asciiTheme="minorHAnsi" w:hAnsiTheme="minorHAnsi" w:cstheme="minorHAnsi"/>
          <w:sz w:val="20"/>
          <w:szCs w:val="20"/>
        </w:rPr>
        <w:t xml:space="preserve"> from this inspection was issued to the school on December 14, 2015 and documented concerns regarding the school’s instructional practices and Spring 2015 assessment results. At its </w:t>
      </w:r>
      <w:hyperlink r:id="rId25" w:history="1">
        <w:r w:rsidR="00124505" w:rsidRPr="00A91B0A">
          <w:rPr>
            <w:rStyle w:val="Hyperlink"/>
            <w:rFonts w:asciiTheme="minorHAnsi" w:hAnsiTheme="minorHAnsi" w:cstheme="minorHAnsi"/>
            <w:sz w:val="20"/>
            <w:szCs w:val="20"/>
          </w:rPr>
          <w:t>February 23, 2016</w:t>
        </w:r>
      </w:hyperlink>
      <w:r w:rsidR="00124505" w:rsidRPr="00A91B0A">
        <w:rPr>
          <w:rFonts w:asciiTheme="minorHAnsi" w:hAnsiTheme="minorHAnsi" w:cstheme="minorHAnsi"/>
          <w:sz w:val="20"/>
          <w:szCs w:val="20"/>
        </w:rPr>
        <w:t xml:space="preserve"> meeting, in accordance with General Laws chapter 71, section 94, and 603 CMR 52.00, the Board renewed the school’s certificate for a three-year period from July 1, 2016 through June 30, 2019 with a maximum enrollment of 750 students in grades K through 12. Further, </w:t>
      </w:r>
      <w:r w:rsidR="00124505" w:rsidRPr="00A91B0A">
        <w:rPr>
          <w:rFonts w:asciiTheme="minorHAnsi" w:hAnsiTheme="minorHAnsi" w:cstheme="minorHAnsi"/>
          <w:bCs/>
          <w:sz w:val="20"/>
          <w:szCs w:val="20"/>
        </w:rPr>
        <w:t xml:space="preserve">pursuant to 603 CMR 52.12(2), the </w:t>
      </w:r>
      <w:r w:rsidR="00124505" w:rsidRPr="00A91B0A">
        <w:rPr>
          <w:rFonts w:asciiTheme="minorHAnsi" w:hAnsiTheme="minorHAnsi" w:cstheme="minorHAnsi"/>
          <w:sz w:val="20"/>
          <w:szCs w:val="20"/>
        </w:rPr>
        <w:t xml:space="preserve">Board extended the school’s probationary status and directed it to meet specified terms of probation, as recommended by the Commissioner in his </w:t>
      </w:r>
      <w:hyperlink r:id="rId26" w:history="1">
        <w:r w:rsidR="00124505" w:rsidRPr="00A91B0A">
          <w:rPr>
            <w:rStyle w:val="Hyperlink"/>
            <w:rFonts w:asciiTheme="minorHAnsi" w:hAnsiTheme="minorHAnsi" w:cstheme="minorHAnsi"/>
            <w:sz w:val="20"/>
            <w:szCs w:val="20"/>
          </w:rPr>
          <w:t>memorandum to the Board dated February 12, 2016</w:t>
        </w:r>
      </w:hyperlink>
      <w:r w:rsidR="00124505" w:rsidRPr="00A91B0A">
        <w:rPr>
          <w:rFonts w:asciiTheme="minorHAnsi" w:hAnsiTheme="minorHAnsi" w:cstheme="minorHAnsi"/>
          <w:sz w:val="20"/>
          <w:szCs w:val="20"/>
        </w:rPr>
        <w:t xml:space="preserve">. </w:t>
      </w:r>
      <w:r w:rsidR="00081C8C" w:rsidRPr="00A91B0A">
        <w:rPr>
          <w:rFonts w:asciiTheme="minorHAnsi" w:hAnsiTheme="minorHAnsi" w:cstheme="minorHAnsi"/>
          <w:sz w:val="20"/>
          <w:szCs w:val="20"/>
        </w:rPr>
        <w:t xml:space="preserve">The probationary conditions required the school to: submit board of trustees meeting materials; submit weekly student enrollment reports; submit projected budgets to meet requirement for enrolling at least 5 percent of students from Greenfield; submit a corrective action plan to ensure at least 95 percent of students and student groups participated in MCAS; establish an escrow account to pay for potential closure; and to demonstrate significant and sustained academic improvement by 2017. </w:t>
      </w:r>
    </w:p>
    <w:p w14:paraId="08E624CF" w14:textId="77777777" w:rsidR="00FE6BBE" w:rsidRPr="00EC1CDE" w:rsidRDefault="00E96756" w:rsidP="00E330CF">
      <w:pPr>
        <w:pStyle w:val="sidehead"/>
        <w:framePr w:wrap="around"/>
        <w:pBdr>
          <w:top w:val="single" w:sz="8" w:space="1" w:color="auto"/>
        </w:pBdr>
        <w:rPr>
          <w:b/>
        </w:rPr>
      </w:pPr>
      <w:r>
        <w:rPr>
          <w:b/>
        </w:rPr>
        <w:t xml:space="preserve">February and December </w:t>
      </w:r>
      <w:r w:rsidR="00124505">
        <w:rPr>
          <w:b/>
        </w:rPr>
        <w:t>2</w:t>
      </w:r>
      <w:r>
        <w:rPr>
          <w:b/>
        </w:rPr>
        <w:t>017 Accountability Reviews</w:t>
      </w:r>
    </w:p>
    <w:p w14:paraId="6F7D5AF9" w14:textId="784F7030" w:rsidR="00C640BE" w:rsidRPr="00FF3A6C" w:rsidRDefault="00E330CF" w:rsidP="00A91B0A">
      <w:pPr>
        <w:pStyle w:val="NormalWeb"/>
        <w:pBdr>
          <w:top w:val="single" w:sz="8" w:space="1" w:color="auto"/>
        </w:pBdr>
        <w:spacing w:before="0" w:beforeAutospacing="0" w:after="160" w:afterAutospacing="0" w:line="259" w:lineRule="auto"/>
      </w:pPr>
      <w:r w:rsidRPr="00E330CF">
        <w:rPr>
          <w:rFonts w:asciiTheme="minorHAnsi" w:hAnsiTheme="minorHAnsi"/>
          <w:sz w:val="20"/>
          <w:szCs w:val="20"/>
        </w:rPr>
        <w:t xml:space="preserve">On </w:t>
      </w:r>
      <w:r w:rsidRPr="00A91B0A">
        <w:rPr>
          <w:rFonts w:asciiTheme="minorHAnsi" w:hAnsiTheme="minorHAnsi" w:cstheme="minorHAnsi"/>
          <w:sz w:val="20"/>
          <w:szCs w:val="20"/>
        </w:rPr>
        <w:t xml:space="preserve">February 14, 2017 and again on December 14, 2017, ESE conducted accountability reviews of GCVS. </w:t>
      </w:r>
    </w:p>
    <w:p w14:paraId="1AD00BB2" w14:textId="42B5F648" w:rsidR="00C640BE" w:rsidRDefault="00EA796B" w:rsidP="00A91B0A">
      <w:pPr>
        <w:rPr>
          <w:rFonts w:cstheme="minorHAnsi"/>
          <w:sz w:val="20"/>
          <w:szCs w:val="20"/>
        </w:rPr>
      </w:pPr>
      <w:r w:rsidRPr="00E330CF">
        <w:rPr>
          <w:rFonts w:cstheme="minorHAnsi"/>
          <w:sz w:val="20"/>
          <w:szCs w:val="20"/>
        </w:rPr>
        <w:t xml:space="preserve">The February </w:t>
      </w:r>
      <w:r w:rsidRPr="00E330CF">
        <w:rPr>
          <w:sz w:val="20"/>
          <w:szCs w:val="20"/>
        </w:rPr>
        <w:t>report</w:t>
      </w:r>
      <w:r w:rsidRPr="002F22B4">
        <w:rPr>
          <w:sz w:val="20"/>
          <w:szCs w:val="20"/>
        </w:rPr>
        <w:t xml:space="preserve"> indicated that</w:t>
      </w:r>
      <w:r w:rsidRPr="00771873">
        <w:rPr>
          <w:sz w:val="20"/>
          <w:szCs w:val="20"/>
        </w:rPr>
        <w:t xml:space="preserve"> GCVS had made progress toward </w:t>
      </w:r>
      <w:r>
        <w:rPr>
          <w:sz w:val="20"/>
          <w:szCs w:val="20"/>
        </w:rPr>
        <w:t>providing a program aligned to its mission</w:t>
      </w:r>
      <w:r w:rsidR="00025B6B">
        <w:rPr>
          <w:sz w:val="20"/>
          <w:szCs w:val="20"/>
        </w:rPr>
        <w:t xml:space="preserve"> and addressing concerns related to </w:t>
      </w:r>
      <w:r>
        <w:rPr>
          <w:sz w:val="20"/>
          <w:szCs w:val="20"/>
        </w:rPr>
        <w:t>compliance and finance</w:t>
      </w:r>
      <w:r w:rsidRPr="00771873">
        <w:rPr>
          <w:sz w:val="20"/>
          <w:szCs w:val="20"/>
        </w:rPr>
        <w:t>.</w:t>
      </w:r>
      <w:r>
        <w:rPr>
          <w:sz w:val="20"/>
          <w:szCs w:val="20"/>
        </w:rPr>
        <w:t xml:space="preserve"> The review, h</w:t>
      </w:r>
      <w:r w:rsidR="004E21CF">
        <w:rPr>
          <w:sz w:val="20"/>
          <w:szCs w:val="20"/>
        </w:rPr>
        <w:t>owever,</w:t>
      </w:r>
      <w:r>
        <w:rPr>
          <w:sz w:val="20"/>
          <w:szCs w:val="20"/>
        </w:rPr>
        <w:t xml:space="preserve"> noted a</w:t>
      </w:r>
      <w:r w:rsidRPr="00771873">
        <w:rPr>
          <w:sz w:val="20"/>
          <w:szCs w:val="20"/>
        </w:rPr>
        <w:t xml:space="preserve"> </w:t>
      </w:r>
      <w:r>
        <w:rPr>
          <w:sz w:val="20"/>
          <w:szCs w:val="20"/>
        </w:rPr>
        <w:t>lack of procedures for assessing, identifying, or serving potential English learners, poor academic performance, turnover in school leadership, a lack of systems for educator evaluation,</w:t>
      </w:r>
      <w:r w:rsidRPr="00771873">
        <w:rPr>
          <w:sz w:val="20"/>
          <w:szCs w:val="20"/>
        </w:rPr>
        <w:t xml:space="preserve"> and uneven instruction.</w:t>
      </w:r>
    </w:p>
    <w:p w14:paraId="3A06C869" w14:textId="18EA3F54" w:rsidR="00AE1CB5" w:rsidRPr="00847440" w:rsidRDefault="00847440" w:rsidP="00A91B0A">
      <w:pPr>
        <w:rPr>
          <w:rFonts w:eastAsiaTheme="minorEastAsia"/>
          <w:sz w:val="20"/>
          <w:szCs w:val="20"/>
        </w:rPr>
      </w:pPr>
      <w:r w:rsidRPr="00847440">
        <w:rPr>
          <w:rFonts w:eastAsiaTheme="minorEastAsia"/>
          <w:sz w:val="20"/>
          <w:szCs w:val="20"/>
        </w:rPr>
        <w:t xml:space="preserve">The school applied for amendments </w:t>
      </w:r>
      <w:r w:rsidR="00025B6B">
        <w:rPr>
          <w:rFonts w:eastAsiaTheme="minorEastAsia"/>
          <w:sz w:val="20"/>
          <w:szCs w:val="20"/>
        </w:rPr>
        <w:t>to</w:t>
      </w:r>
      <w:r w:rsidRPr="00847440">
        <w:rPr>
          <w:rFonts w:eastAsiaTheme="minorEastAsia"/>
          <w:sz w:val="20"/>
          <w:szCs w:val="20"/>
        </w:rPr>
        <w:t xml:space="preserve"> its certificate on June 30, 2017. The Board approved these amendments on October 19, 2017, granting the termination of K12</w:t>
      </w:r>
      <w:r>
        <w:rPr>
          <w:rFonts w:eastAsiaTheme="minorEastAsia"/>
          <w:sz w:val="20"/>
          <w:szCs w:val="20"/>
        </w:rPr>
        <w:t xml:space="preserve"> Inc.</w:t>
      </w:r>
      <w:r w:rsidRPr="00847440">
        <w:rPr>
          <w:rFonts w:eastAsiaTheme="minorEastAsia"/>
          <w:sz w:val="20"/>
          <w:szCs w:val="20"/>
        </w:rPr>
        <w:t xml:space="preserve"> as the primary learning management system and </w:t>
      </w:r>
      <w:r w:rsidRPr="00847440">
        <w:rPr>
          <w:rFonts w:eastAsiaTheme="minorEastAsia"/>
          <w:sz w:val="20"/>
          <w:szCs w:val="20"/>
        </w:rPr>
        <w:lastRenderedPageBreak/>
        <w:t>curriculum</w:t>
      </w:r>
      <w:r w:rsidR="00C640BE">
        <w:rPr>
          <w:rFonts w:eastAsiaTheme="minorEastAsia"/>
          <w:sz w:val="20"/>
          <w:szCs w:val="20"/>
        </w:rPr>
        <w:t xml:space="preserve">. </w:t>
      </w:r>
      <w:r w:rsidRPr="00847440">
        <w:rPr>
          <w:rFonts w:eastAsiaTheme="minorEastAsia"/>
          <w:sz w:val="20"/>
          <w:szCs w:val="20"/>
        </w:rPr>
        <w:t>The amendments allowed the school to adopt the Canvas learning management system by Instructure, Inc.; to adopt new curricula, including EngageNY (K-5, English language arts [ELA] and math), and Florida Virtual Schools Global (FLVS) (</w:t>
      </w:r>
      <w:r w:rsidR="00025B6B">
        <w:rPr>
          <w:rFonts w:eastAsiaTheme="minorEastAsia"/>
          <w:sz w:val="20"/>
          <w:szCs w:val="20"/>
        </w:rPr>
        <w:t>g</w:t>
      </w:r>
      <w:r w:rsidRPr="00847440">
        <w:rPr>
          <w:rFonts w:eastAsiaTheme="minorEastAsia"/>
          <w:sz w:val="20"/>
          <w:szCs w:val="20"/>
        </w:rPr>
        <w:t>rades 6-12, all subjects); and to hire 10 additional staff members.</w:t>
      </w:r>
    </w:p>
    <w:p w14:paraId="18D270D2" w14:textId="45E16530" w:rsidR="00C640BE" w:rsidRPr="00957219" w:rsidRDefault="00081C8C" w:rsidP="00A91B0A">
      <w:pPr>
        <w:rPr>
          <w:rFonts w:eastAsiaTheme="minorEastAsia" w:cstheme="minorHAnsi"/>
          <w:sz w:val="20"/>
          <w:szCs w:val="20"/>
        </w:rPr>
      </w:pPr>
      <w:r w:rsidRPr="00957219">
        <w:rPr>
          <w:rFonts w:cstheme="minorHAnsi"/>
          <w:color w:val="000000"/>
          <w:sz w:val="20"/>
          <w:szCs w:val="20"/>
          <w:shd w:val="clear" w:color="auto" w:fill="FFFFFF"/>
        </w:rPr>
        <w:t xml:space="preserve">The </w:t>
      </w:r>
      <w:r w:rsidR="00EA796B">
        <w:rPr>
          <w:rFonts w:cstheme="minorHAnsi"/>
          <w:color w:val="000000"/>
          <w:sz w:val="20"/>
          <w:szCs w:val="20"/>
          <w:shd w:val="clear" w:color="auto" w:fill="FFFFFF"/>
        </w:rPr>
        <w:t xml:space="preserve">December 2017 report reflected </w:t>
      </w:r>
      <w:r w:rsidR="00B61740">
        <w:rPr>
          <w:rFonts w:cstheme="minorHAnsi"/>
          <w:color w:val="000000"/>
          <w:sz w:val="20"/>
          <w:szCs w:val="20"/>
          <w:shd w:val="clear" w:color="auto" w:fill="FFFFFF"/>
        </w:rPr>
        <w:t xml:space="preserve">recent </w:t>
      </w:r>
      <w:r w:rsidR="00EA796B">
        <w:rPr>
          <w:rFonts w:cstheme="minorHAnsi"/>
          <w:color w:val="000000"/>
          <w:sz w:val="20"/>
          <w:szCs w:val="20"/>
          <w:shd w:val="clear" w:color="auto" w:fill="FFFFFF"/>
        </w:rPr>
        <w:t xml:space="preserve">changes </w:t>
      </w:r>
      <w:r w:rsidR="00B61740">
        <w:rPr>
          <w:rFonts w:cstheme="minorHAnsi"/>
          <w:color w:val="000000"/>
          <w:sz w:val="20"/>
          <w:szCs w:val="20"/>
          <w:shd w:val="clear" w:color="auto" w:fill="FFFFFF"/>
        </w:rPr>
        <w:t xml:space="preserve">made by the board of trustees </w:t>
      </w:r>
      <w:r w:rsidR="00EA796B">
        <w:rPr>
          <w:rFonts w:cstheme="minorHAnsi"/>
          <w:color w:val="000000"/>
          <w:sz w:val="20"/>
          <w:szCs w:val="20"/>
          <w:shd w:val="clear" w:color="auto" w:fill="FFFFFF"/>
        </w:rPr>
        <w:t xml:space="preserve">to the school’s mission, </w:t>
      </w:r>
      <w:r w:rsidR="004E21CF">
        <w:rPr>
          <w:rFonts w:cstheme="minorHAnsi"/>
          <w:color w:val="000000"/>
          <w:sz w:val="20"/>
          <w:szCs w:val="20"/>
          <w:shd w:val="clear" w:color="auto" w:fill="FFFFFF"/>
        </w:rPr>
        <w:t xml:space="preserve">a changed </w:t>
      </w:r>
      <w:r w:rsidR="00EA796B">
        <w:rPr>
          <w:rFonts w:cstheme="minorHAnsi"/>
          <w:color w:val="000000"/>
          <w:sz w:val="20"/>
          <w:szCs w:val="20"/>
          <w:shd w:val="clear" w:color="auto" w:fill="FFFFFF"/>
        </w:rPr>
        <w:t xml:space="preserve">relationship with K12 Inc., and </w:t>
      </w:r>
      <w:r w:rsidR="004E21CF">
        <w:rPr>
          <w:rFonts w:cstheme="minorHAnsi"/>
          <w:color w:val="000000"/>
          <w:sz w:val="20"/>
          <w:szCs w:val="20"/>
          <w:shd w:val="clear" w:color="auto" w:fill="FFFFFF"/>
        </w:rPr>
        <w:t xml:space="preserve">a new </w:t>
      </w:r>
      <w:r w:rsidR="006E2193">
        <w:rPr>
          <w:rFonts w:cstheme="minorHAnsi"/>
          <w:color w:val="000000"/>
          <w:sz w:val="20"/>
          <w:szCs w:val="20"/>
          <w:shd w:val="clear" w:color="auto" w:fill="FFFFFF"/>
        </w:rPr>
        <w:t>executive director</w:t>
      </w:r>
      <w:r w:rsidR="00EA796B">
        <w:rPr>
          <w:rFonts w:cstheme="minorHAnsi"/>
          <w:color w:val="000000"/>
          <w:sz w:val="20"/>
          <w:szCs w:val="20"/>
          <w:shd w:val="clear" w:color="auto" w:fill="FFFFFF"/>
        </w:rPr>
        <w:t>.</w:t>
      </w:r>
      <w:r w:rsidRPr="00957219">
        <w:rPr>
          <w:rFonts w:cstheme="minorHAnsi"/>
          <w:color w:val="000000"/>
          <w:sz w:val="20"/>
          <w:szCs w:val="20"/>
          <w:shd w:val="clear" w:color="auto" w:fill="FFFFFF"/>
        </w:rPr>
        <w:t xml:space="preserve"> </w:t>
      </w:r>
      <w:r w:rsidR="00EA796B">
        <w:rPr>
          <w:rFonts w:cstheme="minorHAnsi"/>
          <w:color w:val="000000"/>
          <w:sz w:val="20"/>
          <w:szCs w:val="20"/>
          <w:shd w:val="clear" w:color="auto" w:fill="FFFFFF"/>
        </w:rPr>
        <w:t xml:space="preserve">The December 2017 report also included evidence that the school’s academic program and results were not meeting the Department’s criteria. </w:t>
      </w:r>
      <w:r w:rsidRPr="00957219">
        <w:rPr>
          <w:rFonts w:cstheme="minorHAnsi"/>
          <w:color w:val="000000"/>
          <w:sz w:val="20"/>
          <w:szCs w:val="20"/>
          <w:shd w:val="clear" w:color="auto" w:fill="FFFFFF"/>
        </w:rPr>
        <w:t xml:space="preserve">The </w:t>
      </w:r>
      <w:r w:rsidR="006E2193">
        <w:rPr>
          <w:rFonts w:cstheme="minorHAnsi"/>
          <w:color w:val="000000"/>
          <w:sz w:val="20"/>
          <w:szCs w:val="20"/>
          <w:shd w:val="clear" w:color="auto" w:fill="FFFFFF"/>
        </w:rPr>
        <w:t xml:space="preserve">report outlined a continued lack of </w:t>
      </w:r>
      <w:r w:rsidRPr="00957219">
        <w:rPr>
          <w:rFonts w:cstheme="minorHAnsi"/>
          <w:color w:val="000000"/>
          <w:sz w:val="20"/>
          <w:szCs w:val="20"/>
          <w:shd w:val="clear" w:color="auto" w:fill="FFFFFF"/>
        </w:rPr>
        <w:t xml:space="preserve">programming for its small population of English learners. </w:t>
      </w:r>
    </w:p>
    <w:p w14:paraId="37897136" w14:textId="2FFED763" w:rsidR="00AF22A5" w:rsidRPr="00957219" w:rsidRDefault="00B61740" w:rsidP="00A91B0A">
      <w:pPr>
        <w:rPr>
          <w:rFonts w:eastAsiaTheme="minorEastAsia" w:cstheme="minorHAnsi"/>
          <w:sz w:val="20"/>
          <w:szCs w:val="20"/>
        </w:rPr>
      </w:pPr>
      <w:r>
        <w:rPr>
          <w:rFonts w:cstheme="minorHAnsi"/>
          <w:sz w:val="20"/>
          <w:szCs w:val="20"/>
        </w:rPr>
        <w:t xml:space="preserve">In January 2018, the Commissioner approved amendments submitted by </w:t>
      </w:r>
      <w:r w:rsidR="00E734A3">
        <w:rPr>
          <w:rFonts w:cstheme="minorHAnsi"/>
          <w:sz w:val="20"/>
          <w:szCs w:val="20"/>
        </w:rPr>
        <w:t>GCVS</w:t>
      </w:r>
      <w:r>
        <w:rPr>
          <w:rFonts w:cstheme="minorHAnsi"/>
          <w:sz w:val="20"/>
          <w:szCs w:val="20"/>
        </w:rPr>
        <w:t xml:space="preserve"> to amend its mission statement, the board’s bylaws, and the school’s accountability plan for school years 2018 and 2019. </w:t>
      </w:r>
      <w:r w:rsidR="00081C8C" w:rsidRPr="00957219">
        <w:rPr>
          <w:rFonts w:cstheme="minorHAnsi"/>
          <w:sz w:val="20"/>
          <w:szCs w:val="20"/>
        </w:rPr>
        <w:t xml:space="preserve">At its March 27, 2018, meeting, </w:t>
      </w:r>
      <w:r w:rsidR="00081C8C" w:rsidRPr="00957219">
        <w:rPr>
          <w:rFonts w:cstheme="minorHAnsi"/>
          <w:bCs/>
          <w:sz w:val="20"/>
          <w:szCs w:val="20"/>
        </w:rPr>
        <w:t xml:space="preserve">pursuant to 603 CMR 52.12(2), the </w:t>
      </w:r>
      <w:r w:rsidR="00081C8C" w:rsidRPr="00957219">
        <w:rPr>
          <w:rFonts w:cstheme="minorHAnsi"/>
          <w:sz w:val="20"/>
          <w:szCs w:val="20"/>
        </w:rPr>
        <w:t>Board extended the school’s probationary status</w:t>
      </w:r>
      <w:r w:rsidR="00A7006D">
        <w:rPr>
          <w:rFonts w:cstheme="minorHAnsi"/>
          <w:sz w:val="20"/>
          <w:szCs w:val="20"/>
        </w:rPr>
        <w:t xml:space="preserve">, maintained the prior probationary </w:t>
      </w:r>
      <w:r w:rsidR="00847440">
        <w:rPr>
          <w:rFonts w:cstheme="minorHAnsi"/>
          <w:sz w:val="20"/>
          <w:szCs w:val="20"/>
        </w:rPr>
        <w:t>conditions</w:t>
      </w:r>
      <w:r w:rsidR="00A7006D">
        <w:rPr>
          <w:rFonts w:cstheme="minorHAnsi"/>
          <w:sz w:val="20"/>
          <w:szCs w:val="20"/>
        </w:rPr>
        <w:t>,</w:t>
      </w:r>
      <w:r w:rsidR="00081C8C" w:rsidRPr="00957219">
        <w:rPr>
          <w:rFonts w:cstheme="minorHAnsi"/>
          <w:sz w:val="20"/>
          <w:szCs w:val="20"/>
        </w:rPr>
        <w:t xml:space="preserve"> and added a new condition related to the provision of services for English learners , as recommended by the Acting Commissioner in his </w:t>
      </w:r>
      <w:hyperlink r:id="rId27" w:history="1">
        <w:r w:rsidR="00081C8C" w:rsidRPr="00957219">
          <w:rPr>
            <w:rStyle w:val="Hyperlink"/>
            <w:rFonts w:cstheme="minorHAnsi"/>
            <w:sz w:val="20"/>
            <w:szCs w:val="20"/>
          </w:rPr>
          <w:t>memorandum to the Board dated March 16, 2018.</w:t>
        </w:r>
      </w:hyperlink>
      <w:r w:rsidR="00081C8C" w:rsidRPr="00957219">
        <w:rPr>
          <w:rStyle w:val="Hyperlink"/>
          <w:rFonts w:cstheme="minorHAnsi"/>
          <w:sz w:val="20"/>
          <w:szCs w:val="20"/>
        </w:rPr>
        <w:t xml:space="preserve"> </w:t>
      </w:r>
    </w:p>
    <w:p w14:paraId="40A8FA23" w14:textId="0ACE9B5F" w:rsidR="00AC4A0F" w:rsidRPr="00EC1CDE" w:rsidRDefault="00FE6BBE" w:rsidP="00E330CF">
      <w:pPr>
        <w:pStyle w:val="sidehead"/>
        <w:framePr w:wrap="around"/>
        <w:pBdr>
          <w:top w:val="single" w:sz="8" w:space="1" w:color="auto"/>
        </w:pBdr>
        <w:rPr>
          <w:b/>
        </w:rPr>
      </w:pPr>
      <w:r w:rsidRPr="00957219">
        <w:rPr>
          <w:sz w:val="20"/>
          <w:szCs w:val="20"/>
        </w:rPr>
        <w:br w:type="page"/>
      </w:r>
      <w:r w:rsidR="00AC4A0F">
        <w:rPr>
          <w:b/>
        </w:rPr>
        <w:t>2019 Application for Renewal and Renewal Inspection</w:t>
      </w:r>
    </w:p>
    <w:p w14:paraId="1C63B787" w14:textId="014A7A02" w:rsidR="00B61740" w:rsidRDefault="00E330CF" w:rsidP="001B113D">
      <w:pPr>
        <w:pStyle w:val="NormalWeb"/>
        <w:pBdr>
          <w:top w:val="single" w:sz="8" w:space="1" w:color="auto"/>
        </w:pBdr>
        <w:spacing w:before="0" w:beforeAutospacing="0" w:after="160" w:afterAutospacing="0" w:line="259" w:lineRule="auto"/>
      </w:pPr>
      <w:r w:rsidRPr="001B113D">
        <w:rPr>
          <w:rFonts w:asciiTheme="minorHAnsi" w:hAnsiTheme="minorHAnsi"/>
          <w:sz w:val="20"/>
          <w:szCs w:val="20"/>
        </w:rPr>
        <w:t xml:space="preserve">The school’s current certificate expires at the end of the 2018-19 school year. Pursuant to </w:t>
      </w:r>
      <w:hyperlink r:id="rId28" w:history="1">
        <w:r w:rsidRPr="001B113D">
          <w:rPr>
            <w:rStyle w:val="Hyperlink"/>
            <w:rFonts w:asciiTheme="minorHAnsi" w:hAnsiTheme="minorHAnsi"/>
            <w:sz w:val="20"/>
            <w:szCs w:val="20"/>
          </w:rPr>
          <w:t>CMR 52.11</w:t>
        </w:r>
      </w:hyperlink>
      <w:r w:rsidRPr="001B113D">
        <w:rPr>
          <w:rFonts w:asciiTheme="minorHAnsi" w:hAnsiTheme="minorHAnsi"/>
          <w:sz w:val="20"/>
          <w:szCs w:val="20"/>
        </w:rPr>
        <w:t xml:space="preserve">, and in accordance with Department </w:t>
      </w:r>
      <w:hyperlink r:id="rId29" w:history="1">
        <w:r w:rsidRPr="001B113D">
          <w:rPr>
            <w:rStyle w:val="Hyperlink"/>
            <w:rFonts w:asciiTheme="minorHAnsi" w:hAnsiTheme="minorHAnsi"/>
            <w:sz w:val="20"/>
            <w:szCs w:val="20"/>
          </w:rPr>
          <w:t>guidelines</w:t>
        </w:r>
      </w:hyperlink>
      <w:r w:rsidRPr="001B113D">
        <w:rPr>
          <w:rFonts w:asciiTheme="minorHAnsi" w:hAnsiTheme="minorHAnsi"/>
          <w:sz w:val="20"/>
          <w:szCs w:val="20"/>
        </w:rPr>
        <w:t>, on June 27, 2018, GCVS submitted an application to renew its certificate. A vendor hired by the Department conducted a renewal inspection in October 2018 and wrote the renewal inspection report assessing the school’s performance in terms of the following Commonwealth Virtual School Performance Criteria: Mission and key design elements; Student performance; Program delivery (instruction, assessment and program evaluation, and diverse learners); Culture and family engagement; Capacity (school leadership and professional climate); and Governance.</w:t>
      </w:r>
    </w:p>
    <w:p w14:paraId="6486A385" w14:textId="07A496E0" w:rsidR="00847440" w:rsidRPr="00847440" w:rsidRDefault="00847440" w:rsidP="001B113D">
      <w:pPr>
        <w:rPr>
          <w:rFonts w:eastAsiaTheme="minorEastAsia" w:cstheme="minorHAnsi"/>
          <w:sz w:val="20"/>
          <w:szCs w:val="20"/>
        </w:rPr>
      </w:pPr>
      <w:r>
        <w:rPr>
          <w:sz w:val="20"/>
          <w:szCs w:val="20"/>
        </w:rPr>
        <w:t xml:space="preserve">The following report summarizes evidence from the February 2017, December 2017, and October 2018 accountability site visits, as well as other data.  </w:t>
      </w:r>
    </w:p>
    <w:p w14:paraId="09B1B74A" w14:textId="77777777" w:rsidR="00FE6BBE" w:rsidRPr="00957219" w:rsidRDefault="00FE6BBE">
      <w:pPr>
        <w:rPr>
          <w:rFonts w:ascii="Arial" w:eastAsia="Times New Roman" w:hAnsi="Arial" w:cs="Arial"/>
          <w:b/>
          <w:bCs/>
          <w:kern w:val="32"/>
          <w:sz w:val="20"/>
          <w:szCs w:val="20"/>
        </w:rPr>
      </w:pPr>
    </w:p>
    <w:p w14:paraId="01D15ADE" w14:textId="77777777" w:rsidR="00E5713E" w:rsidRPr="009015A9" w:rsidRDefault="00E5713E" w:rsidP="0011279F">
      <w:pPr>
        <w:pStyle w:val="Heading1"/>
      </w:pPr>
      <w:bookmarkStart w:id="5" w:name="_Toc2324594"/>
      <w:r w:rsidRPr="009015A9">
        <w:lastRenderedPageBreak/>
        <w:t>Areas of accountability</w:t>
      </w:r>
      <w:bookmarkEnd w:id="5"/>
    </w:p>
    <w:p w14:paraId="5797A6FA" w14:textId="77777777" w:rsidR="000E7193" w:rsidRPr="000E7193" w:rsidRDefault="000E7193" w:rsidP="00607BC1">
      <w:pPr>
        <w:pStyle w:val="sidehead"/>
        <w:framePr w:wrap="around" w:y="-2"/>
        <w:rPr>
          <w:b/>
          <w:sz w:val="24"/>
        </w:rPr>
      </w:pPr>
      <w:r w:rsidRPr="000E7193">
        <w:rPr>
          <w:b/>
          <w:sz w:val="24"/>
        </w:rPr>
        <w:t>Faithfulness to certificate</w:t>
      </w:r>
    </w:p>
    <w:p w14:paraId="6FEDA4BA" w14:textId="77777777" w:rsidR="00B25D91" w:rsidRPr="00BB539E" w:rsidRDefault="00BB539E" w:rsidP="00607BC1">
      <w:pPr>
        <w:pStyle w:val="sidehead"/>
        <w:framePr w:wrap="around" w:y="-2"/>
        <w:rPr>
          <w:b/>
        </w:rPr>
      </w:pPr>
      <w:r w:rsidRPr="00BB539E">
        <w:rPr>
          <w:b/>
        </w:rPr>
        <w:t xml:space="preserve">1. </w:t>
      </w:r>
      <w:r w:rsidR="002C01C8" w:rsidRPr="00BB539E">
        <w:rPr>
          <w:b/>
        </w:rPr>
        <w:t>Mission and key design e</w:t>
      </w:r>
      <w:r w:rsidR="00B25D91" w:rsidRPr="00BB539E">
        <w:rPr>
          <w:b/>
        </w:rPr>
        <w:t>lements</w:t>
      </w:r>
    </w:p>
    <w:p w14:paraId="0AD57799" w14:textId="77777777" w:rsidR="00B25D91" w:rsidRPr="00ED6313" w:rsidRDefault="002C01C8" w:rsidP="00607BC1">
      <w:pPr>
        <w:pStyle w:val="sidehead"/>
        <w:framePr w:wrap="around" w:y="-2"/>
        <w:rPr>
          <w:b/>
          <w:sz w:val="19"/>
          <w:szCs w:val="19"/>
        </w:rPr>
      </w:pPr>
      <w:r w:rsidRPr="00ED6313">
        <w:rPr>
          <w:b/>
          <w:sz w:val="19"/>
          <w:szCs w:val="19"/>
        </w:rPr>
        <w:t>Partially m</w:t>
      </w:r>
      <w:r w:rsidR="00B25D91" w:rsidRPr="00ED6313">
        <w:rPr>
          <w:b/>
          <w:sz w:val="19"/>
          <w:szCs w:val="19"/>
        </w:rPr>
        <w:t xml:space="preserve">eets </w:t>
      </w:r>
      <w:r w:rsidR="00B25D91" w:rsidRPr="00ED6313">
        <w:rPr>
          <w:rFonts w:ascii="Wingdings" w:hAnsi="Wingdings"/>
          <w:b/>
          <w:color w:val="FFC000"/>
          <w:sz w:val="19"/>
          <w:szCs w:val="19"/>
        </w:rPr>
        <w:t></w:t>
      </w:r>
    </w:p>
    <w:p w14:paraId="3A59DE28" w14:textId="47545F9C" w:rsidR="00607BC1" w:rsidRPr="00ED6313" w:rsidRDefault="00B25D91" w:rsidP="00111590">
      <w:pPr>
        <w:pStyle w:val="sidehead"/>
        <w:framePr w:wrap="around" w:y="-2"/>
        <w:pBdr>
          <w:top w:val="none" w:sz="0" w:space="0" w:color="auto"/>
        </w:pBdr>
        <w:ind w:right="180"/>
        <w:rPr>
          <w:sz w:val="19"/>
          <w:szCs w:val="19"/>
        </w:rPr>
      </w:pPr>
      <w:r w:rsidRPr="00ED6313">
        <w:rPr>
          <w:sz w:val="19"/>
          <w:szCs w:val="19"/>
        </w:rPr>
        <w:t xml:space="preserve">Evidence from online lesson observations and other sources indicates a gap between the school’s mission as stated and as enacted with respect to </w:t>
      </w:r>
      <w:r w:rsidR="00422B0E">
        <w:rPr>
          <w:sz w:val="19"/>
          <w:szCs w:val="19"/>
        </w:rPr>
        <w:t>the school’s goal of engagement “through innovative technology” to ensure “mastery of competencies embedded in a rigorous curriculum.”</w:t>
      </w:r>
    </w:p>
    <w:p w14:paraId="24AC7980" w14:textId="5C101D3C" w:rsidR="00B25D91" w:rsidRPr="0011279F" w:rsidRDefault="00B25D91" w:rsidP="000E7193">
      <w:pPr>
        <w:pBdr>
          <w:top w:val="single" w:sz="36" w:space="1" w:color="auto"/>
        </w:pBdr>
        <w:spacing w:before="80" w:after="80"/>
        <w:rPr>
          <w:sz w:val="20"/>
          <w:szCs w:val="19"/>
        </w:rPr>
      </w:pPr>
      <w:r w:rsidRPr="0011279F">
        <w:rPr>
          <w:sz w:val="20"/>
          <w:szCs w:val="19"/>
        </w:rPr>
        <w:t xml:space="preserve">On </w:t>
      </w:r>
      <w:r w:rsidR="00B61740">
        <w:rPr>
          <w:sz w:val="20"/>
          <w:szCs w:val="19"/>
        </w:rPr>
        <w:t>October 16, 2017</w:t>
      </w:r>
      <w:r w:rsidRPr="0011279F">
        <w:rPr>
          <w:sz w:val="20"/>
          <w:szCs w:val="19"/>
        </w:rPr>
        <w:t xml:space="preserve"> the GCVS board adopted a revised mission statement </w:t>
      </w:r>
      <w:r w:rsidR="00B61740">
        <w:rPr>
          <w:sz w:val="20"/>
          <w:szCs w:val="19"/>
        </w:rPr>
        <w:t xml:space="preserve">(its third since founding) </w:t>
      </w:r>
      <w:r w:rsidRPr="0011279F">
        <w:rPr>
          <w:sz w:val="20"/>
          <w:szCs w:val="19"/>
        </w:rPr>
        <w:t xml:space="preserve">that </w:t>
      </w:r>
      <w:r w:rsidR="00B61740">
        <w:rPr>
          <w:sz w:val="20"/>
          <w:szCs w:val="19"/>
        </w:rPr>
        <w:t xml:space="preserve">emphasized the provision of an accessible, flexible, personalized education through innovative technology and rigorous curriculum  that ensures mastery. Similar to findings from the first certificate term, </w:t>
      </w:r>
      <w:r w:rsidR="000E0832">
        <w:rPr>
          <w:sz w:val="20"/>
          <w:szCs w:val="19"/>
        </w:rPr>
        <w:t>e</w:t>
      </w:r>
      <w:r w:rsidRPr="0011279F">
        <w:rPr>
          <w:sz w:val="20"/>
          <w:szCs w:val="19"/>
        </w:rPr>
        <w:t xml:space="preserve">vidence from </w:t>
      </w:r>
      <w:r w:rsidR="00AA2CAB">
        <w:rPr>
          <w:sz w:val="20"/>
          <w:szCs w:val="19"/>
        </w:rPr>
        <w:t>lesson</w:t>
      </w:r>
      <w:r w:rsidRPr="0011279F">
        <w:rPr>
          <w:sz w:val="20"/>
          <w:szCs w:val="19"/>
        </w:rPr>
        <w:t xml:space="preserve"> observations conducted during accountability reviews and the renewal inspection cited variability </w:t>
      </w:r>
      <w:r w:rsidR="000E0832">
        <w:rPr>
          <w:sz w:val="20"/>
          <w:szCs w:val="19"/>
        </w:rPr>
        <w:t xml:space="preserve">in implementation of </w:t>
      </w:r>
      <w:r w:rsidR="00422B0E">
        <w:rPr>
          <w:sz w:val="20"/>
          <w:szCs w:val="19"/>
        </w:rPr>
        <w:t xml:space="preserve">“innovative technology” or </w:t>
      </w:r>
      <w:r w:rsidR="00AA2CAB">
        <w:rPr>
          <w:sz w:val="20"/>
          <w:szCs w:val="19"/>
        </w:rPr>
        <w:t xml:space="preserve">instruction that would lead to </w:t>
      </w:r>
      <w:r w:rsidR="000E0832">
        <w:rPr>
          <w:sz w:val="20"/>
          <w:szCs w:val="19"/>
        </w:rPr>
        <w:t>“mastery of competencies embedded in a rigorous curriculum</w:t>
      </w:r>
      <w:r w:rsidR="00AA2CAB">
        <w:rPr>
          <w:sz w:val="20"/>
          <w:szCs w:val="19"/>
        </w:rPr>
        <w:t>,</w:t>
      </w:r>
      <w:r w:rsidR="000E0832">
        <w:rPr>
          <w:sz w:val="20"/>
          <w:szCs w:val="19"/>
        </w:rPr>
        <w:t xml:space="preserve">” a </w:t>
      </w:r>
      <w:r w:rsidRPr="0011279F">
        <w:rPr>
          <w:sz w:val="20"/>
          <w:szCs w:val="19"/>
        </w:rPr>
        <w:t xml:space="preserve">key </w:t>
      </w:r>
      <w:r w:rsidR="000E0832">
        <w:rPr>
          <w:sz w:val="20"/>
          <w:szCs w:val="19"/>
        </w:rPr>
        <w:t>aspect</w:t>
      </w:r>
      <w:r w:rsidRPr="0011279F">
        <w:rPr>
          <w:sz w:val="20"/>
          <w:szCs w:val="19"/>
        </w:rPr>
        <w:t xml:space="preserve"> of the </w:t>
      </w:r>
      <w:r w:rsidR="00165F1D">
        <w:rPr>
          <w:sz w:val="20"/>
          <w:szCs w:val="19"/>
        </w:rPr>
        <w:t xml:space="preserve">revised </w:t>
      </w:r>
      <w:r w:rsidRPr="0011279F">
        <w:rPr>
          <w:sz w:val="20"/>
          <w:szCs w:val="19"/>
        </w:rPr>
        <w:t>mission.</w:t>
      </w:r>
    </w:p>
    <w:p w14:paraId="07BDFC98" w14:textId="75BC1718" w:rsidR="00B25D91" w:rsidRPr="00111590" w:rsidRDefault="00B25D91" w:rsidP="000E7193">
      <w:pPr>
        <w:rPr>
          <w:sz w:val="20"/>
          <w:szCs w:val="19"/>
        </w:rPr>
      </w:pPr>
      <w:r w:rsidRPr="00111590">
        <w:rPr>
          <w:sz w:val="20"/>
          <w:szCs w:val="19"/>
        </w:rPr>
        <w:t xml:space="preserve">On </w:t>
      </w:r>
      <w:r w:rsidR="00752942">
        <w:rPr>
          <w:sz w:val="20"/>
          <w:szCs w:val="19"/>
        </w:rPr>
        <w:t>October 16, 2017</w:t>
      </w:r>
      <w:r w:rsidRPr="00111590">
        <w:rPr>
          <w:sz w:val="20"/>
          <w:szCs w:val="19"/>
        </w:rPr>
        <w:t xml:space="preserve"> the GCVS </w:t>
      </w:r>
      <w:r w:rsidR="00752942">
        <w:rPr>
          <w:sz w:val="20"/>
          <w:szCs w:val="19"/>
        </w:rPr>
        <w:t>board of trustees approved</w:t>
      </w:r>
      <w:r w:rsidRPr="00111590">
        <w:rPr>
          <w:sz w:val="20"/>
          <w:szCs w:val="19"/>
        </w:rPr>
        <w:t xml:space="preserve"> revised accountability goals and progress measures</w:t>
      </w:r>
      <w:r w:rsidR="00752942">
        <w:rPr>
          <w:sz w:val="20"/>
          <w:szCs w:val="19"/>
        </w:rPr>
        <w:t xml:space="preserve"> for the 2017-2018 and 2018-2019 school years</w:t>
      </w:r>
      <w:r w:rsidRPr="00111590">
        <w:rPr>
          <w:sz w:val="20"/>
          <w:szCs w:val="19"/>
        </w:rPr>
        <w:t xml:space="preserve">. The revised goals were approved by the Commissioner on </w:t>
      </w:r>
      <w:r w:rsidR="00752942">
        <w:rPr>
          <w:sz w:val="20"/>
          <w:szCs w:val="19"/>
        </w:rPr>
        <w:t>January 30, 2018</w:t>
      </w:r>
      <w:r w:rsidRPr="00111590">
        <w:rPr>
          <w:sz w:val="20"/>
          <w:szCs w:val="19"/>
        </w:rPr>
        <w:t>. O</w:t>
      </w:r>
      <w:r w:rsidR="00752942">
        <w:rPr>
          <w:sz w:val="20"/>
          <w:szCs w:val="19"/>
        </w:rPr>
        <w:t>f the 20</w:t>
      </w:r>
      <w:r w:rsidR="00422B0E">
        <w:rPr>
          <w:sz w:val="20"/>
          <w:szCs w:val="19"/>
        </w:rPr>
        <w:t xml:space="preserve"> goals, 10</w:t>
      </w:r>
      <w:r w:rsidRPr="00111590">
        <w:rPr>
          <w:sz w:val="20"/>
          <w:szCs w:val="19"/>
        </w:rPr>
        <w:t xml:space="preserve"> (50 percent) were not met</w:t>
      </w:r>
      <w:r w:rsidR="00422B0E">
        <w:rPr>
          <w:sz w:val="20"/>
          <w:szCs w:val="19"/>
        </w:rPr>
        <w:t xml:space="preserve"> for 2017-2018</w:t>
      </w:r>
      <w:r w:rsidRPr="00111590">
        <w:rPr>
          <w:sz w:val="20"/>
          <w:szCs w:val="19"/>
        </w:rPr>
        <w:t xml:space="preserve"> (Appendix A).</w:t>
      </w:r>
    </w:p>
    <w:p w14:paraId="1E900593" w14:textId="48B55208" w:rsidR="00607BC1" w:rsidRPr="005C5F4F" w:rsidRDefault="00607BC1" w:rsidP="000E7193">
      <w:pPr>
        <w:spacing w:after="360"/>
        <w:rPr>
          <w:i/>
          <w:sz w:val="18"/>
          <w:szCs w:val="19"/>
        </w:rPr>
      </w:pPr>
      <w:r w:rsidRPr="005C5F4F">
        <w:rPr>
          <w:sz w:val="18"/>
          <w:szCs w:val="19"/>
        </w:rPr>
        <w:t>Sources:</w:t>
      </w:r>
      <w:r w:rsidRPr="005C5F4F">
        <w:rPr>
          <w:i/>
          <w:sz w:val="18"/>
          <w:szCs w:val="19"/>
        </w:rPr>
        <w:t xml:space="preserve"> Renewal Inspection (</w:t>
      </w:r>
      <w:r w:rsidR="00422B0E">
        <w:rPr>
          <w:i/>
          <w:sz w:val="18"/>
          <w:szCs w:val="19"/>
        </w:rPr>
        <w:t>October 2018</w:t>
      </w:r>
      <w:r w:rsidRPr="005C5F4F">
        <w:rPr>
          <w:i/>
          <w:sz w:val="18"/>
          <w:szCs w:val="19"/>
        </w:rPr>
        <w:t>), Accountability Reviews (</w:t>
      </w:r>
      <w:r w:rsidR="00422B0E">
        <w:rPr>
          <w:i/>
          <w:sz w:val="18"/>
          <w:szCs w:val="19"/>
        </w:rPr>
        <w:t>February and December 2017</w:t>
      </w:r>
      <w:r w:rsidRPr="005C5F4F">
        <w:rPr>
          <w:i/>
          <w:sz w:val="18"/>
          <w:szCs w:val="19"/>
        </w:rPr>
        <w:t>), Certificate Renewal Application (</w:t>
      </w:r>
      <w:r w:rsidR="00422B0E">
        <w:rPr>
          <w:i/>
          <w:sz w:val="18"/>
          <w:szCs w:val="19"/>
        </w:rPr>
        <w:t>June 2018), 2017-19</w:t>
      </w:r>
      <w:r w:rsidRPr="005C5F4F">
        <w:rPr>
          <w:i/>
          <w:sz w:val="18"/>
          <w:szCs w:val="19"/>
        </w:rPr>
        <w:t xml:space="preserve"> School Goals</w:t>
      </w:r>
      <w:r w:rsidR="009B559D">
        <w:rPr>
          <w:i/>
          <w:sz w:val="18"/>
          <w:szCs w:val="19"/>
        </w:rPr>
        <w:t xml:space="preserve"> (GCVS)</w:t>
      </w:r>
      <w:r w:rsidR="00422B0E">
        <w:rPr>
          <w:i/>
          <w:sz w:val="18"/>
          <w:szCs w:val="19"/>
        </w:rPr>
        <w:t>, FY17 and FY18</w:t>
      </w:r>
      <w:r w:rsidRPr="005C5F4F">
        <w:rPr>
          <w:i/>
          <w:sz w:val="18"/>
          <w:szCs w:val="19"/>
        </w:rPr>
        <w:t xml:space="preserve"> Annual Rep</w:t>
      </w:r>
      <w:r w:rsidR="00422B0E">
        <w:rPr>
          <w:i/>
          <w:sz w:val="18"/>
          <w:szCs w:val="19"/>
        </w:rPr>
        <w:t xml:space="preserve">orts, </w:t>
      </w:r>
      <w:r w:rsidRPr="005C5F4F">
        <w:rPr>
          <w:i/>
          <w:sz w:val="18"/>
          <w:szCs w:val="19"/>
        </w:rPr>
        <w:t>Application for Certificate (April 2013)</w:t>
      </w:r>
    </w:p>
    <w:p w14:paraId="16328E47" w14:textId="03EAC941" w:rsidR="00607BC1" w:rsidRPr="00BB539E" w:rsidRDefault="00BB539E" w:rsidP="000E7193">
      <w:pPr>
        <w:pStyle w:val="sidehead"/>
        <w:framePr w:wrap="around"/>
        <w:pBdr>
          <w:top w:val="single" w:sz="8" w:space="1" w:color="auto"/>
        </w:pBdr>
        <w:rPr>
          <w:b/>
        </w:rPr>
      </w:pPr>
      <w:r w:rsidRPr="00BB539E">
        <w:rPr>
          <w:b/>
        </w:rPr>
        <w:t xml:space="preserve">2. </w:t>
      </w:r>
      <w:r w:rsidR="002C01C8" w:rsidRPr="00BB539E">
        <w:rPr>
          <w:b/>
        </w:rPr>
        <w:t>Access and equity</w:t>
      </w:r>
    </w:p>
    <w:p w14:paraId="2C890446" w14:textId="7B5B2039" w:rsidR="00607BC1" w:rsidRPr="00ED6313" w:rsidRDefault="00143AEF" w:rsidP="000E7193">
      <w:pPr>
        <w:pStyle w:val="sidehead"/>
        <w:framePr w:wrap="around"/>
        <w:pBdr>
          <w:top w:val="single" w:sz="8" w:space="1" w:color="auto"/>
        </w:pBdr>
        <w:rPr>
          <w:b/>
          <w:sz w:val="19"/>
          <w:szCs w:val="19"/>
        </w:rPr>
      </w:pPr>
      <w:r>
        <w:rPr>
          <w:b/>
          <w:sz w:val="19"/>
          <w:szCs w:val="19"/>
        </w:rPr>
        <w:t>Partially m</w:t>
      </w:r>
      <w:r w:rsidR="00607BC1" w:rsidRPr="00ED6313">
        <w:rPr>
          <w:b/>
          <w:sz w:val="19"/>
          <w:szCs w:val="19"/>
        </w:rPr>
        <w:t xml:space="preserve">eets </w:t>
      </w:r>
      <w:r w:rsidRPr="00ED6313">
        <w:rPr>
          <w:rFonts w:ascii="Wingdings" w:hAnsi="Wingdings"/>
          <w:b/>
          <w:color w:val="FFC000"/>
          <w:sz w:val="19"/>
          <w:szCs w:val="19"/>
        </w:rPr>
        <w:t></w:t>
      </w:r>
    </w:p>
    <w:p w14:paraId="1F75BA0A" w14:textId="02D0ABEE" w:rsidR="00607BC1" w:rsidRPr="00ED6313" w:rsidRDefault="00607BC1" w:rsidP="00111590">
      <w:pPr>
        <w:pStyle w:val="sidehead"/>
        <w:framePr w:wrap="around"/>
        <w:pBdr>
          <w:top w:val="none" w:sz="0" w:space="0" w:color="auto"/>
        </w:pBdr>
        <w:ind w:right="180"/>
        <w:rPr>
          <w:sz w:val="19"/>
          <w:szCs w:val="19"/>
        </w:rPr>
      </w:pPr>
      <w:r w:rsidRPr="00ED6313">
        <w:rPr>
          <w:sz w:val="19"/>
          <w:szCs w:val="19"/>
        </w:rPr>
        <w:t>Available evidence indicates that</w:t>
      </w:r>
      <w:r w:rsidR="00143AEF">
        <w:rPr>
          <w:sz w:val="19"/>
          <w:szCs w:val="19"/>
        </w:rPr>
        <w:t xml:space="preserve"> </w:t>
      </w:r>
      <w:r w:rsidRPr="00ED6313">
        <w:rPr>
          <w:sz w:val="19"/>
          <w:szCs w:val="19"/>
        </w:rPr>
        <w:t xml:space="preserve">GCVS </w:t>
      </w:r>
      <w:r w:rsidR="00143AEF">
        <w:rPr>
          <w:sz w:val="19"/>
          <w:szCs w:val="19"/>
        </w:rPr>
        <w:t xml:space="preserve">has not consistently ensured </w:t>
      </w:r>
      <w:r w:rsidRPr="00ED6313">
        <w:rPr>
          <w:sz w:val="19"/>
          <w:szCs w:val="19"/>
        </w:rPr>
        <w:t>program access and equity for all students eligible to attend the virtual school.</w:t>
      </w:r>
    </w:p>
    <w:p w14:paraId="026EC57D" w14:textId="00001237" w:rsidR="00607BC1" w:rsidRPr="00111590" w:rsidRDefault="00143AEF" w:rsidP="000E7193">
      <w:pPr>
        <w:pBdr>
          <w:top w:val="single" w:sz="8" w:space="1" w:color="auto"/>
        </w:pBdr>
        <w:spacing w:before="80" w:after="80"/>
        <w:rPr>
          <w:sz w:val="20"/>
          <w:szCs w:val="19"/>
        </w:rPr>
      </w:pPr>
      <w:r>
        <w:rPr>
          <w:sz w:val="20"/>
          <w:szCs w:val="19"/>
        </w:rPr>
        <w:t xml:space="preserve">GCVS has not consistently ensured program access and equity for students with disabilities and English learners (ELs). The school’s website and student and family handbook contain very little information about the school’s programs for students with disabilities or ELs. </w:t>
      </w:r>
      <w:r w:rsidR="00554083" w:rsidRPr="00111590">
        <w:rPr>
          <w:sz w:val="20"/>
          <w:szCs w:val="19"/>
        </w:rPr>
        <w:t>A</w:t>
      </w:r>
      <w:r w:rsidR="00554083">
        <w:rPr>
          <w:sz w:val="20"/>
          <w:szCs w:val="19"/>
        </w:rPr>
        <w:t>ccountability reviews conducted in February and December 2017 pointed to a lack of policies and procedures to identify, assess, or serve English learner</w:t>
      </w:r>
      <w:r w:rsidR="001B113D">
        <w:rPr>
          <w:sz w:val="20"/>
          <w:szCs w:val="19"/>
        </w:rPr>
        <w:t>s (ELs).</w:t>
      </w:r>
      <w:r w:rsidR="00554083">
        <w:rPr>
          <w:sz w:val="20"/>
          <w:szCs w:val="19"/>
        </w:rPr>
        <w:t xml:space="preserve"> As a</w:t>
      </w:r>
      <w:r w:rsidR="00607BC1" w:rsidRPr="00111590">
        <w:rPr>
          <w:sz w:val="20"/>
          <w:szCs w:val="19"/>
        </w:rPr>
        <w:t xml:space="preserve"> condition of the school’s </w:t>
      </w:r>
      <w:r w:rsidR="003714CD">
        <w:rPr>
          <w:sz w:val="20"/>
          <w:szCs w:val="19"/>
        </w:rPr>
        <w:t xml:space="preserve">2018 </w:t>
      </w:r>
      <w:r w:rsidR="00607BC1" w:rsidRPr="00111590">
        <w:rPr>
          <w:sz w:val="20"/>
          <w:szCs w:val="19"/>
        </w:rPr>
        <w:t xml:space="preserve">probationary status, GCVS was required to </w:t>
      </w:r>
      <w:r w:rsidR="003714CD">
        <w:rPr>
          <w:sz w:val="20"/>
          <w:szCs w:val="19"/>
        </w:rPr>
        <w:t>develop a deta</w:t>
      </w:r>
      <w:r w:rsidR="00554083">
        <w:rPr>
          <w:sz w:val="20"/>
          <w:szCs w:val="19"/>
        </w:rPr>
        <w:t>iled plan to serve ELs</w:t>
      </w:r>
      <w:r w:rsidR="003714CD">
        <w:rPr>
          <w:sz w:val="20"/>
          <w:szCs w:val="19"/>
        </w:rPr>
        <w:t>. This condition was similar to the 2015 condition</w:t>
      </w:r>
      <w:r w:rsidR="00554083">
        <w:rPr>
          <w:sz w:val="20"/>
          <w:szCs w:val="19"/>
        </w:rPr>
        <w:t>, requiring GCV</w:t>
      </w:r>
      <w:r w:rsidR="003714CD">
        <w:rPr>
          <w:sz w:val="20"/>
          <w:szCs w:val="19"/>
        </w:rPr>
        <w:t>S to implement</w:t>
      </w:r>
      <w:r w:rsidR="00607BC1" w:rsidRPr="00111590">
        <w:rPr>
          <w:sz w:val="20"/>
          <w:szCs w:val="19"/>
        </w:rPr>
        <w:t xml:space="preserve"> a </w:t>
      </w:r>
      <w:r w:rsidR="003714CD">
        <w:rPr>
          <w:sz w:val="20"/>
          <w:szCs w:val="19"/>
        </w:rPr>
        <w:t>“</w:t>
      </w:r>
      <w:r w:rsidR="00607BC1" w:rsidRPr="00111590">
        <w:rPr>
          <w:sz w:val="20"/>
          <w:szCs w:val="19"/>
        </w:rPr>
        <w:t xml:space="preserve">system to identify and serve English language learners and special education students that is consistent with all applicable federal and state laws and regulations.” As of the renewal inspection, GCVS had </w:t>
      </w:r>
      <w:r w:rsidR="003714CD">
        <w:rPr>
          <w:sz w:val="20"/>
          <w:szCs w:val="19"/>
        </w:rPr>
        <w:t>developed and</w:t>
      </w:r>
      <w:r>
        <w:rPr>
          <w:sz w:val="20"/>
          <w:szCs w:val="19"/>
        </w:rPr>
        <w:t xml:space="preserve"> was implementing</w:t>
      </w:r>
      <w:r w:rsidR="003714CD">
        <w:rPr>
          <w:sz w:val="20"/>
          <w:szCs w:val="19"/>
        </w:rPr>
        <w:t xml:space="preserve"> a plan to identify and serve its ELs. October 2017</w:t>
      </w:r>
      <w:r w:rsidR="00607BC1" w:rsidRPr="00111590">
        <w:rPr>
          <w:sz w:val="20"/>
          <w:szCs w:val="19"/>
        </w:rPr>
        <w:t xml:space="preserve"> student Information Management System (SIMS) data s</w:t>
      </w:r>
      <w:r w:rsidR="003714CD">
        <w:rPr>
          <w:sz w:val="20"/>
          <w:szCs w:val="19"/>
        </w:rPr>
        <w:t xml:space="preserve">how that </w:t>
      </w:r>
      <w:r w:rsidR="00E734A3">
        <w:rPr>
          <w:sz w:val="20"/>
          <w:szCs w:val="19"/>
        </w:rPr>
        <w:t>GCVS</w:t>
      </w:r>
      <w:r w:rsidR="003714CD">
        <w:rPr>
          <w:sz w:val="20"/>
          <w:szCs w:val="19"/>
        </w:rPr>
        <w:t xml:space="preserve"> served </w:t>
      </w:r>
      <w:r w:rsidR="00554083">
        <w:rPr>
          <w:sz w:val="20"/>
          <w:szCs w:val="19"/>
        </w:rPr>
        <w:t xml:space="preserve">1 EL student. October 2018 SIMS data show that </w:t>
      </w:r>
      <w:r w:rsidR="00E734A3">
        <w:rPr>
          <w:sz w:val="20"/>
          <w:szCs w:val="19"/>
        </w:rPr>
        <w:t>GCVS</w:t>
      </w:r>
      <w:r w:rsidR="00554083">
        <w:rPr>
          <w:sz w:val="20"/>
          <w:szCs w:val="19"/>
        </w:rPr>
        <w:t xml:space="preserve"> currently serves </w:t>
      </w:r>
      <w:r w:rsidR="00E16647" w:rsidRPr="00E16647">
        <w:rPr>
          <w:sz w:val="20"/>
          <w:szCs w:val="19"/>
        </w:rPr>
        <w:t xml:space="preserve">1 </w:t>
      </w:r>
      <w:r w:rsidR="00E16647">
        <w:rPr>
          <w:sz w:val="20"/>
          <w:szCs w:val="19"/>
        </w:rPr>
        <w:t>EL student, or 0.2 percent of its student population. In 2018-2019, GCVS serves 125</w:t>
      </w:r>
      <w:r w:rsidR="00554083">
        <w:rPr>
          <w:sz w:val="20"/>
          <w:szCs w:val="19"/>
        </w:rPr>
        <w:t xml:space="preserve"> students with disabilities,</w:t>
      </w:r>
      <w:r w:rsidR="00E16647">
        <w:rPr>
          <w:sz w:val="20"/>
          <w:szCs w:val="19"/>
        </w:rPr>
        <w:t xml:space="preserve"> or 21.2 percent of its population</w:t>
      </w:r>
      <w:r w:rsidR="00554083">
        <w:rPr>
          <w:sz w:val="20"/>
          <w:szCs w:val="19"/>
        </w:rPr>
        <w:t xml:space="preserve">. </w:t>
      </w:r>
      <w:r w:rsidR="00E16647">
        <w:rPr>
          <w:sz w:val="20"/>
          <w:szCs w:val="19"/>
        </w:rPr>
        <w:t xml:space="preserve">Currently, 57.6 percent of GCVS’ population is </w:t>
      </w:r>
      <w:r w:rsidR="009E3627">
        <w:rPr>
          <w:sz w:val="20"/>
          <w:szCs w:val="19"/>
        </w:rPr>
        <w:t xml:space="preserve">high needs. </w:t>
      </w:r>
    </w:p>
    <w:p w14:paraId="6E9AF432" w14:textId="449B1A31" w:rsidR="00607BC1" w:rsidRDefault="00607BC1" w:rsidP="000E7193">
      <w:pPr>
        <w:spacing w:after="360"/>
        <w:rPr>
          <w:i/>
          <w:sz w:val="18"/>
          <w:szCs w:val="19"/>
        </w:rPr>
      </w:pPr>
      <w:r w:rsidRPr="005C5F4F">
        <w:rPr>
          <w:sz w:val="18"/>
          <w:szCs w:val="19"/>
        </w:rPr>
        <w:t>Sources:</w:t>
      </w:r>
      <w:r w:rsidRPr="005C5F4F">
        <w:rPr>
          <w:i/>
          <w:sz w:val="18"/>
          <w:szCs w:val="19"/>
        </w:rPr>
        <w:t xml:space="preserve"> Accountability Reviews (</w:t>
      </w:r>
      <w:r w:rsidR="00554083">
        <w:rPr>
          <w:i/>
          <w:sz w:val="18"/>
          <w:szCs w:val="19"/>
        </w:rPr>
        <w:t xml:space="preserve">February and December 2017), </w:t>
      </w:r>
      <w:r w:rsidRPr="005C5F4F">
        <w:rPr>
          <w:i/>
          <w:sz w:val="18"/>
          <w:szCs w:val="19"/>
        </w:rPr>
        <w:t>English La</w:t>
      </w:r>
      <w:r w:rsidR="00554083">
        <w:rPr>
          <w:i/>
          <w:sz w:val="18"/>
          <w:szCs w:val="19"/>
        </w:rPr>
        <w:t xml:space="preserve">nguage Learner Plan, Department SIMS data. </w:t>
      </w:r>
    </w:p>
    <w:p w14:paraId="02DFE508" w14:textId="77777777" w:rsidR="001B113D" w:rsidRPr="00BB539E" w:rsidRDefault="001B113D" w:rsidP="001B113D">
      <w:pPr>
        <w:pStyle w:val="sidehead"/>
        <w:framePr w:wrap="around"/>
        <w:pBdr>
          <w:top w:val="single" w:sz="8" w:space="1" w:color="auto"/>
        </w:pBdr>
        <w:rPr>
          <w:b/>
        </w:rPr>
      </w:pPr>
      <w:r w:rsidRPr="00BB539E">
        <w:rPr>
          <w:b/>
        </w:rPr>
        <w:t>3. Compliance</w:t>
      </w:r>
    </w:p>
    <w:p w14:paraId="62620E3D" w14:textId="4F12B237" w:rsidR="001B113D" w:rsidRPr="00ED6313" w:rsidRDefault="001B113D" w:rsidP="001B113D">
      <w:pPr>
        <w:pStyle w:val="sidehead"/>
        <w:framePr w:wrap="around"/>
        <w:pBdr>
          <w:top w:val="single" w:sz="8" w:space="1" w:color="auto"/>
        </w:pBdr>
        <w:rPr>
          <w:b/>
          <w:sz w:val="19"/>
          <w:szCs w:val="19"/>
        </w:rPr>
      </w:pPr>
      <w:r>
        <w:rPr>
          <w:b/>
          <w:sz w:val="19"/>
          <w:szCs w:val="19"/>
        </w:rPr>
        <w:t>N/A</w:t>
      </w:r>
    </w:p>
    <w:p w14:paraId="4EABE329" w14:textId="3170C822" w:rsidR="001B113D" w:rsidRPr="00111590" w:rsidRDefault="001B113D" w:rsidP="001B113D">
      <w:pPr>
        <w:pBdr>
          <w:top w:val="single" w:sz="8" w:space="1" w:color="auto"/>
        </w:pBdr>
        <w:spacing w:before="80" w:after="80"/>
        <w:rPr>
          <w:sz w:val="20"/>
          <w:szCs w:val="20"/>
        </w:rPr>
      </w:pPr>
      <w:r>
        <w:rPr>
          <w:sz w:val="20"/>
          <w:szCs w:val="20"/>
        </w:rPr>
        <w:t xml:space="preserve">GCVS is scheduled to receive a </w:t>
      </w:r>
      <w:hyperlink r:id="rId30" w:history="1">
        <w:r w:rsidRPr="001B113D">
          <w:rPr>
            <w:rStyle w:val="Hyperlink"/>
            <w:sz w:val="20"/>
            <w:szCs w:val="20"/>
          </w:rPr>
          <w:t>tiered focused monitoring</w:t>
        </w:r>
      </w:hyperlink>
      <w:r>
        <w:rPr>
          <w:sz w:val="20"/>
          <w:szCs w:val="20"/>
        </w:rPr>
        <w:t xml:space="preserve"> (TFM) visit from the Department’s Office of Public School Monitoring during the 2019-2020 school year. The school is currently participating in training and preparing for the TFM visit.</w:t>
      </w:r>
    </w:p>
    <w:p w14:paraId="33368013" w14:textId="5E96E96E" w:rsidR="001B113D" w:rsidRPr="005C5F4F" w:rsidRDefault="001B113D" w:rsidP="001B113D">
      <w:pPr>
        <w:spacing w:after="360"/>
        <w:rPr>
          <w:i/>
          <w:sz w:val="18"/>
          <w:szCs w:val="19"/>
        </w:rPr>
      </w:pPr>
      <w:r w:rsidRPr="005C5F4F">
        <w:rPr>
          <w:sz w:val="18"/>
          <w:szCs w:val="19"/>
        </w:rPr>
        <w:t>Sources:</w:t>
      </w:r>
      <w:r w:rsidRPr="005C5F4F">
        <w:rPr>
          <w:i/>
          <w:sz w:val="18"/>
          <w:szCs w:val="19"/>
        </w:rPr>
        <w:t xml:space="preserve"> </w:t>
      </w:r>
      <w:r>
        <w:rPr>
          <w:i/>
          <w:sz w:val="18"/>
          <w:szCs w:val="19"/>
        </w:rPr>
        <w:t>TFM schedule</w:t>
      </w:r>
    </w:p>
    <w:p w14:paraId="0D489B7A" w14:textId="77777777" w:rsidR="001B113D" w:rsidRPr="005C5F4F" w:rsidRDefault="001B113D" w:rsidP="000E7193">
      <w:pPr>
        <w:spacing w:after="360"/>
        <w:rPr>
          <w:i/>
          <w:sz w:val="18"/>
          <w:szCs w:val="19"/>
        </w:rPr>
      </w:pPr>
    </w:p>
    <w:p w14:paraId="36AB7AF8" w14:textId="77777777" w:rsidR="002C01C8" w:rsidRPr="000E7193" w:rsidRDefault="002C01C8" w:rsidP="000E7193">
      <w:pPr>
        <w:pStyle w:val="sidehead"/>
        <w:framePr w:wrap="around"/>
        <w:rPr>
          <w:b/>
          <w:sz w:val="24"/>
        </w:rPr>
      </w:pPr>
      <w:r w:rsidRPr="000E7193">
        <w:rPr>
          <w:b/>
          <w:sz w:val="24"/>
        </w:rPr>
        <w:lastRenderedPageBreak/>
        <w:t>Academic and program success</w:t>
      </w:r>
    </w:p>
    <w:p w14:paraId="6B995747" w14:textId="77777777" w:rsidR="002C01C8" w:rsidRDefault="00BB539E" w:rsidP="002C01C8">
      <w:pPr>
        <w:pStyle w:val="sidehead"/>
        <w:framePr w:wrap="around"/>
        <w:rPr>
          <w:b/>
        </w:rPr>
      </w:pPr>
      <w:r>
        <w:rPr>
          <w:b/>
        </w:rPr>
        <w:t xml:space="preserve">4. </w:t>
      </w:r>
      <w:r w:rsidR="002C01C8">
        <w:rPr>
          <w:b/>
        </w:rPr>
        <w:t>Student performance</w:t>
      </w:r>
    </w:p>
    <w:p w14:paraId="74B6412A" w14:textId="77777777" w:rsidR="002C01C8" w:rsidRPr="00ED6313" w:rsidRDefault="002C01C8" w:rsidP="002C01C8">
      <w:pPr>
        <w:pStyle w:val="sidehead"/>
        <w:framePr w:wrap="around"/>
        <w:rPr>
          <w:b/>
          <w:sz w:val="19"/>
          <w:szCs w:val="19"/>
        </w:rPr>
      </w:pPr>
      <w:r w:rsidRPr="00ED6313">
        <w:rPr>
          <w:b/>
          <w:sz w:val="19"/>
          <w:szCs w:val="19"/>
        </w:rPr>
        <w:t xml:space="preserve">Falls far below </w:t>
      </w:r>
      <w:r w:rsidRPr="00ED6313">
        <w:rPr>
          <w:rFonts w:ascii="Wingdings" w:hAnsi="Wingdings"/>
          <w:b/>
          <w:color w:val="FF0000"/>
          <w:sz w:val="19"/>
          <w:szCs w:val="19"/>
        </w:rPr>
        <w:t></w:t>
      </w:r>
    </w:p>
    <w:p w14:paraId="0EEEEA90" w14:textId="291EB22F" w:rsidR="002C01C8" w:rsidRPr="00ED6313" w:rsidRDefault="005C5F4F" w:rsidP="000E7193">
      <w:pPr>
        <w:pStyle w:val="sidehead"/>
        <w:framePr w:wrap="around"/>
        <w:pBdr>
          <w:top w:val="none" w:sz="0" w:space="0" w:color="auto"/>
        </w:pBdr>
        <w:ind w:right="180"/>
        <w:rPr>
          <w:sz w:val="19"/>
          <w:szCs w:val="19"/>
        </w:rPr>
      </w:pPr>
      <w:r w:rsidRPr="00ED6313">
        <w:rPr>
          <w:sz w:val="19"/>
          <w:szCs w:val="19"/>
        </w:rPr>
        <w:t xml:space="preserve">Over its </w:t>
      </w:r>
      <w:r w:rsidR="00CB5CF7">
        <w:rPr>
          <w:sz w:val="19"/>
          <w:szCs w:val="19"/>
        </w:rPr>
        <w:t>second</w:t>
      </w:r>
      <w:r w:rsidRPr="00ED6313">
        <w:rPr>
          <w:sz w:val="19"/>
          <w:szCs w:val="19"/>
        </w:rPr>
        <w:t xml:space="preserve"> three-year certificate term, </w:t>
      </w:r>
      <w:r w:rsidR="002C01C8" w:rsidRPr="00ED6313">
        <w:rPr>
          <w:sz w:val="19"/>
          <w:szCs w:val="19"/>
        </w:rPr>
        <w:t>GCVS has consistently struggled to meet state student performance standards for academic growth and proficiency.</w:t>
      </w:r>
    </w:p>
    <w:p w14:paraId="7EA944FD" w14:textId="478CC7AF" w:rsidR="002C01C8" w:rsidRPr="00111590" w:rsidRDefault="00F30999" w:rsidP="000E7193">
      <w:pPr>
        <w:pBdr>
          <w:top w:val="single" w:sz="36" w:space="1" w:color="auto"/>
        </w:pBdr>
        <w:spacing w:before="80" w:after="80"/>
        <w:rPr>
          <w:sz w:val="20"/>
          <w:szCs w:val="19"/>
        </w:rPr>
      </w:pPr>
      <w:r w:rsidRPr="00F30999">
        <w:rPr>
          <w:sz w:val="20"/>
          <w:szCs w:val="20"/>
        </w:rPr>
        <w:t xml:space="preserve">During the charter term, </w:t>
      </w:r>
      <w:r w:rsidR="00E734A3">
        <w:rPr>
          <w:sz w:val="20"/>
          <w:szCs w:val="20"/>
        </w:rPr>
        <w:t>GCVS</w:t>
      </w:r>
      <w:r w:rsidRPr="00F30999">
        <w:rPr>
          <w:sz w:val="20"/>
          <w:szCs w:val="20"/>
        </w:rPr>
        <w:t xml:space="preserve"> </w:t>
      </w:r>
      <w:r w:rsidR="00CB5CF7">
        <w:rPr>
          <w:sz w:val="20"/>
          <w:szCs w:val="20"/>
        </w:rPr>
        <w:t xml:space="preserve">performance on statewide assessments fell far short of statewide averages. The school </w:t>
      </w:r>
      <w:r w:rsidRPr="00F30999">
        <w:rPr>
          <w:sz w:val="20"/>
          <w:szCs w:val="20"/>
        </w:rPr>
        <w:t xml:space="preserve">did not meet gap narrowing goals in 2015 and 2016 and was placed in Level 3 due to low academic performance. In 2017, schools such as </w:t>
      </w:r>
      <w:r w:rsidR="00E734A3">
        <w:rPr>
          <w:sz w:val="20"/>
          <w:szCs w:val="20"/>
        </w:rPr>
        <w:t>GCVS</w:t>
      </w:r>
      <w:r w:rsidRPr="00F30999">
        <w:rPr>
          <w:sz w:val="20"/>
          <w:szCs w:val="20"/>
        </w:rPr>
        <w:t xml:space="preserve"> that administered the Next-Generation MCAS assessment in grades 3-8 were not assigned a level. In 2018, </w:t>
      </w:r>
      <w:r w:rsidR="00E734A3">
        <w:rPr>
          <w:sz w:val="20"/>
          <w:szCs w:val="20"/>
        </w:rPr>
        <w:t>GCVS</w:t>
      </w:r>
      <w:r w:rsidRPr="00F30999">
        <w:rPr>
          <w:sz w:val="20"/>
          <w:szCs w:val="20"/>
        </w:rPr>
        <w:t xml:space="preserve"> partially met targets for indicators included in the new statewide accountability system. In 2018, </w:t>
      </w:r>
      <w:r w:rsidR="00E734A3">
        <w:rPr>
          <w:sz w:val="20"/>
          <w:szCs w:val="20"/>
        </w:rPr>
        <w:t>GCVS</w:t>
      </w:r>
      <w:r w:rsidRPr="00F30999">
        <w:rPr>
          <w:sz w:val="20"/>
          <w:szCs w:val="20"/>
        </w:rPr>
        <w:t xml:space="preserve"> is classified as requiring assistance or intervention due to low graduation rates and low participation rates. A majority of student performance data</w:t>
      </w:r>
      <w:r>
        <w:rPr>
          <w:sz w:val="20"/>
          <w:szCs w:val="20"/>
        </w:rPr>
        <w:t xml:space="preserve">, such as </w:t>
      </w:r>
      <w:r w:rsidR="00CB5CF7">
        <w:rPr>
          <w:sz w:val="20"/>
          <w:szCs w:val="20"/>
        </w:rPr>
        <w:t>achievement rates, growth scores</w:t>
      </w:r>
      <w:r>
        <w:rPr>
          <w:sz w:val="20"/>
          <w:szCs w:val="20"/>
        </w:rPr>
        <w:t xml:space="preserve">, </w:t>
      </w:r>
      <w:r w:rsidR="00CB5CF7">
        <w:rPr>
          <w:sz w:val="20"/>
          <w:szCs w:val="20"/>
        </w:rPr>
        <w:t xml:space="preserve">and </w:t>
      </w:r>
      <w:r>
        <w:rPr>
          <w:sz w:val="20"/>
          <w:szCs w:val="20"/>
        </w:rPr>
        <w:t>graduation</w:t>
      </w:r>
      <w:r w:rsidR="00CB5CF7">
        <w:rPr>
          <w:sz w:val="20"/>
          <w:szCs w:val="20"/>
        </w:rPr>
        <w:t xml:space="preserve"> rates </w:t>
      </w:r>
      <w:r w:rsidRPr="00F30999">
        <w:rPr>
          <w:sz w:val="20"/>
          <w:szCs w:val="20"/>
        </w:rPr>
        <w:t>have been consistently below state rates since 2015.</w:t>
      </w:r>
      <w:r w:rsidR="002C01C8" w:rsidRPr="00111590">
        <w:rPr>
          <w:sz w:val="20"/>
          <w:szCs w:val="19"/>
        </w:rPr>
        <w:t xml:space="preserve"> </w:t>
      </w:r>
      <w:r w:rsidR="00CB5CF7">
        <w:rPr>
          <w:sz w:val="20"/>
          <w:szCs w:val="19"/>
        </w:rPr>
        <w:t xml:space="preserve">Dropout rates have been consistently above state rates as well. </w:t>
      </w:r>
      <w:r w:rsidR="002C01C8" w:rsidRPr="00111590">
        <w:rPr>
          <w:sz w:val="20"/>
          <w:szCs w:val="19"/>
        </w:rPr>
        <w:t>See Appendix C for detailed information.</w:t>
      </w:r>
    </w:p>
    <w:p w14:paraId="3A548E1B" w14:textId="1AE879A2" w:rsidR="00CB5CF7" w:rsidRPr="005C5F4F" w:rsidRDefault="002C01C8" w:rsidP="000E7193">
      <w:pPr>
        <w:spacing w:after="360"/>
        <w:rPr>
          <w:i/>
          <w:sz w:val="18"/>
          <w:szCs w:val="19"/>
        </w:rPr>
      </w:pPr>
      <w:r w:rsidRPr="005C5F4F">
        <w:rPr>
          <w:sz w:val="18"/>
          <w:szCs w:val="19"/>
        </w:rPr>
        <w:t>Sources:</w:t>
      </w:r>
      <w:r w:rsidR="00F30999">
        <w:rPr>
          <w:i/>
          <w:sz w:val="18"/>
          <w:szCs w:val="19"/>
        </w:rPr>
        <w:t xml:space="preserve"> FY17 and FY18 Annual Reports, Spring 2015-2018</w:t>
      </w:r>
      <w:r w:rsidR="00CB5CF7">
        <w:rPr>
          <w:i/>
          <w:sz w:val="18"/>
          <w:szCs w:val="19"/>
        </w:rPr>
        <w:t xml:space="preserve"> statewide assessment results</w:t>
      </w:r>
      <w:r w:rsidRPr="005C5F4F">
        <w:rPr>
          <w:i/>
          <w:sz w:val="18"/>
          <w:szCs w:val="19"/>
        </w:rPr>
        <w:t xml:space="preserve"> </w:t>
      </w:r>
    </w:p>
    <w:p w14:paraId="325525A0" w14:textId="1BB7200B" w:rsidR="002C01C8" w:rsidRDefault="00BB539E" w:rsidP="000E7193">
      <w:pPr>
        <w:pStyle w:val="sidehead"/>
        <w:framePr w:wrap="around"/>
        <w:pBdr>
          <w:top w:val="single" w:sz="8" w:space="1" w:color="auto"/>
        </w:pBdr>
        <w:rPr>
          <w:b/>
        </w:rPr>
      </w:pPr>
      <w:r w:rsidRPr="00BB539E">
        <w:rPr>
          <w:b/>
        </w:rPr>
        <w:t>5</w:t>
      </w:r>
      <w:r w:rsidR="009351FD">
        <w:rPr>
          <w:b/>
        </w:rPr>
        <w:t>a</w:t>
      </w:r>
      <w:r w:rsidRPr="00BB539E">
        <w:rPr>
          <w:b/>
        </w:rPr>
        <w:t xml:space="preserve">. </w:t>
      </w:r>
      <w:r>
        <w:rPr>
          <w:b/>
        </w:rPr>
        <w:t xml:space="preserve">Program delivery - </w:t>
      </w:r>
      <w:r w:rsidR="002C01C8">
        <w:rPr>
          <w:b/>
        </w:rPr>
        <w:t>Curriculum</w:t>
      </w:r>
    </w:p>
    <w:p w14:paraId="07912F50" w14:textId="77777777" w:rsidR="002C01C8" w:rsidRPr="00ED6313" w:rsidRDefault="002C01C8" w:rsidP="000E7193">
      <w:pPr>
        <w:pStyle w:val="sidehead"/>
        <w:framePr w:wrap="around"/>
        <w:pBdr>
          <w:top w:val="single" w:sz="8" w:space="1" w:color="auto"/>
        </w:pBdr>
        <w:rPr>
          <w:b/>
          <w:sz w:val="19"/>
          <w:szCs w:val="19"/>
        </w:rPr>
      </w:pPr>
      <w:r w:rsidRPr="00ED6313">
        <w:rPr>
          <w:b/>
          <w:sz w:val="19"/>
          <w:szCs w:val="19"/>
        </w:rPr>
        <w:t xml:space="preserve">Partially meets </w:t>
      </w:r>
      <w:r w:rsidRPr="00ED6313">
        <w:rPr>
          <w:rFonts w:ascii="Wingdings" w:hAnsi="Wingdings"/>
          <w:b/>
          <w:color w:val="FFC000"/>
          <w:sz w:val="19"/>
          <w:szCs w:val="19"/>
        </w:rPr>
        <w:t></w:t>
      </w:r>
    </w:p>
    <w:p w14:paraId="67D0CEC6" w14:textId="46616E4D" w:rsidR="002C01C8" w:rsidRPr="00ED6313" w:rsidRDefault="00F97A79" w:rsidP="000E7193">
      <w:pPr>
        <w:pStyle w:val="sidehead"/>
        <w:framePr w:wrap="around"/>
        <w:pBdr>
          <w:top w:val="none" w:sz="0" w:space="0" w:color="auto"/>
        </w:pBdr>
        <w:ind w:right="180"/>
        <w:rPr>
          <w:sz w:val="19"/>
          <w:szCs w:val="19"/>
        </w:rPr>
      </w:pPr>
      <w:r>
        <w:rPr>
          <w:sz w:val="19"/>
          <w:szCs w:val="19"/>
        </w:rPr>
        <w:t xml:space="preserve">In 2017-2018, </w:t>
      </w:r>
      <w:r w:rsidR="00E734A3">
        <w:rPr>
          <w:sz w:val="19"/>
          <w:szCs w:val="19"/>
        </w:rPr>
        <w:t>GCVS</w:t>
      </w:r>
      <w:r>
        <w:rPr>
          <w:sz w:val="19"/>
          <w:szCs w:val="19"/>
        </w:rPr>
        <w:t xml:space="preserve"> adopted a new set of curricula and adapted it to a new learning management system: Canvas. The curricula are only partially aligned to the Massachusetts Curriculum Frameworks.</w:t>
      </w:r>
    </w:p>
    <w:p w14:paraId="50998368" w14:textId="5ADF0BCD" w:rsidR="002C01C8" w:rsidRPr="00111590" w:rsidRDefault="001B6920" w:rsidP="000E7193">
      <w:pPr>
        <w:pBdr>
          <w:top w:val="single" w:sz="8" w:space="1" w:color="auto"/>
        </w:pBdr>
        <w:spacing w:before="80" w:after="80"/>
        <w:rPr>
          <w:sz w:val="20"/>
          <w:szCs w:val="19"/>
        </w:rPr>
      </w:pPr>
      <w:r w:rsidRPr="001B6920">
        <w:rPr>
          <w:sz w:val="20"/>
          <w:szCs w:val="20"/>
        </w:rPr>
        <w:t xml:space="preserve">In </w:t>
      </w:r>
      <w:r w:rsidRPr="001B6920">
        <w:rPr>
          <w:bCs/>
          <w:sz w:val="20"/>
          <w:szCs w:val="20"/>
        </w:rPr>
        <w:t xml:space="preserve">July 2017, </w:t>
      </w:r>
      <w:r w:rsidR="00E734A3">
        <w:rPr>
          <w:bCs/>
          <w:sz w:val="20"/>
          <w:szCs w:val="20"/>
        </w:rPr>
        <w:t>GCVS</w:t>
      </w:r>
      <w:r w:rsidRPr="001B6920">
        <w:rPr>
          <w:bCs/>
          <w:sz w:val="20"/>
          <w:szCs w:val="20"/>
        </w:rPr>
        <w:t xml:space="preserve"> transitioned from K12 Inc. as the contracted provider of the educational program and learning management system to using the Canvas </w:t>
      </w:r>
      <w:r>
        <w:rPr>
          <w:bCs/>
          <w:sz w:val="20"/>
          <w:szCs w:val="20"/>
        </w:rPr>
        <w:t xml:space="preserve">learning </w:t>
      </w:r>
      <w:r w:rsidRPr="001B6920">
        <w:rPr>
          <w:bCs/>
          <w:sz w:val="20"/>
          <w:szCs w:val="20"/>
        </w:rPr>
        <w:t xml:space="preserve">platform for </w:t>
      </w:r>
      <w:r>
        <w:rPr>
          <w:bCs/>
          <w:sz w:val="20"/>
          <w:szCs w:val="20"/>
        </w:rPr>
        <w:t>instruction</w:t>
      </w:r>
      <w:r w:rsidRPr="001B6920">
        <w:rPr>
          <w:bCs/>
          <w:sz w:val="20"/>
          <w:szCs w:val="20"/>
        </w:rPr>
        <w:t xml:space="preserve">. Additionally, the school began implementing a new set of curricula during the 2017-2018 school year: the EngageNY curriculum </w:t>
      </w:r>
      <w:r>
        <w:rPr>
          <w:bCs/>
          <w:sz w:val="20"/>
          <w:szCs w:val="20"/>
        </w:rPr>
        <w:t xml:space="preserve">for grades K-5 </w:t>
      </w:r>
      <w:r w:rsidRPr="001B6920">
        <w:rPr>
          <w:bCs/>
          <w:sz w:val="20"/>
          <w:szCs w:val="20"/>
        </w:rPr>
        <w:t>and the Florida Virtual School curriculum</w:t>
      </w:r>
      <w:r>
        <w:rPr>
          <w:bCs/>
          <w:sz w:val="20"/>
          <w:szCs w:val="20"/>
        </w:rPr>
        <w:t xml:space="preserve"> for grades 6-12</w:t>
      </w:r>
      <w:r w:rsidR="00F97A79">
        <w:rPr>
          <w:bCs/>
          <w:sz w:val="20"/>
          <w:szCs w:val="20"/>
        </w:rPr>
        <w:t xml:space="preserve">. </w:t>
      </w:r>
      <w:r w:rsidR="00E734A3">
        <w:rPr>
          <w:bCs/>
          <w:sz w:val="20"/>
          <w:szCs w:val="20"/>
        </w:rPr>
        <w:t>GCVS</w:t>
      </w:r>
      <w:r w:rsidR="00F97A79">
        <w:rPr>
          <w:bCs/>
          <w:sz w:val="20"/>
          <w:szCs w:val="20"/>
        </w:rPr>
        <w:t xml:space="preserve">’ accountability goals show that the school is still working to align the curriculum to </w:t>
      </w:r>
      <w:r>
        <w:rPr>
          <w:bCs/>
          <w:sz w:val="20"/>
          <w:szCs w:val="20"/>
        </w:rPr>
        <w:t>the Massachusetts Curriculum Frameworks</w:t>
      </w:r>
      <w:r w:rsidRPr="001B6920">
        <w:rPr>
          <w:bCs/>
          <w:sz w:val="20"/>
          <w:szCs w:val="20"/>
        </w:rPr>
        <w:t>. During the current school year, teachers and administrators are still adapting the newly chosen curricula to the new platform.</w:t>
      </w:r>
      <w:r>
        <w:rPr>
          <w:bCs/>
        </w:rPr>
        <w:t xml:space="preserve"> </w:t>
      </w:r>
    </w:p>
    <w:p w14:paraId="2C5301D4" w14:textId="2663811D" w:rsidR="002C01C8" w:rsidRDefault="002C01C8" w:rsidP="003D7B03">
      <w:pPr>
        <w:spacing w:after="360"/>
        <w:rPr>
          <w:i/>
          <w:sz w:val="18"/>
          <w:szCs w:val="19"/>
        </w:rPr>
      </w:pPr>
      <w:r w:rsidRPr="005C5F4F">
        <w:rPr>
          <w:sz w:val="18"/>
          <w:szCs w:val="19"/>
        </w:rPr>
        <w:t>Sources:</w:t>
      </w:r>
      <w:r w:rsidRPr="005C5F4F">
        <w:rPr>
          <w:i/>
          <w:sz w:val="18"/>
          <w:szCs w:val="19"/>
        </w:rPr>
        <w:t xml:space="preserve"> </w:t>
      </w:r>
      <w:r w:rsidR="00F97A79">
        <w:rPr>
          <w:i/>
          <w:sz w:val="18"/>
          <w:szCs w:val="19"/>
        </w:rPr>
        <w:t xml:space="preserve">FY17 and FY18 Annual Reports </w:t>
      </w:r>
      <w:r w:rsidR="00A53B7B">
        <w:rPr>
          <w:i/>
          <w:sz w:val="18"/>
          <w:szCs w:val="19"/>
        </w:rPr>
        <w:t xml:space="preserve">curriculum materials, </w:t>
      </w:r>
      <w:r w:rsidRPr="005C5F4F">
        <w:rPr>
          <w:i/>
          <w:sz w:val="18"/>
          <w:szCs w:val="19"/>
        </w:rPr>
        <w:t>Renewal Inspection (</w:t>
      </w:r>
      <w:r w:rsidR="00F97A79">
        <w:rPr>
          <w:i/>
          <w:sz w:val="18"/>
          <w:szCs w:val="19"/>
        </w:rPr>
        <w:t>October 2018</w:t>
      </w:r>
      <w:r w:rsidRPr="005C5F4F">
        <w:rPr>
          <w:i/>
          <w:sz w:val="18"/>
          <w:szCs w:val="19"/>
        </w:rPr>
        <w:t>), Accountability Reviews (</w:t>
      </w:r>
      <w:r w:rsidR="00F97A79">
        <w:rPr>
          <w:i/>
          <w:sz w:val="18"/>
          <w:szCs w:val="19"/>
        </w:rPr>
        <w:t>February and December 2017</w:t>
      </w:r>
      <w:r w:rsidRPr="005C5F4F">
        <w:rPr>
          <w:i/>
          <w:sz w:val="18"/>
          <w:szCs w:val="19"/>
        </w:rPr>
        <w:t>)</w:t>
      </w:r>
      <w:r w:rsidR="003D7B03">
        <w:rPr>
          <w:i/>
          <w:sz w:val="18"/>
          <w:szCs w:val="19"/>
        </w:rPr>
        <w:t xml:space="preserve">, </w:t>
      </w:r>
      <w:r w:rsidR="003D7B03" w:rsidRPr="005C5F4F">
        <w:rPr>
          <w:i/>
          <w:sz w:val="18"/>
          <w:szCs w:val="19"/>
        </w:rPr>
        <w:t>Certificate Renewal Application (</w:t>
      </w:r>
      <w:r w:rsidR="003D7B03">
        <w:rPr>
          <w:i/>
          <w:sz w:val="18"/>
          <w:szCs w:val="19"/>
        </w:rPr>
        <w:t>June 2018)</w:t>
      </w:r>
    </w:p>
    <w:p w14:paraId="0779DBB7" w14:textId="5B54FBA5" w:rsidR="00781483" w:rsidRDefault="00BB539E" w:rsidP="000E7193">
      <w:pPr>
        <w:pStyle w:val="sidehead"/>
        <w:framePr w:wrap="around"/>
        <w:pBdr>
          <w:top w:val="single" w:sz="8" w:space="1" w:color="auto"/>
        </w:pBdr>
        <w:rPr>
          <w:b/>
        </w:rPr>
      </w:pPr>
      <w:r w:rsidRPr="00BB539E">
        <w:rPr>
          <w:b/>
        </w:rPr>
        <w:t>5</w:t>
      </w:r>
      <w:r w:rsidR="009351FD">
        <w:rPr>
          <w:b/>
        </w:rPr>
        <w:t>b</w:t>
      </w:r>
      <w:r w:rsidRPr="00BB539E">
        <w:rPr>
          <w:b/>
        </w:rPr>
        <w:t xml:space="preserve">. </w:t>
      </w:r>
      <w:r>
        <w:rPr>
          <w:b/>
        </w:rPr>
        <w:t xml:space="preserve">Program delivery - </w:t>
      </w:r>
      <w:r w:rsidR="00781483">
        <w:rPr>
          <w:b/>
        </w:rPr>
        <w:t>Instruction</w:t>
      </w:r>
    </w:p>
    <w:p w14:paraId="52ABEB9D" w14:textId="77777777" w:rsidR="00A11671" w:rsidRPr="00ED6313" w:rsidRDefault="00A11671" w:rsidP="00A11671">
      <w:pPr>
        <w:pStyle w:val="sidehead"/>
        <w:framePr w:wrap="around"/>
        <w:pBdr>
          <w:top w:val="single" w:sz="8" w:space="1" w:color="auto"/>
        </w:pBdr>
        <w:rPr>
          <w:b/>
          <w:sz w:val="19"/>
          <w:szCs w:val="19"/>
        </w:rPr>
      </w:pPr>
      <w:r w:rsidRPr="00ED6313">
        <w:rPr>
          <w:b/>
          <w:sz w:val="19"/>
          <w:szCs w:val="19"/>
        </w:rPr>
        <w:t xml:space="preserve">Partially meets </w:t>
      </w:r>
      <w:r w:rsidRPr="00ED6313">
        <w:rPr>
          <w:rFonts w:ascii="Wingdings" w:hAnsi="Wingdings"/>
          <w:b/>
          <w:color w:val="FFC000"/>
          <w:sz w:val="19"/>
          <w:szCs w:val="19"/>
        </w:rPr>
        <w:t></w:t>
      </w:r>
    </w:p>
    <w:p w14:paraId="26F187BB" w14:textId="21DE824F" w:rsidR="00781483" w:rsidRPr="00ED6313" w:rsidRDefault="00826236" w:rsidP="0067561C">
      <w:pPr>
        <w:pStyle w:val="sidehead"/>
        <w:framePr w:wrap="around"/>
        <w:pBdr>
          <w:top w:val="none" w:sz="0" w:space="0" w:color="auto"/>
        </w:pBdr>
        <w:ind w:right="180"/>
        <w:rPr>
          <w:sz w:val="19"/>
          <w:szCs w:val="19"/>
        </w:rPr>
      </w:pPr>
      <w:r>
        <w:rPr>
          <w:sz w:val="19"/>
          <w:szCs w:val="19"/>
        </w:rPr>
        <w:t>Similar to the prior certificate term,</w:t>
      </w:r>
      <w:r w:rsidR="00781483" w:rsidRPr="00ED6313">
        <w:rPr>
          <w:sz w:val="19"/>
          <w:szCs w:val="19"/>
        </w:rPr>
        <w:t xml:space="preserve"> online lessons observed over the school’s three-year certificate term </w:t>
      </w:r>
      <w:r w:rsidR="00A53B7B" w:rsidRPr="00ED6313">
        <w:rPr>
          <w:sz w:val="19"/>
          <w:szCs w:val="19"/>
        </w:rPr>
        <w:t>continue</w:t>
      </w:r>
      <w:r w:rsidR="00FD64B4">
        <w:rPr>
          <w:sz w:val="19"/>
          <w:szCs w:val="19"/>
        </w:rPr>
        <w:t xml:space="preserve"> to exhibit variability in implementation of high quality instruction, in the </w:t>
      </w:r>
      <w:r w:rsidR="00781483" w:rsidRPr="00ED6313">
        <w:rPr>
          <w:sz w:val="19"/>
          <w:szCs w:val="19"/>
        </w:rPr>
        <w:t xml:space="preserve">execution of the school’s model for instruction, </w:t>
      </w:r>
      <w:r w:rsidR="00FD64B4">
        <w:rPr>
          <w:sz w:val="19"/>
          <w:szCs w:val="19"/>
        </w:rPr>
        <w:t xml:space="preserve">in </w:t>
      </w:r>
      <w:r>
        <w:rPr>
          <w:sz w:val="19"/>
          <w:szCs w:val="19"/>
        </w:rPr>
        <w:t xml:space="preserve">the degree to which students were held to high expectations, </w:t>
      </w:r>
      <w:r w:rsidR="00FD64B4">
        <w:rPr>
          <w:sz w:val="19"/>
          <w:szCs w:val="19"/>
        </w:rPr>
        <w:t xml:space="preserve">and in </w:t>
      </w:r>
      <w:r>
        <w:rPr>
          <w:sz w:val="19"/>
          <w:szCs w:val="19"/>
        </w:rPr>
        <w:t>engagement of all students</w:t>
      </w:r>
      <w:r w:rsidR="00781483" w:rsidRPr="00ED6313">
        <w:rPr>
          <w:sz w:val="19"/>
          <w:szCs w:val="19"/>
        </w:rPr>
        <w:t>.</w:t>
      </w:r>
    </w:p>
    <w:p w14:paraId="1AF0D7E5" w14:textId="654ADFD8" w:rsidR="00781483" w:rsidRPr="00111590" w:rsidRDefault="00826236" w:rsidP="0067561C">
      <w:pPr>
        <w:pBdr>
          <w:top w:val="single" w:sz="8" w:space="1" w:color="auto"/>
        </w:pBdr>
        <w:spacing w:before="80" w:after="80"/>
        <w:rPr>
          <w:sz w:val="20"/>
          <w:szCs w:val="19"/>
        </w:rPr>
      </w:pPr>
      <w:r>
        <w:rPr>
          <w:sz w:val="20"/>
          <w:szCs w:val="19"/>
        </w:rPr>
        <w:t xml:space="preserve">In accordance with </w:t>
      </w:r>
      <w:r w:rsidR="00A53B7B" w:rsidRPr="00111590">
        <w:rPr>
          <w:sz w:val="20"/>
          <w:szCs w:val="19"/>
        </w:rPr>
        <w:t xml:space="preserve">probationary </w:t>
      </w:r>
      <w:r>
        <w:rPr>
          <w:sz w:val="20"/>
          <w:szCs w:val="19"/>
        </w:rPr>
        <w:t>conditions imposed by the Board of Elementary and Secondary Education in 2014</w:t>
      </w:r>
      <w:r w:rsidR="00A53B7B" w:rsidRPr="00111590">
        <w:rPr>
          <w:sz w:val="20"/>
          <w:szCs w:val="19"/>
        </w:rPr>
        <w:t xml:space="preserve">, GCVS </w:t>
      </w:r>
      <w:r>
        <w:rPr>
          <w:sz w:val="20"/>
          <w:szCs w:val="19"/>
        </w:rPr>
        <w:t xml:space="preserve">developed a strategic plan for improving instruction in the core academic subjects, the leadership team developed a rubric to monitor delivery of instruction, and the school doubled the amount </w:t>
      </w:r>
      <w:r w:rsidR="00781483" w:rsidRPr="00111590">
        <w:rPr>
          <w:sz w:val="20"/>
          <w:szCs w:val="19"/>
        </w:rPr>
        <w:t>of synchronous lessons taught each week and re</w:t>
      </w:r>
      <w:r w:rsidR="00A53B7B" w:rsidRPr="00111590">
        <w:rPr>
          <w:sz w:val="20"/>
          <w:szCs w:val="19"/>
        </w:rPr>
        <w:t>quired students to attend them.</w:t>
      </w:r>
      <w:r>
        <w:rPr>
          <w:sz w:val="20"/>
          <w:szCs w:val="19"/>
        </w:rPr>
        <w:t xml:space="preserve"> In 2016-2017, </w:t>
      </w:r>
      <w:r w:rsidR="00E734A3">
        <w:rPr>
          <w:sz w:val="20"/>
          <w:szCs w:val="19"/>
        </w:rPr>
        <w:t>GCVS</w:t>
      </w:r>
      <w:r>
        <w:rPr>
          <w:sz w:val="20"/>
          <w:szCs w:val="19"/>
        </w:rPr>
        <w:t xml:space="preserve"> began recording all online lessons for students, learning coaches, and teachers to review later as needed. In 2017-2018, </w:t>
      </w:r>
      <w:r w:rsidR="00E734A3">
        <w:rPr>
          <w:sz w:val="20"/>
          <w:szCs w:val="19"/>
        </w:rPr>
        <w:t>GCVS</w:t>
      </w:r>
      <w:r>
        <w:rPr>
          <w:sz w:val="20"/>
          <w:szCs w:val="19"/>
        </w:rPr>
        <w:t xml:space="preserve"> implemented a new learning management platform: Canvas, to deliver live lessons. </w:t>
      </w:r>
    </w:p>
    <w:p w14:paraId="24972032" w14:textId="4EDA377D" w:rsidR="00781483" w:rsidRPr="00111590" w:rsidRDefault="00781483" w:rsidP="0067561C">
      <w:pPr>
        <w:pBdr>
          <w:top w:val="single" w:sz="8" w:space="1" w:color="auto"/>
        </w:pBdr>
        <w:spacing w:before="80" w:after="80"/>
        <w:rPr>
          <w:sz w:val="20"/>
          <w:szCs w:val="19"/>
        </w:rPr>
      </w:pPr>
      <w:r w:rsidRPr="00111590">
        <w:rPr>
          <w:sz w:val="20"/>
          <w:szCs w:val="19"/>
        </w:rPr>
        <w:t xml:space="preserve">Evidence from </w:t>
      </w:r>
      <w:r w:rsidR="00826236">
        <w:rPr>
          <w:sz w:val="20"/>
          <w:szCs w:val="19"/>
        </w:rPr>
        <w:t>lesson</w:t>
      </w:r>
      <w:r w:rsidRPr="00111590">
        <w:rPr>
          <w:sz w:val="20"/>
          <w:szCs w:val="19"/>
        </w:rPr>
        <w:t xml:space="preserve"> observations conducted over the course of the school’s certificate</w:t>
      </w:r>
      <w:r w:rsidR="00A53B7B" w:rsidRPr="00111590">
        <w:rPr>
          <w:sz w:val="20"/>
          <w:szCs w:val="19"/>
        </w:rPr>
        <w:t xml:space="preserve"> term noted </w:t>
      </w:r>
      <w:r w:rsidR="00826236">
        <w:rPr>
          <w:sz w:val="20"/>
          <w:szCs w:val="19"/>
        </w:rPr>
        <w:t>persistent</w:t>
      </w:r>
      <w:r w:rsidR="00A53B7B" w:rsidRPr="00111590">
        <w:rPr>
          <w:sz w:val="20"/>
          <w:szCs w:val="19"/>
        </w:rPr>
        <w:t xml:space="preserve"> issues in the implementation of the school’s instructional model.</w:t>
      </w:r>
      <w:r w:rsidR="00826236">
        <w:rPr>
          <w:sz w:val="20"/>
          <w:szCs w:val="19"/>
        </w:rPr>
        <w:t xml:space="preserve"> Each year of the certificate term, evidence from lesson observation</w:t>
      </w:r>
      <w:r w:rsidR="00C42130">
        <w:rPr>
          <w:sz w:val="20"/>
          <w:szCs w:val="19"/>
        </w:rPr>
        <w:t>s</w:t>
      </w:r>
      <w:r w:rsidR="00826236">
        <w:rPr>
          <w:sz w:val="20"/>
          <w:szCs w:val="19"/>
        </w:rPr>
        <w:t xml:space="preserve"> did not consistently reflect alignment to the Department’s criteria for instruction, did not reflect high expectations for all students, did not consistently engage all students, and did not always align to the school’s own expectations for instruction. </w:t>
      </w:r>
    </w:p>
    <w:p w14:paraId="54BAD3E3" w14:textId="736767DA" w:rsidR="00781483" w:rsidRDefault="00781483" w:rsidP="00111590">
      <w:pPr>
        <w:spacing w:after="360"/>
        <w:rPr>
          <w:i/>
          <w:sz w:val="18"/>
          <w:szCs w:val="19"/>
        </w:rPr>
      </w:pPr>
      <w:r w:rsidRPr="005C5F4F">
        <w:rPr>
          <w:sz w:val="18"/>
          <w:szCs w:val="19"/>
        </w:rPr>
        <w:t>Sources:</w:t>
      </w:r>
      <w:r w:rsidRPr="005C5F4F">
        <w:rPr>
          <w:i/>
          <w:sz w:val="18"/>
          <w:szCs w:val="19"/>
        </w:rPr>
        <w:t xml:space="preserve"> Renewal Inspection (</w:t>
      </w:r>
      <w:r w:rsidR="00FD64B4">
        <w:rPr>
          <w:i/>
          <w:sz w:val="18"/>
          <w:szCs w:val="19"/>
        </w:rPr>
        <w:t>October 2018</w:t>
      </w:r>
      <w:r w:rsidRPr="005C5F4F">
        <w:rPr>
          <w:i/>
          <w:sz w:val="18"/>
          <w:szCs w:val="19"/>
        </w:rPr>
        <w:t>), Accountability Reviews (</w:t>
      </w:r>
      <w:r w:rsidR="00FD64B4">
        <w:rPr>
          <w:i/>
          <w:sz w:val="18"/>
          <w:szCs w:val="19"/>
        </w:rPr>
        <w:t>February and December 2017</w:t>
      </w:r>
      <w:r w:rsidRPr="005C5F4F">
        <w:rPr>
          <w:i/>
          <w:sz w:val="18"/>
          <w:szCs w:val="19"/>
        </w:rPr>
        <w:t>)</w:t>
      </w:r>
      <w:r w:rsidR="00575628">
        <w:rPr>
          <w:i/>
          <w:sz w:val="18"/>
          <w:szCs w:val="19"/>
        </w:rPr>
        <w:t xml:space="preserve">, </w:t>
      </w:r>
      <w:r w:rsidR="00E734A3">
        <w:rPr>
          <w:i/>
          <w:sz w:val="18"/>
          <w:szCs w:val="19"/>
        </w:rPr>
        <w:t>GCVS</w:t>
      </w:r>
      <w:r w:rsidR="00FD64B4">
        <w:rPr>
          <w:i/>
          <w:sz w:val="18"/>
          <w:szCs w:val="19"/>
        </w:rPr>
        <w:t>’ expected practices for instruction (2018-2019)</w:t>
      </w:r>
    </w:p>
    <w:p w14:paraId="52E5A35C" w14:textId="6646C4E0" w:rsidR="00ED6313" w:rsidRDefault="00BB539E" w:rsidP="00937B63">
      <w:pPr>
        <w:pStyle w:val="sidehead"/>
        <w:framePr w:wrap="around"/>
        <w:pBdr>
          <w:top w:val="single" w:sz="8" w:space="1" w:color="auto"/>
        </w:pBdr>
        <w:rPr>
          <w:b/>
          <w:sz w:val="19"/>
          <w:szCs w:val="19"/>
        </w:rPr>
      </w:pPr>
      <w:r w:rsidRPr="00BB539E">
        <w:rPr>
          <w:b/>
        </w:rPr>
        <w:lastRenderedPageBreak/>
        <w:t>5</w:t>
      </w:r>
      <w:r w:rsidR="009351FD">
        <w:rPr>
          <w:b/>
        </w:rPr>
        <w:t>c</w:t>
      </w:r>
      <w:r w:rsidRPr="00BB539E">
        <w:rPr>
          <w:b/>
        </w:rPr>
        <w:t xml:space="preserve">. </w:t>
      </w:r>
      <w:r>
        <w:rPr>
          <w:b/>
        </w:rPr>
        <w:t xml:space="preserve">Program delivery - </w:t>
      </w:r>
      <w:r w:rsidR="0067561C">
        <w:rPr>
          <w:b/>
        </w:rPr>
        <w:t>Assessment</w:t>
      </w:r>
      <w:r w:rsidR="00575628">
        <w:rPr>
          <w:b/>
        </w:rPr>
        <w:t xml:space="preserve"> and program evaluation</w:t>
      </w:r>
    </w:p>
    <w:p w14:paraId="4EB8D9E3" w14:textId="62250B72" w:rsidR="00575628" w:rsidRPr="00ED6313" w:rsidRDefault="009769FF" w:rsidP="00780FBF">
      <w:pPr>
        <w:pStyle w:val="sidehead"/>
        <w:framePr w:wrap="around"/>
        <w:pBdr>
          <w:top w:val="none" w:sz="0" w:space="0" w:color="auto"/>
        </w:pBdr>
        <w:rPr>
          <w:b/>
          <w:sz w:val="19"/>
          <w:szCs w:val="19"/>
        </w:rPr>
      </w:pPr>
      <w:r>
        <w:rPr>
          <w:b/>
          <w:sz w:val="19"/>
          <w:szCs w:val="19"/>
        </w:rPr>
        <w:t xml:space="preserve">Partially Meets </w:t>
      </w:r>
      <w:r w:rsidRPr="00ED6313">
        <w:rPr>
          <w:rFonts w:ascii="Wingdings" w:hAnsi="Wingdings"/>
          <w:b/>
          <w:color w:val="FFC000"/>
          <w:sz w:val="19"/>
          <w:szCs w:val="19"/>
        </w:rPr>
        <w:t></w:t>
      </w:r>
    </w:p>
    <w:p w14:paraId="248BAEA9" w14:textId="1C5914DB" w:rsidR="00575628" w:rsidRPr="00ED6313" w:rsidRDefault="00575628" w:rsidP="00780FBF">
      <w:pPr>
        <w:pStyle w:val="sidehead"/>
        <w:framePr w:wrap="around"/>
        <w:pBdr>
          <w:top w:val="none" w:sz="0" w:space="0" w:color="auto"/>
        </w:pBdr>
        <w:ind w:right="180"/>
        <w:rPr>
          <w:sz w:val="19"/>
          <w:szCs w:val="19"/>
        </w:rPr>
      </w:pPr>
      <w:r w:rsidRPr="00ED6313">
        <w:rPr>
          <w:sz w:val="19"/>
          <w:szCs w:val="19"/>
        </w:rPr>
        <w:t xml:space="preserve">Over the course of the school’s three-year certificate term, GCVS </w:t>
      </w:r>
      <w:r w:rsidR="00F15592" w:rsidRPr="00ED6313">
        <w:rPr>
          <w:sz w:val="19"/>
          <w:szCs w:val="19"/>
        </w:rPr>
        <w:t>has continued</w:t>
      </w:r>
      <w:r w:rsidRPr="00ED6313">
        <w:rPr>
          <w:sz w:val="19"/>
          <w:szCs w:val="19"/>
        </w:rPr>
        <w:t xml:space="preserve"> to </w:t>
      </w:r>
      <w:r w:rsidR="009769FF">
        <w:rPr>
          <w:sz w:val="19"/>
          <w:szCs w:val="19"/>
        </w:rPr>
        <w:t>implement assessment systems and used data to identify students in need of intervention</w:t>
      </w:r>
      <w:r w:rsidRPr="00ED6313">
        <w:rPr>
          <w:sz w:val="19"/>
          <w:szCs w:val="19"/>
        </w:rPr>
        <w:t>.</w:t>
      </w:r>
      <w:r w:rsidR="009769FF">
        <w:rPr>
          <w:sz w:val="19"/>
          <w:szCs w:val="19"/>
        </w:rPr>
        <w:t xml:space="preserve"> There is limited evidence that </w:t>
      </w:r>
      <w:r w:rsidR="00E734A3">
        <w:rPr>
          <w:sz w:val="19"/>
          <w:szCs w:val="19"/>
        </w:rPr>
        <w:t>GCVS</w:t>
      </w:r>
      <w:r w:rsidR="009769FF">
        <w:rPr>
          <w:sz w:val="19"/>
          <w:szCs w:val="19"/>
        </w:rPr>
        <w:t xml:space="preserve"> uses such data to evaluate its own programming and drive improvement. </w:t>
      </w:r>
    </w:p>
    <w:p w14:paraId="1DB85107" w14:textId="3495EB53" w:rsidR="00575628" w:rsidRPr="00111590" w:rsidRDefault="00E734A3" w:rsidP="0067561C">
      <w:pPr>
        <w:pBdr>
          <w:top w:val="single" w:sz="8" w:space="1" w:color="auto"/>
        </w:pBdr>
        <w:spacing w:before="80" w:after="80"/>
        <w:rPr>
          <w:sz w:val="20"/>
          <w:szCs w:val="19"/>
        </w:rPr>
      </w:pPr>
      <w:r>
        <w:rPr>
          <w:sz w:val="20"/>
          <w:szCs w:val="19"/>
        </w:rPr>
        <w:t>GCVS</w:t>
      </w:r>
      <w:r w:rsidR="001011B0">
        <w:rPr>
          <w:sz w:val="20"/>
          <w:szCs w:val="19"/>
        </w:rPr>
        <w:t xml:space="preserve"> </w:t>
      </w:r>
      <w:r w:rsidR="001011B0" w:rsidRPr="001011B0">
        <w:rPr>
          <w:sz w:val="20"/>
          <w:szCs w:val="20"/>
        </w:rPr>
        <w:t xml:space="preserve">implements many forms of assessments, such as </w:t>
      </w:r>
      <w:r w:rsidR="001011B0" w:rsidRPr="001011B0">
        <w:rPr>
          <w:bCs/>
          <w:sz w:val="20"/>
          <w:szCs w:val="20"/>
        </w:rPr>
        <w:t xml:space="preserve">Dynamic Indicators of Basic Early Literacy (DIBELS) (in grades K-6), Fountas &amp; Pinnell benchmarks, </w:t>
      </w:r>
      <w:bookmarkStart w:id="6" w:name="_Hlk530392149"/>
      <w:r w:rsidR="001011B0" w:rsidRPr="001011B0">
        <w:rPr>
          <w:bCs/>
          <w:sz w:val="20"/>
          <w:szCs w:val="20"/>
        </w:rPr>
        <w:t xml:space="preserve">Curriculum-Based Measurement (CBM) assessments, </w:t>
      </w:r>
      <w:bookmarkEnd w:id="6"/>
      <w:r w:rsidR="001011B0" w:rsidRPr="001011B0">
        <w:rPr>
          <w:bCs/>
          <w:sz w:val="20"/>
          <w:szCs w:val="20"/>
        </w:rPr>
        <w:t>Lexia, as well as Massachusetts Comprehensive Assessment System (MCAS) and ACCESS testing.</w:t>
      </w:r>
      <w:r w:rsidR="001011B0">
        <w:rPr>
          <w:sz w:val="20"/>
          <w:szCs w:val="19"/>
        </w:rPr>
        <w:t xml:space="preserve"> During the certificate term, the Department gathered evidence that </w:t>
      </w:r>
      <w:r>
        <w:rPr>
          <w:sz w:val="20"/>
          <w:szCs w:val="19"/>
        </w:rPr>
        <w:t>GCVS</w:t>
      </w:r>
      <w:r w:rsidR="001011B0">
        <w:rPr>
          <w:sz w:val="20"/>
          <w:szCs w:val="19"/>
        </w:rPr>
        <w:t xml:space="preserve"> has improved the school’s ability to use the gathered data to inform instructional choices and identify students in need of further intervention. </w:t>
      </w:r>
      <w:r>
        <w:rPr>
          <w:sz w:val="20"/>
          <w:szCs w:val="19"/>
        </w:rPr>
        <w:t>GCVS</w:t>
      </w:r>
      <w:r w:rsidR="001011B0">
        <w:rPr>
          <w:sz w:val="20"/>
          <w:szCs w:val="19"/>
        </w:rPr>
        <w:t xml:space="preserve"> has a student intervention team (SIT) to examine student academic data and determine appropriate strategies</w:t>
      </w:r>
      <w:r w:rsidR="008E57A0" w:rsidRPr="00111590">
        <w:rPr>
          <w:sz w:val="20"/>
          <w:szCs w:val="19"/>
        </w:rPr>
        <w:t>.</w:t>
      </w:r>
      <w:r w:rsidR="001011B0">
        <w:rPr>
          <w:sz w:val="20"/>
          <w:szCs w:val="19"/>
        </w:rPr>
        <w:t xml:space="preserve"> There is a similar team </w:t>
      </w:r>
      <w:r w:rsidR="009769FF">
        <w:rPr>
          <w:sz w:val="20"/>
          <w:szCs w:val="19"/>
        </w:rPr>
        <w:t xml:space="preserve">(engagement team) </w:t>
      </w:r>
      <w:r w:rsidR="001011B0">
        <w:rPr>
          <w:sz w:val="20"/>
          <w:szCs w:val="19"/>
        </w:rPr>
        <w:t xml:space="preserve">that examines student attendance data to intervene as needed with student engagement issues. Across the certificate term, the Department gathered limited data that </w:t>
      </w:r>
      <w:r>
        <w:rPr>
          <w:sz w:val="20"/>
          <w:szCs w:val="19"/>
        </w:rPr>
        <w:t>GCVS</w:t>
      </w:r>
      <w:r w:rsidR="001011B0">
        <w:rPr>
          <w:sz w:val="20"/>
          <w:szCs w:val="19"/>
        </w:rPr>
        <w:t xml:space="preserve"> systematically uses data to evaluate the quality or effectiveness of its programming to make adjustments as necessary. </w:t>
      </w:r>
      <w:r w:rsidR="009769FF">
        <w:rPr>
          <w:sz w:val="20"/>
          <w:szCs w:val="19"/>
        </w:rPr>
        <w:t xml:space="preserve">For example, there are no formal evaluation processes in place to assess the effectiveness of the school’s programs for students with disabilities or ELs. </w:t>
      </w:r>
    </w:p>
    <w:p w14:paraId="430945E5" w14:textId="5884FE08" w:rsidR="00575628" w:rsidRDefault="00575628" w:rsidP="003D7B03">
      <w:pPr>
        <w:spacing w:after="360"/>
        <w:rPr>
          <w:i/>
          <w:sz w:val="18"/>
          <w:szCs w:val="19"/>
        </w:rPr>
      </w:pPr>
      <w:r w:rsidRPr="005C5F4F">
        <w:rPr>
          <w:sz w:val="18"/>
          <w:szCs w:val="19"/>
        </w:rPr>
        <w:t>Sources:</w:t>
      </w:r>
      <w:r w:rsidRPr="005C5F4F">
        <w:rPr>
          <w:i/>
          <w:sz w:val="18"/>
          <w:szCs w:val="19"/>
        </w:rPr>
        <w:t xml:space="preserve"> </w:t>
      </w:r>
      <w:r w:rsidR="009769FF" w:rsidRPr="005C5F4F">
        <w:rPr>
          <w:i/>
          <w:sz w:val="18"/>
          <w:szCs w:val="19"/>
        </w:rPr>
        <w:t>Renewal Inspection (</w:t>
      </w:r>
      <w:r w:rsidR="009769FF">
        <w:rPr>
          <w:i/>
          <w:sz w:val="18"/>
          <w:szCs w:val="19"/>
        </w:rPr>
        <w:t>October 2018</w:t>
      </w:r>
      <w:r w:rsidR="009769FF" w:rsidRPr="005C5F4F">
        <w:rPr>
          <w:i/>
          <w:sz w:val="18"/>
          <w:szCs w:val="19"/>
        </w:rPr>
        <w:t>), Accountability Reviews (</w:t>
      </w:r>
      <w:r w:rsidR="009769FF">
        <w:rPr>
          <w:i/>
          <w:sz w:val="18"/>
          <w:szCs w:val="19"/>
        </w:rPr>
        <w:t>February and December 2017</w:t>
      </w:r>
      <w:r w:rsidR="009769FF" w:rsidRPr="005C5F4F">
        <w:rPr>
          <w:i/>
          <w:sz w:val="18"/>
          <w:szCs w:val="19"/>
        </w:rPr>
        <w:t>)</w:t>
      </w:r>
      <w:r w:rsidR="003D7B03">
        <w:rPr>
          <w:i/>
          <w:sz w:val="18"/>
          <w:szCs w:val="19"/>
        </w:rPr>
        <w:t xml:space="preserve">, </w:t>
      </w:r>
      <w:r w:rsidR="003D7B03" w:rsidRPr="005C5F4F">
        <w:rPr>
          <w:i/>
          <w:sz w:val="18"/>
          <w:szCs w:val="19"/>
        </w:rPr>
        <w:t>Certificate Renewal Application (</w:t>
      </w:r>
      <w:r w:rsidR="003D7B03">
        <w:rPr>
          <w:i/>
          <w:sz w:val="18"/>
          <w:szCs w:val="19"/>
        </w:rPr>
        <w:t>June 2018)</w:t>
      </w:r>
    </w:p>
    <w:p w14:paraId="55CB3F8D" w14:textId="43FBC0B5" w:rsidR="008E57A0" w:rsidRDefault="00BB539E" w:rsidP="0067561C">
      <w:pPr>
        <w:pStyle w:val="sidehead"/>
        <w:framePr w:wrap="around" w:x="1441" w:y="3"/>
        <w:pBdr>
          <w:top w:val="single" w:sz="8" w:space="1" w:color="auto"/>
        </w:pBdr>
        <w:rPr>
          <w:b/>
        </w:rPr>
      </w:pPr>
      <w:r w:rsidRPr="00BB539E">
        <w:rPr>
          <w:b/>
        </w:rPr>
        <w:t>5</w:t>
      </w:r>
      <w:r w:rsidR="009351FD">
        <w:rPr>
          <w:b/>
        </w:rPr>
        <w:t>d</w:t>
      </w:r>
      <w:r w:rsidRPr="00BB539E">
        <w:rPr>
          <w:b/>
        </w:rPr>
        <w:t xml:space="preserve">. </w:t>
      </w:r>
      <w:r w:rsidR="008E57A0">
        <w:rPr>
          <w:b/>
        </w:rPr>
        <w:t>Program delivery – Diverse learners</w:t>
      </w:r>
    </w:p>
    <w:p w14:paraId="7151EA7F" w14:textId="77777777" w:rsidR="008E57A0" w:rsidRPr="00ED6313" w:rsidRDefault="008E57A0" w:rsidP="0067561C">
      <w:pPr>
        <w:pStyle w:val="sidehead"/>
        <w:framePr w:wrap="around" w:x="1441" w:y="3"/>
        <w:pBdr>
          <w:top w:val="single" w:sz="8" w:space="1" w:color="auto"/>
        </w:pBdr>
        <w:rPr>
          <w:b/>
          <w:sz w:val="19"/>
          <w:szCs w:val="19"/>
        </w:rPr>
      </w:pPr>
      <w:r w:rsidRPr="00ED6313">
        <w:rPr>
          <w:b/>
          <w:sz w:val="19"/>
          <w:szCs w:val="19"/>
        </w:rPr>
        <w:t xml:space="preserve">Partially meets </w:t>
      </w:r>
      <w:r w:rsidRPr="00ED6313">
        <w:rPr>
          <w:rFonts w:ascii="Wingdings" w:hAnsi="Wingdings"/>
          <w:color w:val="FFC000"/>
          <w:sz w:val="19"/>
          <w:szCs w:val="19"/>
        </w:rPr>
        <w:t></w:t>
      </w:r>
    </w:p>
    <w:p w14:paraId="6E9E0804" w14:textId="77D1CC2E" w:rsidR="008E57A0" w:rsidRPr="00ED6313" w:rsidRDefault="008E57A0" w:rsidP="0067561C">
      <w:pPr>
        <w:pStyle w:val="sidehead"/>
        <w:framePr w:wrap="around" w:x="1441" w:y="3"/>
        <w:pBdr>
          <w:top w:val="none" w:sz="0" w:space="0" w:color="auto"/>
        </w:pBdr>
        <w:ind w:right="180"/>
        <w:rPr>
          <w:sz w:val="19"/>
          <w:szCs w:val="19"/>
        </w:rPr>
      </w:pPr>
      <w:r w:rsidRPr="00ED6313">
        <w:rPr>
          <w:sz w:val="19"/>
          <w:szCs w:val="19"/>
        </w:rPr>
        <w:t xml:space="preserve">GCVS </w:t>
      </w:r>
      <w:r w:rsidR="00A21B69">
        <w:rPr>
          <w:sz w:val="19"/>
          <w:szCs w:val="19"/>
        </w:rPr>
        <w:t xml:space="preserve">is working towards integrating systems to identify, assess, and serve English learners. The school has more clearly implemented systems to support students with disabilities. </w:t>
      </w:r>
      <w:r w:rsidR="00D2350B">
        <w:rPr>
          <w:sz w:val="19"/>
          <w:szCs w:val="19"/>
        </w:rPr>
        <w:t xml:space="preserve">Lesson observations demonstrate few implemented supports for diverse learners during instruction. </w:t>
      </w:r>
    </w:p>
    <w:p w14:paraId="4C088BE7" w14:textId="5D67C4AC" w:rsidR="00A21B69" w:rsidRDefault="009E0E50" w:rsidP="0067561C">
      <w:pPr>
        <w:pBdr>
          <w:top w:val="single" w:sz="8" w:space="1" w:color="auto"/>
        </w:pBdr>
        <w:spacing w:before="80" w:after="80"/>
        <w:rPr>
          <w:sz w:val="20"/>
          <w:szCs w:val="19"/>
        </w:rPr>
      </w:pPr>
      <w:r>
        <w:rPr>
          <w:sz w:val="20"/>
          <w:szCs w:val="19"/>
        </w:rPr>
        <w:t xml:space="preserve">During the certificate term, </w:t>
      </w:r>
      <w:r w:rsidR="00E734A3">
        <w:rPr>
          <w:sz w:val="20"/>
          <w:szCs w:val="19"/>
        </w:rPr>
        <w:t>GCVS</w:t>
      </w:r>
      <w:r>
        <w:rPr>
          <w:sz w:val="20"/>
          <w:szCs w:val="19"/>
        </w:rPr>
        <w:t xml:space="preserve"> was not identifying, assessing, or serving English learners (ELs) appropriately. After the imposition of a probationary condition </w:t>
      </w:r>
      <w:r w:rsidR="00A21B69">
        <w:rPr>
          <w:sz w:val="20"/>
          <w:szCs w:val="19"/>
        </w:rPr>
        <w:t xml:space="preserve">in March 2018, </w:t>
      </w:r>
      <w:r>
        <w:rPr>
          <w:sz w:val="20"/>
          <w:szCs w:val="19"/>
        </w:rPr>
        <w:t xml:space="preserve">(similar to one imposed during the first </w:t>
      </w:r>
      <w:r w:rsidR="00A21B69">
        <w:rPr>
          <w:sz w:val="20"/>
          <w:szCs w:val="19"/>
        </w:rPr>
        <w:t>certificate term)</w:t>
      </w:r>
      <w:r>
        <w:rPr>
          <w:sz w:val="20"/>
          <w:szCs w:val="19"/>
        </w:rPr>
        <w:t xml:space="preserve"> the school again drafted a plan to serve ELs. </w:t>
      </w:r>
      <w:r w:rsidR="00BA1653">
        <w:rPr>
          <w:sz w:val="20"/>
          <w:szCs w:val="19"/>
        </w:rPr>
        <w:t xml:space="preserve">During the renewal inspection in October, the team found that </w:t>
      </w:r>
      <w:r w:rsidR="00E734A3">
        <w:rPr>
          <w:sz w:val="20"/>
          <w:szCs w:val="19"/>
        </w:rPr>
        <w:t>GCVS</w:t>
      </w:r>
      <w:r w:rsidR="00BA1653">
        <w:rPr>
          <w:sz w:val="20"/>
          <w:szCs w:val="19"/>
        </w:rPr>
        <w:t xml:space="preserve"> was just beginning the process to identify ELs with </w:t>
      </w:r>
      <w:r w:rsidR="00A21B69">
        <w:rPr>
          <w:sz w:val="20"/>
          <w:szCs w:val="19"/>
        </w:rPr>
        <w:t>a</w:t>
      </w:r>
      <w:r w:rsidR="00BA1653">
        <w:rPr>
          <w:sz w:val="20"/>
          <w:szCs w:val="19"/>
        </w:rPr>
        <w:t xml:space="preserve"> WIDA screener. </w:t>
      </w:r>
    </w:p>
    <w:p w14:paraId="62E3CB86" w14:textId="6B351542" w:rsidR="00A21B69" w:rsidRPr="00111590" w:rsidRDefault="00BA1653" w:rsidP="0067561C">
      <w:pPr>
        <w:pBdr>
          <w:top w:val="single" w:sz="8" w:space="1" w:color="auto"/>
        </w:pBdr>
        <w:spacing w:before="80" w:after="80"/>
        <w:rPr>
          <w:sz w:val="20"/>
          <w:szCs w:val="19"/>
        </w:rPr>
      </w:pPr>
      <w:r>
        <w:rPr>
          <w:sz w:val="20"/>
          <w:szCs w:val="19"/>
        </w:rPr>
        <w:t xml:space="preserve">Processes for </w:t>
      </w:r>
      <w:r w:rsidR="00E4361B">
        <w:rPr>
          <w:sz w:val="20"/>
          <w:szCs w:val="19"/>
        </w:rPr>
        <w:t>the identification and assessment of</w:t>
      </w:r>
      <w:r>
        <w:rPr>
          <w:sz w:val="20"/>
          <w:szCs w:val="19"/>
        </w:rPr>
        <w:t xml:space="preserve"> students </w:t>
      </w:r>
      <w:r w:rsidR="00E4361B">
        <w:rPr>
          <w:sz w:val="20"/>
          <w:szCs w:val="19"/>
        </w:rPr>
        <w:t xml:space="preserve">potentially in need of special education </w:t>
      </w:r>
      <w:r>
        <w:rPr>
          <w:sz w:val="20"/>
          <w:szCs w:val="19"/>
        </w:rPr>
        <w:t xml:space="preserve">were more clearly integrated </w:t>
      </w:r>
      <w:r w:rsidR="00E4361B">
        <w:rPr>
          <w:sz w:val="20"/>
          <w:szCs w:val="19"/>
        </w:rPr>
        <w:t>during the certificate term</w:t>
      </w:r>
      <w:r w:rsidR="00780FBF">
        <w:rPr>
          <w:sz w:val="20"/>
          <w:szCs w:val="19"/>
        </w:rPr>
        <w:t>,</w:t>
      </w:r>
      <w:r w:rsidR="00E4361B">
        <w:rPr>
          <w:sz w:val="20"/>
          <w:szCs w:val="19"/>
        </w:rPr>
        <w:t xml:space="preserve"> and GCVS employs staff or external consultants to provide special education services. As noted above, GCVS has clear systems for staff to identify student</w:t>
      </w:r>
      <w:r w:rsidR="00780FBF">
        <w:rPr>
          <w:sz w:val="20"/>
          <w:szCs w:val="19"/>
        </w:rPr>
        <w:t>s</w:t>
      </w:r>
      <w:r w:rsidR="00E4361B">
        <w:rPr>
          <w:sz w:val="20"/>
          <w:szCs w:val="19"/>
        </w:rPr>
        <w:t xml:space="preserve"> potentially in need of intervention or special education testing through the student intervention team. </w:t>
      </w:r>
      <w:r w:rsidR="00A21B69">
        <w:rPr>
          <w:sz w:val="20"/>
          <w:szCs w:val="19"/>
        </w:rPr>
        <w:t xml:space="preserve">Team members observed few supports or resources (such as break out rooms, computer based interventions, or sheltered English immersion strategies) used during lessons during the certificate term. </w:t>
      </w:r>
    </w:p>
    <w:p w14:paraId="6CEF13A5" w14:textId="39435792" w:rsidR="008E57A0" w:rsidRDefault="008E57A0" w:rsidP="003D7B03">
      <w:pPr>
        <w:spacing w:after="360"/>
        <w:rPr>
          <w:i/>
          <w:sz w:val="18"/>
          <w:szCs w:val="19"/>
        </w:rPr>
      </w:pPr>
      <w:r w:rsidRPr="005C5F4F">
        <w:rPr>
          <w:sz w:val="18"/>
          <w:szCs w:val="19"/>
        </w:rPr>
        <w:t>Sources:</w:t>
      </w:r>
      <w:r w:rsidRPr="005C5F4F">
        <w:rPr>
          <w:i/>
          <w:sz w:val="18"/>
          <w:szCs w:val="19"/>
        </w:rPr>
        <w:t xml:space="preserve"> </w:t>
      </w:r>
      <w:r w:rsidR="00A21B69" w:rsidRPr="005C5F4F">
        <w:rPr>
          <w:i/>
          <w:sz w:val="18"/>
          <w:szCs w:val="19"/>
        </w:rPr>
        <w:t>Renewal Inspection (</w:t>
      </w:r>
      <w:r w:rsidR="00A21B69">
        <w:rPr>
          <w:i/>
          <w:sz w:val="18"/>
          <w:szCs w:val="19"/>
        </w:rPr>
        <w:t>October 2018</w:t>
      </w:r>
      <w:r w:rsidR="00A21B69" w:rsidRPr="005C5F4F">
        <w:rPr>
          <w:i/>
          <w:sz w:val="18"/>
          <w:szCs w:val="19"/>
        </w:rPr>
        <w:t>), Accountability Reviews (</w:t>
      </w:r>
      <w:r w:rsidR="00A21B69">
        <w:rPr>
          <w:i/>
          <w:sz w:val="18"/>
          <w:szCs w:val="19"/>
        </w:rPr>
        <w:t>February and December 2017), GCVS plan for serving English Learners</w:t>
      </w:r>
      <w:r w:rsidR="003D7B03">
        <w:rPr>
          <w:i/>
          <w:sz w:val="18"/>
          <w:szCs w:val="19"/>
        </w:rPr>
        <w:t xml:space="preserve">, </w:t>
      </w:r>
      <w:r w:rsidR="003D7B03" w:rsidRPr="005C5F4F">
        <w:rPr>
          <w:i/>
          <w:sz w:val="18"/>
          <w:szCs w:val="19"/>
        </w:rPr>
        <w:t>Certificate Renewal Application (</w:t>
      </w:r>
      <w:r w:rsidR="003D7B03">
        <w:rPr>
          <w:i/>
          <w:sz w:val="18"/>
          <w:szCs w:val="19"/>
        </w:rPr>
        <w:t>June 2018)</w:t>
      </w:r>
    </w:p>
    <w:p w14:paraId="2AD190E3" w14:textId="77777777" w:rsidR="0067561C" w:rsidRDefault="00BB539E" w:rsidP="0067561C">
      <w:pPr>
        <w:pStyle w:val="sidehead"/>
        <w:framePr w:wrap="around" w:x="1441" w:y="3"/>
        <w:pBdr>
          <w:top w:val="single" w:sz="8" w:space="1" w:color="auto"/>
        </w:pBdr>
        <w:spacing w:after="0"/>
        <w:rPr>
          <w:b/>
        </w:rPr>
      </w:pPr>
      <w:r>
        <w:rPr>
          <w:b/>
        </w:rPr>
        <w:lastRenderedPageBreak/>
        <w:t>6</w:t>
      </w:r>
      <w:r w:rsidRPr="00BB539E">
        <w:rPr>
          <w:b/>
        </w:rPr>
        <w:t xml:space="preserve">. </w:t>
      </w:r>
      <w:r w:rsidR="008E57A0">
        <w:rPr>
          <w:b/>
        </w:rPr>
        <w:t xml:space="preserve">Culture and family </w:t>
      </w:r>
    </w:p>
    <w:p w14:paraId="44B01654" w14:textId="77777777" w:rsidR="008E57A0" w:rsidRDefault="008E57A0" w:rsidP="0067561C">
      <w:pPr>
        <w:pStyle w:val="sidehead"/>
        <w:framePr w:wrap="around" w:x="1441" w:y="3"/>
        <w:pBdr>
          <w:top w:val="single" w:sz="8" w:space="1" w:color="auto"/>
        </w:pBdr>
        <w:rPr>
          <w:b/>
        </w:rPr>
      </w:pPr>
      <w:r>
        <w:rPr>
          <w:b/>
        </w:rPr>
        <w:t>engagement – Social, emotional, and health needs and family and community engagement</w:t>
      </w:r>
    </w:p>
    <w:p w14:paraId="32556165" w14:textId="77777777" w:rsidR="008E57A0" w:rsidRPr="00ED6313" w:rsidRDefault="009B559D" w:rsidP="0067561C">
      <w:pPr>
        <w:pStyle w:val="sidehead"/>
        <w:framePr w:wrap="around" w:x="1441" w:y="3"/>
        <w:pBdr>
          <w:top w:val="single" w:sz="8" w:space="1" w:color="auto"/>
        </w:pBdr>
        <w:rPr>
          <w:b/>
          <w:sz w:val="19"/>
          <w:szCs w:val="19"/>
        </w:rPr>
      </w:pPr>
      <w:r w:rsidRPr="00ED6313">
        <w:rPr>
          <w:b/>
          <w:sz w:val="19"/>
          <w:szCs w:val="19"/>
        </w:rPr>
        <w:t>M</w:t>
      </w:r>
      <w:r w:rsidR="008E57A0" w:rsidRPr="00ED6313">
        <w:rPr>
          <w:b/>
          <w:sz w:val="19"/>
          <w:szCs w:val="19"/>
        </w:rPr>
        <w:t xml:space="preserve">eets </w:t>
      </w:r>
      <w:r w:rsidRPr="00ED6313">
        <w:rPr>
          <w:rFonts w:ascii="Wingdings" w:hAnsi="Wingdings"/>
          <w:color w:val="00B050"/>
          <w:sz w:val="19"/>
          <w:szCs w:val="19"/>
        </w:rPr>
        <w:t></w:t>
      </w:r>
    </w:p>
    <w:p w14:paraId="1086211B" w14:textId="0C0A8C02" w:rsidR="008E57A0" w:rsidRPr="00ED6313" w:rsidRDefault="008E57A0" w:rsidP="0067561C">
      <w:pPr>
        <w:pStyle w:val="sidehead"/>
        <w:framePr w:wrap="around" w:x="1441" w:y="3"/>
        <w:pBdr>
          <w:top w:val="none" w:sz="0" w:space="0" w:color="auto"/>
        </w:pBdr>
        <w:ind w:right="180"/>
        <w:rPr>
          <w:sz w:val="19"/>
          <w:szCs w:val="19"/>
        </w:rPr>
      </w:pPr>
      <w:r w:rsidRPr="00ED6313">
        <w:rPr>
          <w:sz w:val="19"/>
          <w:szCs w:val="19"/>
        </w:rPr>
        <w:t xml:space="preserve">GCVS </w:t>
      </w:r>
      <w:r w:rsidR="00797A4B">
        <w:rPr>
          <w:sz w:val="19"/>
          <w:szCs w:val="19"/>
        </w:rPr>
        <w:t xml:space="preserve">provides an emotionally safe learning environment. The school consistently communicates with students and families and provides opportunities for family and community engagement. </w:t>
      </w:r>
    </w:p>
    <w:p w14:paraId="4AADAE5B" w14:textId="79F9C179" w:rsidR="00A222A5" w:rsidRDefault="009B559D" w:rsidP="00A222A5">
      <w:pPr>
        <w:pBdr>
          <w:top w:val="single" w:sz="8" w:space="1" w:color="auto"/>
        </w:pBdr>
        <w:spacing w:before="80" w:after="80" w:line="240" w:lineRule="auto"/>
        <w:rPr>
          <w:sz w:val="20"/>
          <w:szCs w:val="20"/>
        </w:rPr>
      </w:pPr>
      <w:r w:rsidRPr="00111590">
        <w:rPr>
          <w:sz w:val="20"/>
          <w:szCs w:val="19"/>
        </w:rPr>
        <w:t>G</w:t>
      </w:r>
      <w:r w:rsidRPr="00A222A5">
        <w:rPr>
          <w:sz w:val="20"/>
          <w:szCs w:val="20"/>
        </w:rPr>
        <w:t xml:space="preserve">CVS </w:t>
      </w:r>
      <w:r w:rsidR="00797A4B" w:rsidRPr="00A222A5">
        <w:rPr>
          <w:sz w:val="20"/>
          <w:szCs w:val="20"/>
        </w:rPr>
        <w:t>continues to employ staff to address the physical, social, emotional, and health needs of its students. The school employs a school nurse, who also serves as th</w:t>
      </w:r>
      <w:r w:rsidR="00FE4118">
        <w:rPr>
          <w:sz w:val="20"/>
          <w:szCs w:val="20"/>
        </w:rPr>
        <w:t>e engagement team leader;</w:t>
      </w:r>
      <w:r w:rsidR="00797A4B" w:rsidRPr="00A222A5">
        <w:rPr>
          <w:sz w:val="20"/>
          <w:szCs w:val="20"/>
        </w:rPr>
        <w:t xml:space="preserve"> two </w:t>
      </w:r>
      <w:r w:rsidR="00FE4118">
        <w:rPr>
          <w:sz w:val="20"/>
          <w:szCs w:val="20"/>
        </w:rPr>
        <w:t>high school guidance counselors;</w:t>
      </w:r>
      <w:r w:rsidR="00797A4B" w:rsidRPr="00A222A5">
        <w:rPr>
          <w:sz w:val="20"/>
          <w:szCs w:val="20"/>
        </w:rPr>
        <w:t xml:space="preserve"> and three family engagement coordinators. GCVS also </w:t>
      </w:r>
      <w:r w:rsidR="00FE4118">
        <w:rPr>
          <w:sz w:val="20"/>
          <w:szCs w:val="20"/>
        </w:rPr>
        <w:t xml:space="preserve">contracts outside </w:t>
      </w:r>
      <w:r w:rsidR="00797A4B" w:rsidRPr="00A222A5">
        <w:rPr>
          <w:sz w:val="20"/>
          <w:szCs w:val="20"/>
        </w:rPr>
        <w:t>staff to provide students counseling services, speech and language, and physical therapy.</w:t>
      </w:r>
      <w:r w:rsidR="00A222A5" w:rsidRPr="00A222A5">
        <w:rPr>
          <w:sz w:val="20"/>
          <w:szCs w:val="20"/>
        </w:rPr>
        <w:t xml:space="preserve"> The school has structures that result in a respectful learning environment</w:t>
      </w:r>
      <w:r w:rsidR="00FE4118">
        <w:rPr>
          <w:sz w:val="20"/>
          <w:szCs w:val="20"/>
        </w:rPr>
        <w:t>, including</w:t>
      </w:r>
      <w:r w:rsidR="00A222A5" w:rsidRPr="00A222A5">
        <w:rPr>
          <w:sz w:val="20"/>
          <w:szCs w:val="20"/>
        </w:rPr>
        <w:t xml:space="preserve"> Acceptable Use policies that outline appropriate online behavior for students, processes to monitor and report cyberbullying, as well as technology guards for ways to monitor student browsing habits and interactions. </w:t>
      </w:r>
      <w:r w:rsidR="00A222A5">
        <w:rPr>
          <w:sz w:val="20"/>
          <w:szCs w:val="20"/>
        </w:rPr>
        <w:t xml:space="preserve">A majority of observed instruction was characterized by clear routines, respectful speech, tone, and relationships. </w:t>
      </w:r>
    </w:p>
    <w:p w14:paraId="04B0D23E" w14:textId="28BC8B31" w:rsidR="008E57A0" w:rsidRPr="00111590" w:rsidRDefault="00A222A5" w:rsidP="00A222A5">
      <w:pPr>
        <w:pBdr>
          <w:top w:val="single" w:sz="8" w:space="1" w:color="auto"/>
        </w:pBdr>
        <w:spacing w:before="80" w:after="80" w:line="240" w:lineRule="auto"/>
        <w:rPr>
          <w:sz w:val="20"/>
          <w:szCs w:val="19"/>
        </w:rPr>
      </w:pPr>
      <w:r w:rsidRPr="00A222A5">
        <w:rPr>
          <w:sz w:val="20"/>
          <w:szCs w:val="20"/>
        </w:rPr>
        <w:t xml:space="preserve">Faculty and staff communicate information about student progress to families </w:t>
      </w:r>
      <w:r w:rsidR="00FE4118">
        <w:rPr>
          <w:sz w:val="20"/>
          <w:szCs w:val="20"/>
        </w:rPr>
        <w:t xml:space="preserve"> and engage families/learning coaches in </w:t>
      </w:r>
      <w:r w:rsidRPr="00A222A5">
        <w:rPr>
          <w:sz w:val="20"/>
          <w:szCs w:val="20"/>
        </w:rPr>
        <w:t xml:space="preserve">supporting online learning. </w:t>
      </w:r>
      <w:r w:rsidR="009B559D" w:rsidRPr="00111590">
        <w:rPr>
          <w:rFonts w:ascii="Calibri" w:hAnsi="Calibri"/>
          <w:sz w:val="20"/>
          <w:szCs w:val="19"/>
        </w:rPr>
        <w:t>GCVS sponsors regular opportunities for students and learning coaches alike to interact</w:t>
      </w:r>
      <w:r>
        <w:rPr>
          <w:rFonts w:ascii="Calibri" w:hAnsi="Calibri"/>
          <w:sz w:val="20"/>
          <w:szCs w:val="19"/>
        </w:rPr>
        <w:t xml:space="preserve"> in-person</w:t>
      </w:r>
      <w:r w:rsidR="009B559D" w:rsidRPr="00111590">
        <w:rPr>
          <w:rFonts w:ascii="Calibri" w:hAnsi="Calibri"/>
          <w:sz w:val="20"/>
          <w:szCs w:val="19"/>
        </w:rPr>
        <w:t xml:space="preserve">; examples include </w:t>
      </w:r>
      <w:r>
        <w:rPr>
          <w:rFonts w:ascii="Calibri" w:hAnsi="Calibri"/>
          <w:sz w:val="20"/>
          <w:szCs w:val="19"/>
        </w:rPr>
        <w:t xml:space="preserve">orientation for new students and families, </w:t>
      </w:r>
      <w:r w:rsidR="009B559D" w:rsidRPr="00111590">
        <w:rPr>
          <w:rFonts w:ascii="Calibri" w:hAnsi="Calibri"/>
          <w:sz w:val="20"/>
          <w:szCs w:val="19"/>
        </w:rPr>
        <w:t>outings/field trips, monthly web-based “</w:t>
      </w:r>
      <w:r>
        <w:rPr>
          <w:rFonts w:ascii="Calibri" w:hAnsi="Calibri"/>
          <w:sz w:val="20"/>
          <w:szCs w:val="19"/>
        </w:rPr>
        <w:t>Parent Power Hour</w:t>
      </w:r>
      <w:r w:rsidR="009B559D" w:rsidRPr="00111590">
        <w:rPr>
          <w:rFonts w:ascii="Calibri" w:hAnsi="Calibri"/>
          <w:sz w:val="20"/>
          <w:szCs w:val="19"/>
        </w:rPr>
        <w:t>”</w:t>
      </w:r>
      <w:r>
        <w:rPr>
          <w:rFonts w:ascii="Calibri" w:hAnsi="Calibri"/>
          <w:sz w:val="20"/>
          <w:szCs w:val="19"/>
        </w:rPr>
        <w:t xml:space="preserve"> for parents of K-5 students</w:t>
      </w:r>
      <w:r w:rsidR="009B559D" w:rsidRPr="00111590">
        <w:rPr>
          <w:rFonts w:ascii="Calibri" w:hAnsi="Calibri"/>
          <w:sz w:val="20"/>
          <w:szCs w:val="19"/>
        </w:rPr>
        <w:t>.</w:t>
      </w:r>
      <w:r>
        <w:rPr>
          <w:rFonts w:ascii="Calibri" w:hAnsi="Calibri"/>
          <w:sz w:val="20"/>
          <w:szCs w:val="19"/>
        </w:rPr>
        <w:t xml:space="preserve"> </w:t>
      </w:r>
      <w:r w:rsidR="009B559D" w:rsidRPr="00111590">
        <w:rPr>
          <w:rFonts w:ascii="Calibri" w:hAnsi="Calibri"/>
          <w:sz w:val="20"/>
          <w:szCs w:val="19"/>
        </w:rPr>
        <w:t xml:space="preserve"> Students and learning coaches interviewed by review teams </w:t>
      </w:r>
      <w:r>
        <w:rPr>
          <w:rFonts w:ascii="Calibri" w:hAnsi="Calibri"/>
          <w:sz w:val="20"/>
          <w:szCs w:val="19"/>
        </w:rPr>
        <w:t xml:space="preserve">consistently </w:t>
      </w:r>
      <w:r w:rsidR="009B559D" w:rsidRPr="00111590">
        <w:rPr>
          <w:rFonts w:ascii="Calibri" w:hAnsi="Calibri"/>
          <w:sz w:val="20"/>
          <w:szCs w:val="19"/>
        </w:rPr>
        <w:t xml:space="preserve">reported </w:t>
      </w:r>
      <w:r>
        <w:rPr>
          <w:rFonts w:ascii="Calibri" w:hAnsi="Calibri"/>
          <w:sz w:val="20"/>
          <w:szCs w:val="19"/>
        </w:rPr>
        <w:t xml:space="preserve">a safe learning environment, </w:t>
      </w:r>
      <w:r w:rsidR="009B559D" w:rsidRPr="00111590">
        <w:rPr>
          <w:rFonts w:ascii="Calibri" w:hAnsi="Calibri"/>
          <w:sz w:val="20"/>
          <w:szCs w:val="19"/>
        </w:rPr>
        <w:t>positive interactions with teachers</w:t>
      </w:r>
      <w:r>
        <w:rPr>
          <w:rFonts w:ascii="Calibri" w:hAnsi="Calibri"/>
          <w:sz w:val="20"/>
          <w:szCs w:val="19"/>
        </w:rPr>
        <w:t xml:space="preserve">, and supportive school practices. </w:t>
      </w:r>
      <w:r w:rsidR="009B559D" w:rsidRPr="00111590">
        <w:rPr>
          <w:rFonts w:ascii="Calibri" w:hAnsi="Calibri"/>
          <w:sz w:val="20"/>
          <w:szCs w:val="19"/>
        </w:rPr>
        <w:t xml:space="preserve"> </w:t>
      </w:r>
    </w:p>
    <w:p w14:paraId="1DA87928" w14:textId="1ABC947C" w:rsidR="00C230E9" w:rsidRDefault="008E57A0" w:rsidP="0006475E">
      <w:pPr>
        <w:spacing w:after="360"/>
      </w:pPr>
      <w:r w:rsidRPr="005C5F4F">
        <w:rPr>
          <w:sz w:val="18"/>
          <w:szCs w:val="19"/>
        </w:rPr>
        <w:t>Sources:</w:t>
      </w:r>
      <w:r w:rsidRPr="005C5F4F">
        <w:rPr>
          <w:i/>
          <w:sz w:val="18"/>
          <w:szCs w:val="19"/>
        </w:rPr>
        <w:t xml:space="preserve"> </w:t>
      </w:r>
      <w:r w:rsidR="003D7B03">
        <w:rPr>
          <w:i/>
          <w:sz w:val="18"/>
          <w:szCs w:val="19"/>
        </w:rPr>
        <w:t xml:space="preserve">Application </w:t>
      </w:r>
      <w:r w:rsidR="00A222A5" w:rsidRPr="005C5F4F">
        <w:rPr>
          <w:i/>
          <w:sz w:val="18"/>
          <w:szCs w:val="19"/>
        </w:rPr>
        <w:t>Renewal Inspection (</w:t>
      </w:r>
      <w:r w:rsidR="00A222A5">
        <w:rPr>
          <w:i/>
          <w:sz w:val="18"/>
          <w:szCs w:val="19"/>
        </w:rPr>
        <w:t>October 2018</w:t>
      </w:r>
      <w:r w:rsidR="00A222A5" w:rsidRPr="005C5F4F">
        <w:rPr>
          <w:i/>
          <w:sz w:val="18"/>
          <w:szCs w:val="19"/>
        </w:rPr>
        <w:t>), Accountability Reviews (</w:t>
      </w:r>
      <w:r w:rsidR="00A222A5">
        <w:rPr>
          <w:i/>
          <w:sz w:val="18"/>
          <w:szCs w:val="19"/>
        </w:rPr>
        <w:t>February and December 2017</w:t>
      </w:r>
      <w:r w:rsidR="009B559D">
        <w:rPr>
          <w:i/>
          <w:sz w:val="18"/>
          <w:szCs w:val="19"/>
        </w:rPr>
        <w:t>)</w:t>
      </w:r>
      <w:r w:rsidR="003D7B03">
        <w:rPr>
          <w:i/>
          <w:sz w:val="18"/>
          <w:szCs w:val="19"/>
        </w:rPr>
        <w:t xml:space="preserve">, </w:t>
      </w:r>
      <w:r w:rsidR="003D7B03" w:rsidRPr="005C5F4F">
        <w:rPr>
          <w:i/>
          <w:sz w:val="18"/>
          <w:szCs w:val="19"/>
        </w:rPr>
        <w:t>Certificate Renewal Application (</w:t>
      </w:r>
      <w:r w:rsidR="003D7B03">
        <w:rPr>
          <w:i/>
          <w:sz w:val="18"/>
          <w:szCs w:val="19"/>
        </w:rPr>
        <w:t>June 2018)</w:t>
      </w:r>
    </w:p>
    <w:p w14:paraId="633CBC6F" w14:textId="77777777" w:rsidR="009B559D" w:rsidRPr="0067561C" w:rsidRDefault="009B559D" w:rsidP="0067561C">
      <w:pPr>
        <w:pStyle w:val="sidehead"/>
        <w:framePr w:wrap="around"/>
        <w:rPr>
          <w:b/>
          <w:sz w:val="24"/>
        </w:rPr>
      </w:pPr>
      <w:r w:rsidRPr="0067561C">
        <w:rPr>
          <w:b/>
          <w:sz w:val="24"/>
        </w:rPr>
        <w:t>Organizational viability</w:t>
      </w:r>
    </w:p>
    <w:p w14:paraId="2C15E46A" w14:textId="2C1CB8D8" w:rsidR="009B559D" w:rsidRDefault="009F062A" w:rsidP="009B559D">
      <w:pPr>
        <w:pStyle w:val="sidehead"/>
        <w:framePr w:wrap="around"/>
        <w:rPr>
          <w:b/>
        </w:rPr>
      </w:pPr>
      <w:r>
        <w:rPr>
          <w:b/>
        </w:rPr>
        <w:t>7</w:t>
      </w:r>
      <w:r w:rsidR="009351FD">
        <w:rPr>
          <w:b/>
        </w:rPr>
        <w:t>a</w:t>
      </w:r>
      <w:r w:rsidRPr="00BB539E">
        <w:rPr>
          <w:b/>
        </w:rPr>
        <w:t xml:space="preserve">. </w:t>
      </w:r>
      <w:r w:rsidR="009B559D">
        <w:rPr>
          <w:b/>
        </w:rPr>
        <w:t>Capacity – School leadership</w:t>
      </w:r>
    </w:p>
    <w:p w14:paraId="5EE8742C" w14:textId="13B61A07" w:rsidR="009B559D" w:rsidRPr="00ED6313" w:rsidRDefault="00937B63" w:rsidP="009B559D">
      <w:pPr>
        <w:pStyle w:val="sidehead"/>
        <w:framePr w:wrap="around"/>
        <w:rPr>
          <w:b/>
          <w:sz w:val="19"/>
          <w:szCs w:val="19"/>
        </w:rPr>
      </w:pPr>
      <w:r>
        <w:rPr>
          <w:b/>
          <w:sz w:val="19"/>
          <w:szCs w:val="19"/>
        </w:rPr>
        <w:t>Partially m</w:t>
      </w:r>
      <w:r w:rsidR="009B559D" w:rsidRPr="00ED6313">
        <w:rPr>
          <w:b/>
          <w:sz w:val="19"/>
          <w:szCs w:val="19"/>
        </w:rPr>
        <w:t xml:space="preserve">eets </w:t>
      </w:r>
      <w:r w:rsidRPr="00ED6313">
        <w:rPr>
          <w:rFonts w:ascii="Wingdings" w:hAnsi="Wingdings"/>
          <w:color w:val="FFC000"/>
          <w:sz w:val="19"/>
          <w:szCs w:val="19"/>
        </w:rPr>
        <w:t></w:t>
      </w:r>
    </w:p>
    <w:p w14:paraId="16BDA8A2" w14:textId="7C484ADD" w:rsidR="009B559D" w:rsidRPr="00ED6313" w:rsidRDefault="002616A3" w:rsidP="009B559D">
      <w:pPr>
        <w:pStyle w:val="sidehead"/>
        <w:framePr w:wrap="around"/>
        <w:rPr>
          <w:sz w:val="19"/>
          <w:szCs w:val="19"/>
        </w:rPr>
      </w:pPr>
      <w:r>
        <w:rPr>
          <w:sz w:val="19"/>
          <w:szCs w:val="19"/>
        </w:rPr>
        <w:t xml:space="preserve">School Leadership experienced high turnover during the first year of the certificate term. </w:t>
      </w:r>
      <w:r w:rsidR="00D10D39">
        <w:rPr>
          <w:sz w:val="19"/>
          <w:szCs w:val="19"/>
        </w:rPr>
        <w:t xml:space="preserve">The recently retired executive director established stability and systems and structures. The school is currently led by an interim executive director. </w:t>
      </w:r>
    </w:p>
    <w:p w14:paraId="04FB10DE" w14:textId="7C43F2B0" w:rsidR="009B559D" w:rsidRPr="00111590" w:rsidRDefault="0080752E" w:rsidP="0067561C">
      <w:pPr>
        <w:pBdr>
          <w:top w:val="single" w:sz="36" w:space="1" w:color="auto"/>
        </w:pBdr>
        <w:spacing w:before="80" w:after="80"/>
        <w:rPr>
          <w:sz w:val="20"/>
          <w:szCs w:val="19"/>
        </w:rPr>
      </w:pPr>
      <w:r>
        <w:rPr>
          <w:bCs/>
          <w:sz w:val="20"/>
          <w:szCs w:val="19"/>
        </w:rPr>
        <w:t>The first year of the school’s certificate term, the 2016-2017 school year, G</w:t>
      </w:r>
      <w:r w:rsidR="004E2623">
        <w:rPr>
          <w:bCs/>
          <w:sz w:val="20"/>
          <w:szCs w:val="19"/>
        </w:rPr>
        <w:t>CVS experienced high turnover of its</w:t>
      </w:r>
      <w:r>
        <w:rPr>
          <w:bCs/>
          <w:sz w:val="20"/>
          <w:szCs w:val="19"/>
        </w:rPr>
        <w:t xml:space="preserve"> senior leadership team. At the beginning of the 2016-2017 school year, </w:t>
      </w:r>
      <w:r w:rsidR="000E6C15">
        <w:rPr>
          <w:bCs/>
          <w:sz w:val="20"/>
          <w:szCs w:val="19"/>
        </w:rPr>
        <w:t>a majority of the</w:t>
      </w:r>
      <w:r>
        <w:rPr>
          <w:bCs/>
          <w:sz w:val="20"/>
          <w:szCs w:val="19"/>
        </w:rPr>
        <w:t xml:space="preserve"> senior leadership team (executive director, director of curriculum and instruction, and the business manager) was new to the school. In mid-September 2016, the executive director left GCVS and within 10 days the board hired an interim executive director. During that school year the director of curriculum and instruction as well as the business man</w:t>
      </w:r>
      <w:r w:rsidR="000A1600">
        <w:rPr>
          <w:bCs/>
          <w:sz w:val="20"/>
          <w:szCs w:val="19"/>
        </w:rPr>
        <w:t>a</w:t>
      </w:r>
      <w:r>
        <w:rPr>
          <w:bCs/>
          <w:sz w:val="20"/>
          <w:szCs w:val="19"/>
        </w:rPr>
        <w:t xml:space="preserve">ger both left the school and were replaced with new individuals. In March 2017, GCVS hired a </w:t>
      </w:r>
      <w:r w:rsidR="000E6C15">
        <w:rPr>
          <w:bCs/>
          <w:sz w:val="20"/>
          <w:szCs w:val="19"/>
        </w:rPr>
        <w:t>new</w:t>
      </w:r>
      <w:r>
        <w:rPr>
          <w:bCs/>
          <w:sz w:val="20"/>
          <w:szCs w:val="19"/>
        </w:rPr>
        <w:t xml:space="preserve"> executive director. </w:t>
      </w:r>
      <w:r w:rsidR="004E2623">
        <w:rPr>
          <w:bCs/>
          <w:sz w:val="20"/>
          <w:szCs w:val="19"/>
        </w:rPr>
        <w:t xml:space="preserve">During that year, staff and teachers expressed concern about the many changes in school leadership. By the next accountability visit (December 2017), the executive director had begun to develop the school leadership team, define clear roles and responsibilities, and implement a shared decision-making model; stakeholders expressed appreciation for a stable leadership team. </w:t>
      </w:r>
      <w:r w:rsidR="00A52B74">
        <w:rPr>
          <w:bCs/>
          <w:sz w:val="20"/>
          <w:szCs w:val="19"/>
        </w:rPr>
        <w:t xml:space="preserve">By the renewal inspection visit (October 2018) school leadership had defined and delineated roles and established common understanding for decision-making and communication. The school, however, experienced another transition in leadership as the executive director retired </w:t>
      </w:r>
      <w:r w:rsidR="002616A3">
        <w:rPr>
          <w:bCs/>
          <w:sz w:val="20"/>
          <w:szCs w:val="19"/>
        </w:rPr>
        <w:t xml:space="preserve">in November 2018 </w:t>
      </w:r>
      <w:r w:rsidR="00A52B74">
        <w:rPr>
          <w:bCs/>
          <w:sz w:val="20"/>
          <w:szCs w:val="19"/>
        </w:rPr>
        <w:t>and was replaced by a</w:t>
      </w:r>
      <w:r w:rsidR="002616A3">
        <w:rPr>
          <w:bCs/>
          <w:sz w:val="20"/>
          <w:szCs w:val="19"/>
        </w:rPr>
        <w:t xml:space="preserve"> </w:t>
      </w:r>
      <w:r w:rsidR="00A52B74">
        <w:rPr>
          <w:bCs/>
          <w:sz w:val="20"/>
          <w:szCs w:val="19"/>
        </w:rPr>
        <w:t>n</w:t>
      </w:r>
      <w:r w:rsidR="002616A3">
        <w:rPr>
          <w:bCs/>
          <w:sz w:val="20"/>
          <w:szCs w:val="19"/>
        </w:rPr>
        <w:t>ew</w:t>
      </w:r>
      <w:r w:rsidR="00A52B74">
        <w:rPr>
          <w:bCs/>
          <w:sz w:val="20"/>
          <w:szCs w:val="19"/>
        </w:rPr>
        <w:t xml:space="preserve"> interim executive director. </w:t>
      </w:r>
      <w:r w:rsidR="000E6C15">
        <w:rPr>
          <w:bCs/>
          <w:sz w:val="20"/>
          <w:szCs w:val="19"/>
        </w:rPr>
        <w:t xml:space="preserve">The retiring executive director continues to consult with the school in order to assist with the leadership transition. </w:t>
      </w:r>
    </w:p>
    <w:p w14:paraId="2EC2C91A" w14:textId="34056B9F" w:rsidR="009B559D" w:rsidRDefault="009B559D" w:rsidP="0067561C">
      <w:pPr>
        <w:spacing w:after="360"/>
        <w:rPr>
          <w:i/>
          <w:sz w:val="18"/>
          <w:szCs w:val="19"/>
        </w:rPr>
      </w:pPr>
      <w:r w:rsidRPr="005C5F4F">
        <w:rPr>
          <w:sz w:val="18"/>
          <w:szCs w:val="19"/>
        </w:rPr>
        <w:t>Sources:</w:t>
      </w:r>
      <w:r w:rsidRPr="005C5F4F">
        <w:rPr>
          <w:i/>
          <w:sz w:val="18"/>
          <w:szCs w:val="19"/>
        </w:rPr>
        <w:t xml:space="preserve"> </w:t>
      </w:r>
      <w:r w:rsidR="002616A3">
        <w:rPr>
          <w:i/>
          <w:sz w:val="18"/>
          <w:szCs w:val="19"/>
        </w:rPr>
        <w:t xml:space="preserve">Application </w:t>
      </w:r>
      <w:r w:rsidR="002616A3" w:rsidRPr="005C5F4F">
        <w:rPr>
          <w:i/>
          <w:sz w:val="18"/>
          <w:szCs w:val="19"/>
        </w:rPr>
        <w:t>Renewal Inspection (</w:t>
      </w:r>
      <w:r w:rsidR="002616A3">
        <w:rPr>
          <w:i/>
          <w:sz w:val="18"/>
          <w:szCs w:val="19"/>
        </w:rPr>
        <w:t>October 2018</w:t>
      </w:r>
      <w:r w:rsidR="002616A3" w:rsidRPr="005C5F4F">
        <w:rPr>
          <w:i/>
          <w:sz w:val="18"/>
          <w:szCs w:val="19"/>
        </w:rPr>
        <w:t>), Accountability Reviews (</w:t>
      </w:r>
      <w:r w:rsidR="002616A3">
        <w:rPr>
          <w:i/>
          <w:sz w:val="18"/>
          <w:szCs w:val="19"/>
        </w:rPr>
        <w:t xml:space="preserve">February and December 2017), </w:t>
      </w:r>
      <w:r w:rsidR="002616A3" w:rsidRPr="005C5F4F">
        <w:rPr>
          <w:i/>
          <w:sz w:val="18"/>
          <w:szCs w:val="19"/>
        </w:rPr>
        <w:t>Certificate Renewal Application (</w:t>
      </w:r>
      <w:r w:rsidR="002616A3">
        <w:rPr>
          <w:i/>
          <w:sz w:val="18"/>
          <w:szCs w:val="19"/>
        </w:rPr>
        <w:t>June 2018)</w:t>
      </w:r>
    </w:p>
    <w:p w14:paraId="01A9A39F" w14:textId="64EC0F2F" w:rsidR="0067561C" w:rsidRDefault="009F062A" w:rsidP="0067561C">
      <w:pPr>
        <w:pStyle w:val="sidehead"/>
        <w:framePr w:wrap="around"/>
        <w:pBdr>
          <w:top w:val="single" w:sz="8" w:space="1" w:color="auto"/>
        </w:pBdr>
        <w:spacing w:after="0"/>
        <w:rPr>
          <w:b/>
        </w:rPr>
      </w:pPr>
      <w:r>
        <w:rPr>
          <w:b/>
        </w:rPr>
        <w:lastRenderedPageBreak/>
        <w:t>7</w:t>
      </w:r>
      <w:r w:rsidR="009351FD">
        <w:rPr>
          <w:b/>
        </w:rPr>
        <w:t>b</w:t>
      </w:r>
      <w:r w:rsidRPr="00BB539E">
        <w:rPr>
          <w:b/>
        </w:rPr>
        <w:t xml:space="preserve">. </w:t>
      </w:r>
      <w:r w:rsidR="009B559D">
        <w:rPr>
          <w:b/>
        </w:rPr>
        <w:t xml:space="preserve">Capacity – Professional </w:t>
      </w:r>
    </w:p>
    <w:p w14:paraId="63F6AE93" w14:textId="54A7BC49" w:rsidR="009B559D" w:rsidRDefault="00937B63" w:rsidP="0067561C">
      <w:pPr>
        <w:pStyle w:val="sidehead"/>
        <w:framePr w:wrap="around"/>
        <w:pBdr>
          <w:top w:val="single" w:sz="8" w:space="1" w:color="auto"/>
        </w:pBdr>
        <w:rPr>
          <w:b/>
        </w:rPr>
      </w:pPr>
      <w:r>
        <w:rPr>
          <w:b/>
        </w:rPr>
        <w:t>C</w:t>
      </w:r>
      <w:r w:rsidR="009B559D">
        <w:rPr>
          <w:b/>
        </w:rPr>
        <w:t>limate</w:t>
      </w:r>
    </w:p>
    <w:p w14:paraId="099436DE" w14:textId="03E3C4F6" w:rsidR="009B559D" w:rsidRPr="00ED6313" w:rsidRDefault="00937B63" w:rsidP="0067561C">
      <w:pPr>
        <w:pStyle w:val="sidehead"/>
        <w:framePr w:wrap="around"/>
        <w:pBdr>
          <w:top w:val="none" w:sz="0" w:space="0" w:color="auto"/>
        </w:pBdr>
        <w:rPr>
          <w:b/>
          <w:sz w:val="19"/>
          <w:szCs w:val="19"/>
        </w:rPr>
      </w:pPr>
      <w:r>
        <w:rPr>
          <w:b/>
          <w:sz w:val="19"/>
          <w:szCs w:val="19"/>
        </w:rPr>
        <w:t>Partially m</w:t>
      </w:r>
      <w:r w:rsidR="009B559D" w:rsidRPr="00ED6313">
        <w:rPr>
          <w:b/>
          <w:sz w:val="19"/>
          <w:szCs w:val="19"/>
        </w:rPr>
        <w:t xml:space="preserve">eets </w:t>
      </w:r>
      <w:r w:rsidRPr="00ED6313">
        <w:rPr>
          <w:rFonts w:ascii="Wingdings" w:hAnsi="Wingdings"/>
          <w:color w:val="FFC000"/>
          <w:sz w:val="19"/>
          <w:szCs w:val="19"/>
        </w:rPr>
        <w:t></w:t>
      </w:r>
    </w:p>
    <w:p w14:paraId="16098C16" w14:textId="6880074A" w:rsidR="009B559D" w:rsidRPr="00ED6313" w:rsidRDefault="009B559D" w:rsidP="0067561C">
      <w:pPr>
        <w:pStyle w:val="sidehead"/>
        <w:framePr w:wrap="around"/>
        <w:pBdr>
          <w:top w:val="none" w:sz="0" w:space="0" w:color="auto"/>
        </w:pBdr>
        <w:rPr>
          <w:sz w:val="19"/>
          <w:szCs w:val="19"/>
        </w:rPr>
      </w:pPr>
      <w:r w:rsidRPr="00ED6313">
        <w:rPr>
          <w:sz w:val="19"/>
          <w:szCs w:val="19"/>
        </w:rPr>
        <w:t xml:space="preserve">Over its </w:t>
      </w:r>
      <w:r w:rsidR="003D0AFD">
        <w:rPr>
          <w:sz w:val="19"/>
          <w:szCs w:val="19"/>
        </w:rPr>
        <w:t>second</w:t>
      </w:r>
      <w:r w:rsidRPr="00ED6313">
        <w:rPr>
          <w:sz w:val="19"/>
          <w:szCs w:val="19"/>
        </w:rPr>
        <w:t xml:space="preserve"> three-year </w:t>
      </w:r>
      <w:r w:rsidR="003D0AFD">
        <w:rPr>
          <w:sz w:val="19"/>
          <w:szCs w:val="19"/>
        </w:rPr>
        <w:t xml:space="preserve">certificate term, GCVS has created processes for educator evaluation and staff collaboration; formal professional development remains infrequent.  </w:t>
      </w:r>
    </w:p>
    <w:p w14:paraId="074FECA1" w14:textId="0E9DA0E3" w:rsidR="009B559D" w:rsidRPr="00111590" w:rsidRDefault="003D0AFD" w:rsidP="00C230E9">
      <w:pPr>
        <w:pBdr>
          <w:top w:val="single" w:sz="8" w:space="1" w:color="auto"/>
        </w:pBdr>
        <w:spacing w:before="80" w:after="80"/>
        <w:rPr>
          <w:sz w:val="20"/>
          <w:szCs w:val="19"/>
        </w:rPr>
      </w:pPr>
      <w:r>
        <w:rPr>
          <w:sz w:val="20"/>
          <w:szCs w:val="19"/>
        </w:rPr>
        <w:t xml:space="preserve">As reported above, significant changes in leadership caused disruption to systems for teacher evaluation, collaboration, and professional development during the first year of the certificate term. Further, introduction of a new learning management system and curricula in the 2017-2018 school year was reported to lessen formal professional development and collaboration time, as well as delay teacher observation processes until the latter half of the year. </w:t>
      </w:r>
      <w:r>
        <w:rPr>
          <w:bCs/>
          <w:kern w:val="32"/>
          <w:sz w:val="20"/>
          <w:szCs w:val="19"/>
        </w:rPr>
        <w:t xml:space="preserve">The renewal inspection team found that </w:t>
      </w:r>
      <w:r w:rsidR="00E734A3">
        <w:rPr>
          <w:bCs/>
          <w:kern w:val="32"/>
          <w:sz w:val="20"/>
          <w:szCs w:val="19"/>
        </w:rPr>
        <w:t>GCVS</w:t>
      </w:r>
      <w:r>
        <w:rPr>
          <w:bCs/>
          <w:kern w:val="32"/>
          <w:sz w:val="20"/>
          <w:szCs w:val="19"/>
        </w:rPr>
        <w:t xml:space="preserve"> now provides teachers with opportunities to collaborate and has implemented a system to monitor instruction. Collaboration structures include monthly professional learning communities, weekly grade level meetings, and </w:t>
      </w:r>
      <w:r w:rsidR="00D417A3">
        <w:rPr>
          <w:bCs/>
          <w:kern w:val="32"/>
          <w:sz w:val="20"/>
          <w:szCs w:val="19"/>
        </w:rPr>
        <w:t xml:space="preserve">all faculty meetings. The </w:t>
      </w:r>
      <w:r w:rsidR="00E734A3">
        <w:rPr>
          <w:bCs/>
          <w:kern w:val="32"/>
          <w:sz w:val="20"/>
          <w:szCs w:val="19"/>
        </w:rPr>
        <w:t>GCVS</w:t>
      </w:r>
      <w:r w:rsidR="00D417A3">
        <w:rPr>
          <w:bCs/>
          <w:kern w:val="32"/>
          <w:sz w:val="20"/>
          <w:szCs w:val="19"/>
        </w:rPr>
        <w:t xml:space="preserve"> evaluation processes mirror the Massachusetts Model Educator Evaluation Framework</w:t>
      </w:r>
      <w:r w:rsidR="00BD50FE">
        <w:rPr>
          <w:bCs/>
          <w:kern w:val="32"/>
          <w:sz w:val="20"/>
          <w:szCs w:val="19"/>
        </w:rPr>
        <w:t>.</w:t>
      </w:r>
      <w:r w:rsidR="00D417A3">
        <w:rPr>
          <w:bCs/>
          <w:kern w:val="32"/>
          <w:sz w:val="20"/>
          <w:szCs w:val="19"/>
        </w:rPr>
        <w:t xml:space="preserve"> </w:t>
      </w:r>
      <w:r w:rsidR="00BD50FE">
        <w:rPr>
          <w:bCs/>
          <w:kern w:val="32"/>
          <w:sz w:val="20"/>
          <w:szCs w:val="19"/>
        </w:rPr>
        <w:t>A</w:t>
      </w:r>
      <w:r w:rsidR="00D417A3">
        <w:rPr>
          <w:bCs/>
          <w:kern w:val="32"/>
          <w:sz w:val="20"/>
          <w:szCs w:val="19"/>
        </w:rPr>
        <w:t xml:space="preserve">t the time of the renewal inspection (October 2018) no formal or informal observations had been conducted, but teachers reported that they had been observed during the last school year (2017-2018). </w:t>
      </w:r>
      <w:r w:rsidR="000132D7">
        <w:rPr>
          <w:bCs/>
          <w:kern w:val="32"/>
          <w:sz w:val="20"/>
          <w:szCs w:val="19"/>
        </w:rPr>
        <w:t xml:space="preserve">The renewal inspection team found that opportunities for formal professional development </w:t>
      </w:r>
      <w:r w:rsidR="00BD50FE">
        <w:rPr>
          <w:bCs/>
          <w:kern w:val="32"/>
          <w:sz w:val="20"/>
          <w:szCs w:val="19"/>
        </w:rPr>
        <w:t>are</w:t>
      </w:r>
      <w:r w:rsidR="000132D7">
        <w:rPr>
          <w:bCs/>
          <w:kern w:val="32"/>
          <w:sz w:val="20"/>
          <w:szCs w:val="19"/>
        </w:rPr>
        <w:t xml:space="preserve"> infrequent, with five days devoted to professional development for the current school year. </w:t>
      </w:r>
    </w:p>
    <w:p w14:paraId="20359EA7" w14:textId="0066C6C0" w:rsidR="00C230E9" w:rsidRDefault="009B559D" w:rsidP="0067561C">
      <w:pPr>
        <w:spacing w:after="360"/>
        <w:rPr>
          <w:i/>
          <w:sz w:val="18"/>
          <w:szCs w:val="19"/>
        </w:rPr>
      </w:pPr>
      <w:r w:rsidRPr="005C5F4F">
        <w:rPr>
          <w:sz w:val="18"/>
          <w:szCs w:val="19"/>
        </w:rPr>
        <w:t>Sources:</w:t>
      </w:r>
      <w:r w:rsidR="000132D7">
        <w:rPr>
          <w:i/>
          <w:sz w:val="18"/>
          <w:szCs w:val="19"/>
        </w:rPr>
        <w:t xml:space="preserve"> Application </w:t>
      </w:r>
      <w:r w:rsidR="000132D7" w:rsidRPr="005C5F4F">
        <w:rPr>
          <w:i/>
          <w:sz w:val="18"/>
          <w:szCs w:val="19"/>
        </w:rPr>
        <w:t>Renewal Inspection (</w:t>
      </w:r>
      <w:r w:rsidR="000132D7">
        <w:rPr>
          <w:i/>
          <w:sz w:val="18"/>
          <w:szCs w:val="19"/>
        </w:rPr>
        <w:t>October 2018</w:t>
      </w:r>
      <w:r w:rsidR="000132D7" w:rsidRPr="005C5F4F">
        <w:rPr>
          <w:i/>
          <w:sz w:val="18"/>
          <w:szCs w:val="19"/>
        </w:rPr>
        <w:t>), Accountability Reviews (</w:t>
      </w:r>
      <w:r w:rsidR="000132D7">
        <w:rPr>
          <w:i/>
          <w:sz w:val="18"/>
          <w:szCs w:val="19"/>
        </w:rPr>
        <w:t xml:space="preserve">February and December 2017), </w:t>
      </w:r>
      <w:r w:rsidR="000132D7" w:rsidRPr="005C5F4F">
        <w:rPr>
          <w:i/>
          <w:sz w:val="18"/>
          <w:szCs w:val="19"/>
        </w:rPr>
        <w:t>Certificate Renewal Application (</w:t>
      </w:r>
      <w:r w:rsidR="000132D7">
        <w:rPr>
          <w:i/>
          <w:sz w:val="18"/>
          <w:szCs w:val="19"/>
        </w:rPr>
        <w:t>June 2018)</w:t>
      </w:r>
    </w:p>
    <w:p w14:paraId="44142F0E" w14:textId="4F0F5A4F" w:rsidR="002D732C" w:rsidRDefault="009F062A" w:rsidP="0067561C">
      <w:pPr>
        <w:pStyle w:val="sidehead"/>
        <w:framePr w:wrap="around"/>
        <w:pBdr>
          <w:top w:val="single" w:sz="8" w:space="1" w:color="auto"/>
        </w:pBdr>
        <w:rPr>
          <w:b/>
        </w:rPr>
      </w:pPr>
      <w:r>
        <w:rPr>
          <w:b/>
        </w:rPr>
        <w:t>7</w:t>
      </w:r>
      <w:r w:rsidR="009351FD">
        <w:rPr>
          <w:b/>
        </w:rPr>
        <w:t>c</w:t>
      </w:r>
      <w:r w:rsidRPr="00BB539E">
        <w:rPr>
          <w:b/>
        </w:rPr>
        <w:t xml:space="preserve">. </w:t>
      </w:r>
      <w:r w:rsidR="002D732C">
        <w:rPr>
          <w:b/>
        </w:rPr>
        <w:t>Capacity – Contractual relationships</w:t>
      </w:r>
    </w:p>
    <w:p w14:paraId="555E0360" w14:textId="38226C42" w:rsidR="002D732C" w:rsidRPr="00ED6313" w:rsidRDefault="009837C6" w:rsidP="0067561C">
      <w:pPr>
        <w:pStyle w:val="sidehead"/>
        <w:framePr w:wrap="around"/>
        <w:pBdr>
          <w:top w:val="single" w:sz="8" w:space="1" w:color="auto"/>
        </w:pBdr>
        <w:rPr>
          <w:b/>
          <w:sz w:val="19"/>
          <w:szCs w:val="19"/>
        </w:rPr>
      </w:pPr>
      <w:r>
        <w:rPr>
          <w:b/>
          <w:sz w:val="19"/>
          <w:szCs w:val="19"/>
        </w:rPr>
        <w:t>N/A</w:t>
      </w:r>
    </w:p>
    <w:p w14:paraId="12B46B2B" w14:textId="4C67F15A" w:rsidR="002D732C" w:rsidRPr="00ED6313" w:rsidRDefault="009837C6" w:rsidP="0067561C">
      <w:pPr>
        <w:pStyle w:val="sidehead"/>
        <w:framePr w:wrap="around"/>
        <w:pBdr>
          <w:top w:val="none" w:sz="0" w:space="0" w:color="auto"/>
        </w:pBdr>
        <w:ind w:right="180"/>
        <w:rPr>
          <w:sz w:val="19"/>
          <w:szCs w:val="19"/>
        </w:rPr>
      </w:pPr>
      <w:r>
        <w:rPr>
          <w:sz w:val="19"/>
          <w:szCs w:val="19"/>
        </w:rPr>
        <w:t xml:space="preserve">GCVS terminated its contract between the school and K12 Inc. during the certificate term. </w:t>
      </w:r>
    </w:p>
    <w:p w14:paraId="2E801CAD" w14:textId="36EAA803" w:rsidR="002D732C" w:rsidRPr="00111590" w:rsidRDefault="009837C6" w:rsidP="0067561C">
      <w:pPr>
        <w:pBdr>
          <w:top w:val="single" w:sz="8" w:space="1" w:color="auto"/>
        </w:pBdr>
        <w:spacing w:before="80" w:after="80"/>
        <w:rPr>
          <w:sz w:val="20"/>
          <w:szCs w:val="19"/>
        </w:rPr>
      </w:pPr>
      <w:r>
        <w:rPr>
          <w:sz w:val="20"/>
          <w:szCs w:val="19"/>
        </w:rPr>
        <w:t>For the first certificate term, and for the first year of the second term, e</w:t>
      </w:r>
      <w:r w:rsidR="002D732C" w:rsidRPr="00111590">
        <w:rPr>
          <w:sz w:val="20"/>
          <w:szCs w:val="19"/>
        </w:rPr>
        <w:t xml:space="preserve">ducational courses and teaching services, including management software, learning materials, </w:t>
      </w:r>
      <w:r>
        <w:rPr>
          <w:sz w:val="20"/>
          <w:szCs w:val="19"/>
        </w:rPr>
        <w:t>and technical support services we</w:t>
      </w:r>
      <w:r w:rsidR="002D732C" w:rsidRPr="00111590">
        <w:rPr>
          <w:sz w:val="20"/>
          <w:szCs w:val="19"/>
        </w:rPr>
        <w:t>re provided by K12,</w:t>
      </w:r>
      <w:r>
        <w:rPr>
          <w:sz w:val="20"/>
          <w:szCs w:val="19"/>
        </w:rPr>
        <w:t xml:space="preserve"> Inc.</w:t>
      </w:r>
      <w:r w:rsidR="002D732C" w:rsidRPr="00111590">
        <w:rPr>
          <w:sz w:val="20"/>
          <w:szCs w:val="19"/>
        </w:rPr>
        <w:t xml:space="preserve"> a virtual school provider based in Herndon, Virginia. </w:t>
      </w:r>
      <w:r w:rsidR="00D94C97">
        <w:rPr>
          <w:sz w:val="20"/>
          <w:szCs w:val="19"/>
        </w:rPr>
        <w:t>In June 2017, c</w:t>
      </w:r>
      <w:r>
        <w:rPr>
          <w:sz w:val="20"/>
          <w:szCs w:val="19"/>
        </w:rPr>
        <w:t>iting concerns for financial sustainability as well as dissatisfaction with academic results, the school requested an amendment to its certificate to terminate its contract</w:t>
      </w:r>
      <w:r w:rsidR="00D94C97">
        <w:rPr>
          <w:sz w:val="20"/>
          <w:szCs w:val="19"/>
        </w:rPr>
        <w:t xml:space="preserve">ual relationship with K12, Inc., and to enter into partnerships (rather than contracts) to provide the Learning Management System (via Canvas by Instructure, Inc.) and curriculum (Florida Virtual School Global and EngageNY as well as other sources). The </w:t>
      </w:r>
      <w:r w:rsidR="004D5DE1">
        <w:rPr>
          <w:sz w:val="20"/>
          <w:szCs w:val="19"/>
        </w:rPr>
        <w:t>C</w:t>
      </w:r>
      <w:r w:rsidR="00D94C97">
        <w:rPr>
          <w:sz w:val="20"/>
          <w:szCs w:val="19"/>
        </w:rPr>
        <w:t>ommissioner approved this change in the certificate in October 2017</w:t>
      </w:r>
    </w:p>
    <w:p w14:paraId="08429A99" w14:textId="6A741985" w:rsidR="002D732C" w:rsidRDefault="002D732C" w:rsidP="0067561C">
      <w:pPr>
        <w:spacing w:after="360"/>
        <w:rPr>
          <w:i/>
          <w:sz w:val="18"/>
          <w:szCs w:val="19"/>
        </w:rPr>
      </w:pPr>
      <w:r w:rsidRPr="005C5F4F">
        <w:rPr>
          <w:sz w:val="18"/>
          <w:szCs w:val="19"/>
        </w:rPr>
        <w:t>Sources:</w:t>
      </w:r>
      <w:r w:rsidRPr="005C5F4F">
        <w:rPr>
          <w:i/>
          <w:sz w:val="18"/>
          <w:szCs w:val="19"/>
        </w:rPr>
        <w:t xml:space="preserve"> </w:t>
      </w:r>
      <w:r w:rsidR="00D94C97">
        <w:rPr>
          <w:i/>
          <w:sz w:val="18"/>
          <w:szCs w:val="19"/>
        </w:rPr>
        <w:t xml:space="preserve">Application </w:t>
      </w:r>
      <w:r w:rsidR="00D94C97" w:rsidRPr="005C5F4F">
        <w:rPr>
          <w:i/>
          <w:sz w:val="18"/>
          <w:szCs w:val="19"/>
        </w:rPr>
        <w:t>Renewal Inspection (</w:t>
      </w:r>
      <w:r w:rsidR="00D94C97">
        <w:rPr>
          <w:i/>
          <w:sz w:val="18"/>
          <w:szCs w:val="19"/>
        </w:rPr>
        <w:t>October 2018</w:t>
      </w:r>
      <w:r w:rsidR="00D94C97" w:rsidRPr="005C5F4F">
        <w:rPr>
          <w:i/>
          <w:sz w:val="18"/>
          <w:szCs w:val="19"/>
        </w:rPr>
        <w:t>), Accountability Reviews (</w:t>
      </w:r>
      <w:r w:rsidR="00D94C97">
        <w:rPr>
          <w:i/>
          <w:sz w:val="18"/>
          <w:szCs w:val="19"/>
        </w:rPr>
        <w:t xml:space="preserve">February and December 2017), June 2017 Amendment request, </w:t>
      </w:r>
      <w:r w:rsidR="00D94C97" w:rsidRPr="005C5F4F">
        <w:rPr>
          <w:i/>
          <w:sz w:val="18"/>
          <w:szCs w:val="19"/>
        </w:rPr>
        <w:t>Certificate Renewal Application (</w:t>
      </w:r>
      <w:r w:rsidR="00D94C97">
        <w:rPr>
          <w:i/>
          <w:sz w:val="18"/>
          <w:szCs w:val="19"/>
        </w:rPr>
        <w:t>June 2018)</w:t>
      </w:r>
    </w:p>
    <w:p w14:paraId="7E31A723" w14:textId="77777777" w:rsidR="00C230E9" w:rsidRDefault="009F062A" w:rsidP="00C230E9">
      <w:pPr>
        <w:pStyle w:val="sidehead"/>
        <w:framePr w:wrap="around"/>
        <w:pBdr>
          <w:top w:val="single" w:sz="8" w:space="1" w:color="auto"/>
        </w:pBdr>
        <w:rPr>
          <w:b/>
        </w:rPr>
      </w:pPr>
      <w:r>
        <w:rPr>
          <w:b/>
        </w:rPr>
        <w:lastRenderedPageBreak/>
        <w:t>8</w:t>
      </w:r>
      <w:r w:rsidRPr="00BB539E">
        <w:rPr>
          <w:b/>
        </w:rPr>
        <w:t xml:space="preserve">. </w:t>
      </w:r>
      <w:r w:rsidR="00C230E9">
        <w:rPr>
          <w:b/>
        </w:rPr>
        <w:t>Governance</w:t>
      </w:r>
    </w:p>
    <w:p w14:paraId="51E5D576" w14:textId="0F278F63" w:rsidR="00C230E9" w:rsidRPr="00ED6313" w:rsidRDefault="00E3412D" w:rsidP="00C230E9">
      <w:pPr>
        <w:pStyle w:val="sidehead"/>
        <w:framePr w:wrap="around"/>
        <w:pBdr>
          <w:top w:val="single" w:sz="8" w:space="1" w:color="auto"/>
        </w:pBdr>
        <w:rPr>
          <w:b/>
          <w:sz w:val="19"/>
          <w:szCs w:val="19"/>
        </w:rPr>
      </w:pPr>
      <w:r>
        <w:rPr>
          <w:b/>
          <w:sz w:val="19"/>
          <w:szCs w:val="19"/>
        </w:rPr>
        <w:t>M</w:t>
      </w:r>
      <w:r w:rsidR="00C230E9" w:rsidRPr="00ED6313">
        <w:rPr>
          <w:b/>
          <w:sz w:val="19"/>
          <w:szCs w:val="19"/>
        </w:rPr>
        <w:t xml:space="preserve">eets </w:t>
      </w:r>
      <w:r w:rsidRPr="00ED6313">
        <w:rPr>
          <w:rFonts w:ascii="Wingdings" w:hAnsi="Wingdings"/>
          <w:color w:val="00B050"/>
          <w:sz w:val="19"/>
          <w:szCs w:val="19"/>
        </w:rPr>
        <w:t></w:t>
      </w:r>
    </w:p>
    <w:p w14:paraId="793AF17F" w14:textId="4F530E14" w:rsidR="00C230E9" w:rsidRPr="00ED6313" w:rsidRDefault="00C230E9" w:rsidP="00C230E9">
      <w:pPr>
        <w:pStyle w:val="sidehead"/>
        <w:framePr w:wrap="around"/>
        <w:pBdr>
          <w:top w:val="none" w:sz="0" w:space="0" w:color="auto"/>
        </w:pBdr>
        <w:ind w:right="180"/>
        <w:rPr>
          <w:sz w:val="19"/>
          <w:szCs w:val="19"/>
        </w:rPr>
      </w:pPr>
      <w:r w:rsidRPr="00ED6313">
        <w:rPr>
          <w:sz w:val="19"/>
          <w:szCs w:val="19"/>
        </w:rPr>
        <w:t xml:space="preserve">The GCVS board of trustees </w:t>
      </w:r>
      <w:r w:rsidR="00E3412D">
        <w:rPr>
          <w:sz w:val="19"/>
          <w:szCs w:val="19"/>
        </w:rPr>
        <w:t>continues to govern in accordance to its bylaws</w:t>
      </w:r>
      <w:r w:rsidRPr="00ED6313">
        <w:rPr>
          <w:sz w:val="19"/>
          <w:szCs w:val="19"/>
        </w:rPr>
        <w:t>.</w:t>
      </w:r>
      <w:r w:rsidR="00E3412D">
        <w:rPr>
          <w:sz w:val="19"/>
          <w:szCs w:val="19"/>
        </w:rPr>
        <w:t xml:space="preserve"> During the past certificate term, the board has implemented some systems to govern and sustain the school. The board has overseen significant changes in the school’s operation, but has not yet begun strategic planning processes. </w:t>
      </w:r>
      <w:r w:rsidRPr="00ED6313">
        <w:rPr>
          <w:sz w:val="19"/>
          <w:szCs w:val="19"/>
        </w:rPr>
        <w:t xml:space="preserve"> </w:t>
      </w:r>
    </w:p>
    <w:p w14:paraId="654F88F9" w14:textId="1B42724C" w:rsidR="00C230E9" w:rsidRPr="00111590" w:rsidRDefault="00C230E9" w:rsidP="00C230E9">
      <w:pPr>
        <w:pBdr>
          <w:top w:val="single" w:sz="8" w:space="1" w:color="auto"/>
        </w:pBdr>
        <w:spacing w:before="80" w:after="80"/>
        <w:rPr>
          <w:sz w:val="20"/>
          <w:szCs w:val="20"/>
        </w:rPr>
      </w:pPr>
      <w:r w:rsidRPr="00111590">
        <w:rPr>
          <w:sz w:val="20"/>
          <w:szCs w:val="20"/>
        </w:rPr>
        <w:t>As required by statute</w:t>
      </w:r>
      <w:r w:rsidR="00D41216">
        <w:rPr>
          <w:sz w:val="20"/>
          <w:szCs w:val="20"/>
        </w:rPr>
        <w:t xml:space="preserve"> and its bylaws</w:t>
      </w:r>
      <w:r w:rsidRPr="00111590">
        <w:rPr>
          <w:sz w:val="20"/>
          <w:szCs w:val="20"/>
        </w:rPr>
        <w:t>,</w:t>
      </w:r>
      <w:r w:rsidR="00D41216">
        <w:rPr>
          <w:sz w:val="20"/>
          <w:szCs w:val="20"/>
        </w:rPr>
        <w:t xml:space="preserve"> GCVS is governed by an</w:t>
      </w:r>
      <w:r w:rsidRPr="00111590">
        <w:rPr>
          <w:sz w:val="20"/>
          <w:szCs w:val="20"/>
        </w:rPr>
        <w:t xml:space="preserve"> all-volunteer</w:t>
      </w:r>
      <w:r w:rsidR="00D41216">
        <w:rPr>
          <w:sz w:val="20"/>
          <w:szCs w:val="20"/>
        </w:rPr>
        <w:t>, five-member</w:t>
      </w:r>
      <w:r w:rsidRPr="00111590">
        <w:rPr>
          <w:sz w:val="20"/>
          <w:szCs w:val="20"/>
        </w:rPr>
        <w:t xml:space="preserve"> board of trustees. </w:t>
      </w:r>
      <w:r w:rsidR="00D41216">
        <w:rPr>
          <w:sz w:val="20"/>
          <w:szCs w:val="20"/>
        </w:rPr>
        <w:t>One new member was approved in August 2018; he possesses informational technology expertise. The board meets monthly. The board amended its bylaws in October 2017 to eliminate its committee structure</w:t>
      </w:r>
      <w:r w:rsidR="00654E01">
        <w:rPr>
          <w:sz w:val="20"/>
          <w:szCs w:val="20"/>
        </w:rPr>
        <w:t>.</w:t>
      </w:r>
    </w:p>
    <w:p w14:paraId="3746B1C4" w14:textId="1126C477" w:rsidR="00C230E9" w:rsidRDefault="009F6A95" w:rsidP="00C230E9">
      <w:pPr>
        <w:pBdr>
          <w:top w:val="single" w:sz="8" w:space="1" w:color="auto"/>
        </w:pBdr>
        <w:spacing w:before="80" w:after="80"/>
        <w:rPr>
          <w:sz w:val="20"/>
          <w:szCs w:val="20"/>
        </w:rPr>
      </w:pPr>
      <w:r>
        <w:rPr>
          <w:sz w:val="20"/>
          <w:szCs w:val="20"/>
        </w:rPr>
        <w:t xml:space="preserve">The board has some systems in place to govern the school and ensure sustainability. During the certificate term, the board has overseen four different individuals in the role of executive director (two as interim). </w:t>
      </w:r>
      <w:r w:rsidR="00C230E9" w:rsidRPr="00111590">
        <w:rPr>
          <w:sz w:val="20"/>
          <w:szCs w:val="20"/>
        </w:rPr>
        <w:t xml:space="preserve">The board </w:t>
      </w:r>
      <w:r>
        <w:rPr>
          <w:sz w:val="20"/>
          <w:szCs w:val="20"/>
        </w:rPr>
        <w:t xml:space="preserve">developed a process for evaluating the school leader during the 2017-2018 school year. Board minutes demonstrate that the recently retired executive director was evaluated during the June 2018 board meeting. The board also amended the school’s accountability plan, setting new academic targets, during the 2017-2018 school year. However, board members reported that they only review annual MCAS results in order to assess the school’s academic performance. Key school staff, such as the executive director and business manager, attend monthly board meetings to provide </w:t>
      </w:r>
      <w:r w:rsidR="00E3412D">
        <w:rPr>
          <w:sz w:val="20"/>
          <w:szCs w:val="20"/>
        </w:rPr>
        <w:t xml:space="preserve">reports on school events, policy issues, and monthly financials. </w:t>
      </w:r>
    </w:p>
    <w:p w14:paraId="37925E37" w14:textId="210D6339" w:rsidR="009F6A95" w:rsidRPr="00111590" w:rsidRDefault="009F6A95" w:rsidP="00C230E9">
      <w:pPr>
        <w:pBdr>
          <w:top w:val="single" w:sz="8" w:space="1" w:color="auto"/>
        </w:pBdr>
        <w:spacing w:before="80" w:after="80"/>
        <w:rPr>
          <w:sz w:val="20"/>
          <w:szCs w:val="20"/>
        </w:rPr>
      </w:pPr>
      <w:r>
        <w:rPr>
          <w:sz w:val="20"/>
          <w:szCs w:val="20"/>
        </w:rPr>
        <w:t xml:space="preserve">The </w:t>
      </w:r>
      <w:r w:rsidR="00E3412D">
        <w:rPr>
          <w:sz w:val="20"/>
          <w:szCs w:val="20"/>
        </w:rPr>
        <w:t xml:space="preserve">board has engaged in significant changes to the school’s operation during the certificate term. The board oversaw the termination of the contract with K12 Inc.; the implementation of a new learning management system and curricula; multiple hiring processes for the executive director; the increased per pupil tuition and related salary increase; and revision of various policies or goals. Board members, however, reported that they do not engage in strategic planning processes.  </w:t>
      </w:r>
    </w:p>
    <w:p w14:paraId="6479409F" w14:textId="4F8CB18D" w:rsidR="002D732C" w:rsidRDefault="00C230E9" w:rsidP="00C230E9">
      <w:pPr>
        <w:spacing w:after="360"/>
        <w:rPr>
          <w:i/>
          <w:sz w:val="18"/>
          <w:szCs w:val="19"/>
        </w:rPr>
      </w:pPr>
      <w:r w:rsidRPr="005C5F4F">
        <w:rPr>
          <w:sz w:val="18"/>
          <w:szCs w:val="19"/>
        </w:rPr>
        <w:t>Sources:</w:t>
      </w:r>
      <w:r w:rsidRPr="005C5F4F">
        <w:rPr>
          <w:i/>
          <w:sz w:val="18"/>
          <w:szCs w:val="19"/>
        </w:rPr>
        <w:t xml:space="preserve"> </w:t>
      </w:r>
      <w:r w:rsidR="00E3412D">
        <w:rPr>
          <w:i/>
          <w:sz w:val="18"/>
          <w:szCs w:val="19"/>
        </w:rPr>
        <w:t xml:space="preserve">Application </w:t>
      </w:r>
      <w:r w:rsidR="00E3412D" w:rsidRPr="005C5F4F">
        <w:rPr>
          <w:i/>
          <w:sz w:val="18"/>
          <w:szCs w:val="19"/>
        </w:rPr>
        <w:t>Renewal Inspection (</w:t>
      </w:r>
      <w:r w:rsidR="00E3412D">
        <w:rPr>
          <w:i/>
          <w:sz w:val="18"/>
          <w:szCs w:val="19"/>
        </w:rPr>
        <w:t>October 2018</w:t>
      </w:r>
      <w:r w:rsidR="00E3412D" w:rsidRPr="005C5F4F">
        <w:rPr>
          <w:i/>
          <w:sz w:val="18"/>
          <w:szCs w:val="19"/>
        </w:rPr>
        <w:t>), Accountability Reviews (</w:t>
      </w:r>
      <w:r w:rsidR="00E3412D">
        <w:rPr>
          <w:i/>
          <w:sz w:val="18"/>
          <w:szCs w:val="19"/>
        </w:rPr>
        <w:t xml:space="preserve">February and December 2017), June 2017 Amendment request, </w:t>
      </w:r>
      <w:r w:rsidR="00E3412D" w:rsidRPr="005C5F4F">
        <w:rPr>
          <w:i/>
          <w:sz w:val="18"/>
          <w:szCs w:val="19"/>
        </w:rPr>
        <w:t>Certificate Renewal Application (</w:t>
      </w:r>
      <w:r w:rsidR="00E3412D">
        <w:rPr>
          <w:i/>
          <w:sz w:val="18"/>
          <w:szCs w:val="19"/>
        </w:rPr>
        <w:t>June 2018)</w:t>
      </w:r>
    </w:p>
    <w:p w14:paraId="1AB10C40" w14:textId="77777777" w:rsidR="00BA31E5" w:rsidRDefault="009F062A" w:rsidP="00C230E9">
      <w:pPr>
        <w:pStyle w:val="sidehead"/>
        <w:framePr w:wrap="around"/>
        <w:pBdr>
          <w:top w:val="single" w:sz="8" w:space="1" w:color="auto"/>
        </w:pBdr>
        <w:rPr>
          <w:b/>
        </w:rPr>
      </w:pPr>
      <w:r>
        <w:rPr>
          <w:b/>
        </w:rPr>
        <w:t>9</w:t>
      </w:r>
      <w:r w:rsidRPr="00BB539E">
        <w:rPr>
          <w:b/>
        </w:rPr>
        <w:t xml:space="preserve">. </w:t>
      </w:r>
      <w:r w:rsidR="00BA31E5">
        <w:rPr>
          <w:b/>
        </w:rPr>
        <w:t>Finance</w:t>
      </w:r>
    </w:p>
    <w:p w14:paraId="152FA9BA" w14:textId="77777777" w:rsidR="00BA31E5" w:rsidRPr="00ED6313" w:rsidRDefault="00BA31E5" w:rsidP="00C230E9">
      <w:pPr>
        <w:pStyle w:val="sidehead"/>
        <w:framePr w:wrap="around"/>
        <w:pBdr>
          <w:top w:val="single" w:sz="8" w:space="1" w:color="auto"/>
        </w:pBdr>
        <w:rPr>
          <w:b/>
          <w:sz w:val="19"/>
          <w:szCs w:val="19"/>
        </w:rPr>
      </w:pPr>
      <w:r w:rsidRPr="00ED6313">
        <w:rPr>
          <w:b/>
          <w:sz w:val="19"/>
          <w:szCs w:val="19"/>
        </w:rPr>
        <w:t xml:space="preserve">Meets </w:t>
      </w:r>
      <w:r w:rsidRPr="00ED6313">
        <w:rPr>
          <w:rFonts w:ascii="Wingdings" w:hAnsi="Wingdings"/>
          <w:color w:val="00B050"/>
          <w:sz w:val="19"/>
          <w:szCs w:val="19"/>
        </w:rPr>
        <w:t></w:t>
      </w:r>
    </w:p>
    <w:p w14:paraId="608EFA11" w14:textId="37114DB3" w:rsidR="00BA31E5" w:rsidRPr="00ED6313" w:rsidRDefault="00241AD7" w:rsidP="00C230E9">
      <w:pPr>
        <w:pStyle w:val="sidehead"/>
        <w:framePr w:wrap="around"/>
        <w:pBdr>
          <w:top w:val="none" w:sz="0" w:space="0" w:color="auto"/>
        </w:pBdr>
        <w:ind w:right="180"/>
        <w:rPr>
          <w:sz w:val="19"/>
          <w:szCs w:val="19"/>
        </w:rPr>
      </w:pPr>
      <w:r>
        <w:rPr>
          <w:sz w:val="19"/>
          <w:szCs w:val="19"/>
        </w:rPr>
        <w:t>GCVS</w:t>
      </w:r>
      <w:r w:rsidRPr="00FF4316">
        <w:rPr>
          <w:sz w:val="19"/>
          <w:szCs w:val="19"/>
        </w:rPr>
        <w:t xml:space="preserve"> </w:t>
      </w:r>
      <w:r w:rsidR="00FF4316" w:rsidRPr="00FF4316">
        <w:rPr>
          <w:sz w:val="19"/>
          <w:szCs w:val="19"/>
        </w:rPr>
        <w:t>has primarily maintained a sound and stable financial condition over the past two years</w:t>
      </w:r>
      <w:r w:rsidR="00D93D1E" w:rsidRPr="00ED6313">
        <w:rPr>
          <w:sz w:val="19"/>
          <w:szCs w:val="19"/>
        </w:rPr>
        <w:t>.</w:t>
      </w:r>
      <w:r w:rsidR="00BA31E5" w:rsidRPr="00ED6313">
        <w:rPr>
          <w:sz w:val="19"/>
          <w:szCs w:val="19"/>
        </w:rPr>
        <w:t xml:space="preserve"> </w:t>
      </w:r>
    </w:p>
    <w:p w14:paraId="21975559" w14:textId="7DE21F03" w:rsidR="00FF4316" w:rsidRPr="00FF4316" w:rsidRDefault="00FF4316" w:rsidP="00FF4316">
      <w:pPr>
        <w:pBdr>
          <w:top w:val="single" w:sz="8" w:space="1" w:color="auto"/>
        </w:pBdr>
        <w:spacing w:before="80" w:after="80"/>
        <w:rPr>
          <w:sz w:val="20"/>
          <w:szCs w:val="20"/>
        </w:rPr>
      </w:pPr>
      <w:r w:rsidRPr="00FF4316">
        <w:rPr>
          <w:sz w:val="20"/>
          <w:szCs w:val="20"/>
        </w:rPr>
        <w:t xml:space="preserve">The school has had </w:t>
      </w:r>
      <w:r w:rsidR="00EA7CC0">
        <w:rPr>
          <w:sz w:val="20"/>
          <w:szCs w:val="20"/>
        </w:rPr>
        <w:t>unmodified opinion</w:t>
      </w:r>
      <w:r w:rsidRPr="00FF4316">
        <w:rPr>
          <w:sz w:val="20"/>
          <w:szCs w:val="20"/>
        </w:rPr>
        <w:t xml:space="preserve"> audits for the </w:t>
      </w:r>
      <w:r w:rsidR="00EA7CC0">
        <w:rPr>
          <w:sz w:val="20"/>
          <w:szCs w:val="20"/>
        </w:rPr>
        <w:t>last two fiscal years.</w:t>
      </w:r>
      <w:r w:rsidR="002563B3">
        <w:rPr>
          <w:sz w:val="20"/>
          <w:szCs w:val="20"/>
        </w:rPr>
        <w:t xml:space="preserve"> There were no findings in the FY17 audit.</w:t>
      </w:r>
      <w:r w:rsidR="00EA7CC0">
        <w:rPr>
          <w:sz w:val="20"/>
          <w:szCs w:val="20"/>
        </w:rPr>
        <w:t xml:space="preserve"> In FY18</w:t>
      </w:r>
      <w:r>
        <w:rPr>
          <w:sz w:val="20"/>
          <w:szCs w:val="20"/>
        </w:rPr>
        <w:t>,</w:t>
      </w:r>
      <w:r w:rsidRPr="00FF4316">
        <w:rPr>
          <w:sz w:val="20"/>
          <w:szCs w:val="20"/>
        </w:rPr>
        <w:t xml:space="preserve"> there was one non</w:t>
      </w:r>
      <w:r w:rsidR="00EA7CC0">
        <w:rPr>
          <w:sz w:val="20"/>
          <w:szCs w:val="20"/>
        </w:rPr>
        <w:t>-compliance finding regarding</w:t>
      </w:r>
      <w:r w:rsidRPr="00FF4316">
        <w:rPr>
          <w:sz w:val="20"/>
          <w:szCs w:val="20"/>
        </w:rPr>
        <w:t xml:space="preserve"> MTRS payment</w:t>
      </w:r>
      <w:r w:rsidR="00EA7CC0">
        <w:rPr>
          <w:sz w:val="20"/>
          <w:szCs w:val="20"/>
        </w:rPr>
        <w:t xml:space="preserve">s. For the past two fiscal years (FY17 and FY18), </w:t>
      </w:r>
      <w:r w:rsidR="00E734A3">
        <w:rPr>
          <w:sz w:val="20"/>
          <w:szCs w:val="20"/>
        </w:rPr>
        <w:t>GCVS</w:t>
      </w:r>
      <w:r w:rsidR="00EA7CC0">
        <w:rPr>
          <w:sz w:val="20"/>
          <w:szCs w:val="20"/>
        </w:rPr>
        <w:t xml:space="preserve"> operated at a loss, but in each year the school had enough cash to cover the deficits. </w:t>
      </w:r>
    </w:p>
    <w:p w14:paraId="55505B75" w14:textId="7B79E681" w:rsidR="000511B1" w:rsidRPr="00111590" w:rsidRDefault="00BA31E5" w:rsidP="00111590">
      <w:pPr>
        <w:spacing w:after="360"/>
        <w:rPr>
          <w:i/>
          <w:sz w:val="18"/>
          <w:szCs w:val="19"/>
        </w:rPr>
      </w:pPr>
      <w:r w:rsidRPr="005C5F4F">
        <w:rPr>
          <w:sz w:val="18"/>
          <w:szCs w:val="19"/>
        </w:rPr>
        <w:t>Sources:</w:t>
      </w:r>
      <w:r w:rsidRPr="005C5F4F">
        <w:rPr>
          <w:i/>
          <w:sz w:val="18"/>
          <w:szCs w:val="19"/>
        </w:rPr>
        <w:t xml:space="preserve"> </w:t>
      </w:r>
      <w:r w:rsidR="007A6D45">
        <w:rPr>
          <w:i/>
          <w:sz w:val="18"/>
          <w:szCs w:val="19"/>
        </w:rPr>
        <w:t>FY17 and FY18</w:t>
      </w:r>
      <w:r w:rsidR="00D93D1E">
        <w:rPr>
          <w:i/>
          <w:sz w:val="18"/>
          <w:szCs w:val="19"/>
        </w:rPr>
        <w:t xml:space="preserve"> Financial Audits</w:t>
      </w:r>
    </w:p>
    <w:p w14:paraId="06D17697" w14:textId="77777777" w:rsidR="00FF4316" w:rsidRDefault="00FF4316">
      <w:pPr>
        <w:rPr>
          <w:rFonts w:ascii="Arial" w:eastAsia="Times New Roman" w:hAnsi="Arial" w:cs="Arial"/>
          <w:b/>
          <w:bCs/>
          <w:kern w:val="32"/>
          <w:sz w:val="32"/>
          <w:szCs w:val="32"/>
        </w:rPr>
      </w:pPr>
      <w:r>
        <w:br w:type="page"/>
      </w:r>
    </w:p>
    <w:p w14:paraId="2CBF4597" w14:textId="77777777" w:rsidR="00D93D1E" w:rsidRPr="002C01C8" w:rsidRDefault="00D93D1E" w:rsidP="00713DBF">
      <w:pPr>
        <w:pStyle w:val="Heading1"/>
        <w:pBdr>
          <w:bottom w:val="single" w:sz="36" w:space="1" w:color="auto"/>
        </w:pBdr>
        <w:ind w:hanging="2880"/>
      </w:pPr>
      <w:bookmarkStart w:id="7" w:name="_Toc2324595"/>
      <w:r>
        <w:lastRenderedPageBreak/>
        <w:t>Appendix A: Accountability plan performance</w:t>
      </w:r>
      <w:bookmarkEnd w:id="7"/>
    </w:p>
    <w:p w14:paraId="2EEFD196" w14:textId="3AC6C813" w:rsidR="00A6569D" w:rsidRDefault="00A6569D" w:rsidP="00A6569D">
      <w:pPr>
        <w:spacing w:after="120"/>
        <w:ind w:left="-2880"/>
        <w:rPr>
          <w:rFonts w:eastAsiaTheme="minorEastAsia"/>
        </w:rPr>
      </w:pPr>
      <w:r w:rsidRPr="00BD472C">
        <w:t xml:space="preserve">Consistent with </w:t>
      </w:r>
      <w:hyperlink r:id="rId31" w:history="1">
        <w:r w:rsidRPr="00BD472C">
          <w:rPr>
            <w:rStyle w:val="Hyperlink"/>
          </w:rPr>
          <w:t>603 CMR 52.02</w:t>
        </w:r>
      </w:hyperlink>
      <w:r w:rsidRPr="00BD472C">
        <w:t>, GCVS submitted an accountability plan to ESE</w:t>
      </w:r>
      <w:r>
        <w:t xml:space="preserve">, approved by the </w:t>
      </w:r>
      <w:r w:rsidR="00E734A3">
        <w:t>GCVS</w:t>
      </w:r>
      <w:r>
        <w:t xml:space="preserve"> board on April 6, 2015,</w:t>
      </w:r>
      <w:r w:rsidRPr="00BD472C">
        <w:t xml:space="preserve"> that articulated the goals it has set to measure success. </w:t>
      </w:r>
      <w:r w:rsidRPr="00BD472C">
        <w:rPr>
          <w:rFonts w:eastAsiaTheme="minorEastAsia"/>
        </w:rPr>
        <w:t xml:space="preserve">During the February 2017 site visit, the executive director noted that the school’s accountability plan needed revision. </w:t>
      </w:r>
      <w:r w:rsidR="00E734A3">
        <w:rPr>
          <w:rFonts w:eastAsiaTheme="minorEastAsia"/>
        </w:rPr>
        <w:t>GCVS</w:t>
      </w:r>
      <w:r>
        <w:rPr>
          <w:rFonts w:eastAsiaTheme="minorEastAsia"/>
        </w:rPr>
        <w:t xml:space="preserve">’ board of trustees approved a new accountability plan as of December 11, 2017. The ESE approved this plan on January 30, 2018. </w:t>
      </w:r>
    </w:p>
    <w:p w14:paraId="4148448E" w14:textId="77777777" w:rsidR="00A6569D" w:rsidRDefault="00A6569D" w:rsidP="00A6569D">
      <w:pPr>
        <w:pBdr>
          <w:bottom w:val="single" w:sz="6" w:space="1" w:color="auto"/>
        </w:pBdr>
        <w:spacing w:after="120"/>
        <w:ind w:left="-2880"/>
      </w:pPr>
      <w:r w:rsidRPr="00BD472C">
        <w:t>Provided below is the school’s assessment of whether each goal was met, not met, or no data was available, and evidence provided by the school to support this assessment.</w:t>
      </w:r>
    </w:p>
    <w:p w14:paraId="0C7AC5FE" w14:textId="77777777" w:rsidR="00A6569D" w:rsidRPr="00EC3E3B" w:rsidRDefault="00A6569D" w:rsidP="00A6569D">
      <w:pPr>
        <w:ind w:left="-2880"/>
        <w:rPr>
          <w:rFonts w:eastAsia="Cambria" w:cstheme="minorHAnsi"/>
        </w:rPr>
      </w:pPr>
      <w:r w:rsidRPr="00EC3E3B">
        <w:rPr>
          <w:rFonts w:eastAsia="Cambria" w:cstheme="minorHAnsi"/>
          <w:b/>
          <w:i/>
        </w:rPr>
        <w:t>Accountability Goal #1</w:t>
      </w:r>
      <w:r w:rsidRPr="00EC3E3B">
        <w:rPr>
          <w:rFonts w:eastAsia="Cambria" w:cstheme="minorHAnsi"/>
          <w:b/>
        </w:rPr>
        <w:t>:</w:t>
      </w:r>
      <w:r w:rsidRPr="00EC3E3B">
        <w:rPr>
          <w:rFonts w:eastAsia="Cambria" w:cstheme="minorHAnsi"/>
        </w:rPr>
        <w:t xml:space="preserve"> Ensure that the GCVS written and enacted curriculum align to the standards of the Massachusetts Department of Elementary and Secondary Education curriculum frameworks.</w:t>
      </w:r>
    </w:p>
    <w:p w14:paraId="728162FA" w14:textId="38BABD63" w:rsidR="00A6569D" w:rsidRPr="00EC3E3B" w:rsidRDefault="00A6569D" w:rsidP="00EA7CC0">
      <w:pPr>
        <w:ind w:left="-2880"/>
        <w:rPr>
          <w:rFonts w:eastAsia="Calibri" w:cstheme="minorHAnsi"/>
        </w:rPr>
      </w:pPr>
      <w:r w:rsidRPr="00EC3E3B">
        <w:rPr>
          <w:rFonts w:eastAsia="Cambria" w:cs="Cambria"/>
          <w:b/>
          <w:i/>
        </w:rPr>
        <w:t>Rationale</w:t>
      </w:r>
      <w:r w:rsidRPr="00EC3E3B">
        <w:rPr>
          <w:rFonts w:eastAsia="Cambria" w:cs="Cambria"/>
        </w:rPr>
        <w:t>: A move to a new learning management system and curriculum curation has changed the accountability from a pre-packaged vendor to GCVS. As a result, GCVS is responsible for ensuring that both the written and enacted curriculum align to the frameworks, with the target of ensuring mastery of competencies within said frameworks.</w:t>
      </w:r>
    </w:p>
    <w:tbl>
      <w:tblPr>
        <w:tblW w:w="7230" w:type="pct"/>
        <w:tblInd w:w="-2885" w:type="dxa"/>
        <w:tblCellMar>
          <w:left w:w="0" w:type="dxa"/>
          <w:right w:w="0" w:type="dxa"/>
        </w:tblCellMar>
        <w:tblLook w:val="01E0" w:firstRow="1" w:lastRow="1" w:firstColumn="1" w:lastColumn="1" w:noHBand="0" w:noVBand="0"/>
      </w:tblPr>
      <w:tblGrid>
        <w:gridCol w:w="3960"/>
        <w:gridCol w:w="1260"/>
        <w:gridCol w:w="4136"/>
      </w:tblGrid>
      <w:tr w:rsidR="00A6569D" w:rsidRPr="00A27A5E" w14:paraId="40B5A3DB" w14:textId="77777777" w:rsidTr="004D5DE1">
        <w:trPr>
          <w:trHeight w:val="20"/>
        </w:trPr>
        <w:tc>
          <w:tcPr>
            <w:tcW w:w="2116" w:type="pct"/>
            <w:tcBorders>
              <w:top w:val="single" w:sz="4" w:space="0" w:color="000000"/>
              <w:left w:val="single" w:sz="4" w:space="0" w:color="000000"/>
              <w:bottom w:val="single" w:sz="4" w:space="0" w:color="000000"/>
              <w:right w:val="single" w:sz="4" w:space="0" w:color="000000"/>
            </w:tcBorders>
            <w:shd w:val="clear" w:color="auto" w:fill="F1F1F1"/>
            <w:vAlign w:val="center"/>
          </w:tcPr>
          <w:p w14:paraId="68BF04F5" w14:textId="77777777" w:rsidR="00A6569D" w:rsidRPr="00A27A5E" w:rsidRDefault="00A6569D" w:rsidP="002563B3">
            <w:pPr>
              <w:pStyle w:val="TableParagraph"/>
              <w:spacing w:before="60" w:after="60"/>
              <w:ind w:left="103"/>
              <w:rPr>
                <w:rFonts w:eastAsia="Calibri" w:cs="Calibri"/>
              </w:rPr>
            </w:pPr>
            <w:r w:rsidRPr="00A27A5E">
              <w:rPr>
                <w:b/>
              </w:rPr>
              <w:t>Annual</w:t>
            </w:r>
            <w:r w:rsidRPr="00A27A5E">
              <w:rPr>
                <w:b/>
                <w:spacing w:val="-9"/>
              </w:rPr>
              <w:t xml:space="preserve"> </w:t>
            </w:r>
            <w:r w:rsidRPr="00A27A5E">
              <w:rPr>
                <w:b/>
              </w:rPr>
              <w:t>Goals</w:t>
            </w:r>
          </w:p>
        </w:tc>
        <w:tc>
          <w:tcPr>
            <w:tcW w:w="673" w:type="pct"/>
            <w:tcBorders>
              <w:top w:val="single" w:sz="4" w:space="0" w:color="000000"/>
              <w:left w:val="single" w:sz="4" w:space="0" w:color="000000"/>
              <w:bottom w:val="single" w:sz="4" w:space="0" w:color="000000"/>
              <w:right w:val="single" w:sz="4" w:space="0" w:color="000000"/>
            </w:tcBorders>
            <w:shd w:val="clear" w:color="auto" w:fill="F1F1F1"/>
            <w:vAlign w:val="center"/>
          </w:tcPr>
          <w:p w14:paraId="032E19D4" w14:textId="77777777" w:rsidR="00A6569D" w:rsidRPr="00A27A5E" w:rsidRDefault="00A6569D" w:rsidP="002563B3">
            <w:pPr>
              <w:pStyle w:val="TableParagraph"/>
              <w:spacing w:before="60" w:after="60"/>
              <w:ind w:left="103"/>
              <w:rPr>
                <w:rFonts w:eastAsia="Calibri" w:cs="Calibri"/>
              </w:rPr>
            </w:pPr>
            <w:r w:rsidRPr="00A27A5E">
              <w:rPr>
                <w:b/>
              </w:rPr>
              <w:t>2017-18</w:t>
            </w:r>
          </w:p>
        </w:tc>
        <w:tc>
          <w:tcPr>
            <w:tcW w:w="2210" w:type="pct"/>
            <w:tcBorders>
              <w:top w:val="single" w:sz="4" w:space="0" w:color="000000"/>
              <w:left w:val="single" w:sz="4" w:space="0" w:color="000000"/>
              <w:bottom w:val="single" w:sz="4" w:space="0" w:color="000000"/>
              <w:right w:val="single" w:sz="4" w:space="0" w:color="000000"/>
            </w:tcBorders>
            <w:shd w:val="clear" w:color="auto" w:fill="F1F1F1"/>
            <w:vAlign w:val="center"/>
          </w:tcPr>
          <w:p w14:paraId="1AA17FEF" w14:textId="77777777" w:rsidR="00A6569D" w:rsidRPr="00A27A5E" w:rsidRDefault="00A6569D" w:rsidP="002563B3">
            <w:pPr>
              <w:pStyle w:val="TableParagraph"/>
              <w:spacing w:before="60" w:after="60"/>
              <w:ind w:left="103"/>
              <w:rPr>
                <w:rFonts w:eastAsia="Calibri" w:cs="Calibri"/>
              </w:rPr>
            </w:pPr>
            <w:r w:rsidRPr="00A27A5E">
              <w:rPr>
                <w:b/>
              </w:rPr>
              <w:t>Evidence</w:t>
            </w:r>
          </w:p>
        </w:tc>
      </w:tr>
      <w:tr w:rsidR="00A6569D" w:rsidRPr="00A27A5E" w14:paraId="0669C748" w14:textId="77777777" w:rsidTr="004D5DE1">
        <w:trPr>
          <w:trHeight w:val="20"/>
        </w:trPr>
        <w:tc>
          <w:tcPr>
            <w:tcW w:w="2116" w:type="pct"/>
            <w:tcBorders>
              <w:top w:val="single" w:sz="4" w:space="0" w:color="000000"/>
              <w:left w:val="single" w:sz="4" w:space="0" w:color="000000"/>
              <w:bottom w:val="single" w:sz="4" w:space="0" w:color="000000"/>
              <w:right w:val="single" w:sz="4" w:space="0" w:color="000000"/>
            </w:tcBorders>
          </w:tcPr>
          <w:p w14:paraId="135BE399" w14:textId="77777777" w:rsidR="00A6569D" w:rsidRPr="00A27A5E" w:rsidRDefault="00A6569D" w:rsidP="002563B3">
            <w:pPr>
              <w:ind w:left="423"/>
              <w:rPr>
                <w:rFonts w:cstheme="minorHAnsi"/>
              </w:rPr>
            </w:pPr>
            <w:r w:rsidRPr="00A27A5E">
              <w:rPr>
                <w:rFonts w:cstheme="minorHAnsi"/>
              </w:rPr>
              <w:t>1.a. Develop curriculum modules in line with Massachusetts frameworks.</w:t>
            </w:r>
          </w:p>
          <w:p w14:paraId="473732A8" w14:textId="77777777" w:rsidR="00A6569D" w:rsidRPr="00A27A5E" w:rsidRDefault="00A6569D" w:rsidP="002563B3">
            <w:pPr>
              <w:ind w:left="423"/>
              <w:rPr>
                <w:rFonts w:cstheme="minorHAnsi"/>
              </w:rPr>
            </w:pPr>
          </w:p>
          <w:p w14:paraId="603CA3E0" w14:textId="77777777" w:rsidR="00A6569D" w:rsidRPr="00A27A5E" w:rsidRDefault="00A6569D" w:rsidP="002563B3">
            <w:pPr>
              <w:pStyle w:val="TableParagraph"/>
              <w:tabs>
                <w:tab w:val="left" w:pos="464"/>
              </w:tabs>
              <w:spacing w:before="80"/>
              <w:ind w:left="463"/>
              <w:rPr>
                <w:rFonts w:eastAsia="Calibri" w:cstheme="minorHAnsi"/>
              </w:rPr>
            </w:pPr>
            <w:r w:rsidRPr="00A27A5E">
              <w:rPr>
                <w:rFonts w:cstheme="minorHAnsi"/>
              </w:rPr>
              <w:t>1.b. Review curriculum modules for adherence to curriculum frameworks and give feedback to teachers for areas of improvement.</w:t>
            </w:r>
          </w:p>
        </w:tc>
        <w:tc>
          <w:tcPr>
            <w:tcW w:w="673" w:type="pct"/>
            <w:tcBorders>
              <w:top w:val="single" w:sz="4" w:space="0" w:color="000000"/>
              <w:left w:val="single" w:sz="4" w:space="0" w:color="000000"/>
              <w:bottom w:val="single" w:sz="4" w:space="0" w:color="000000"/>
              <w:right w:val="single" w:sz="4" w:space="0" w:color="000000"/>
            </w:tcBorders>
          </w:tcPr>
          <w:p w14:paraId="1167A3F1" w14:textId="77777777" w:rsidR="00A6569D" w:rsidRPr="00A27A5E" w:rsidRDefault="00A6569D" w:rsidP="002563B3">
            <w:pPr>
              <w:pStyle w:val="TableParagraph"/>
              <w:tabs>
                <w:tab w:val="left" w:pos="382"/>
              </w:tabs>
              <w:spacing w:before="53"/>
              <w:rPr>
                <w:rFonts w:eastAsia="Calibri" w:cstheme="minorHAnsi"/>
              </w:rPr>
            </w:pPr>
            <w:r w:rsidRPr="00A27A5E">
              <w:rPr>
                <w:rFonts w:eastAsia="Calibri" w:cstheme="minorHAnsi"/>
              </w:rPr>
              <w:t>1a. Met</w:t>
            </w:r>
          </w:p>
          <w:p w14:paraId="500906AD" w14:textId="77777777" w:rsidR="00A6569D" w:rsidRPr="00A27A5E" w:rsidRDefault="00A6569D" w:rsidP="002563B3">
            <w:pPr>
              <w:pStyle w:val="TableParagraph"/>
              <w:tabs>
                <w:tab w:val="left" w:pos="382"/>
              </w:tabs>
              <w:spacing w:before="53"/>
              <w:rPr>
                <w:rFonts w:eastAsia="Calibri" w:cstheme="minorHAnsi"/>
              </w:rPr>
            </w:pPr>
          </w:p>
          <w:p w14:paraId="0552088C" w14:textId="77777777" w:rsidR="00A6569D" w:rsidRPr="00A27A5E" w:rsidRDefault="00A6569D" w:rsidP="002563B3">
            <w:pPr>
              <w:pStyle w:val="TableParagraph"/>
              <w:tabs>
                <w:tab w:val="left" w:pos="382"/>
              </w:tabs>
              <w:spacing w:before="53"/>
              <w:rPr>
                <w:rFonts w:eastAsia="Calibri" w:cstheme="minorHAnsi"/>
              </w:rPr>
            </w:pPr>
          </w:p>
          <w:p w14:paraId="371E9357" w14:textId="77777777" w:rsidR="00A6569D" w:rsidRPr="00A27A5E" w:rsidRDefault="00A6569D" w:rsidP="002563B3">
            <w:pPr>
              <w:pStyle w:val="TableParagraph"/>
              <w:tabs>
                <w:tab w:val="left" w:pos="382"/>
              </w:tabs>
              <w:spacing w:before="53"/>
              <w:rPr>
                <w:rFonts w:eastAsia="Calibri" w:cstheme="minorHAnsi"/>
              </w:rPr>
            </w:pPr>
          </w:p>
          <w:p w14:paraId="2B073817" w14:textId="75AAA131" w:rsidR="00A6569D" w:rsidRPr="00A27A5E" w:rsidRDefault="00A6569D" w:rsidP="002563B3">
            <w:pPr>
              <w:pStyle w:val="TableParagraph"/>
              <w:tabs>
                <w:tab w:val="left" w:pos="382"/>
              </w:tabs>
              <w:spacing w:before="53"/>
              <w:rPr>
                <w:rFonts w:eastAsia="Calibri" w:cstheme="minorHAnsi"/>
              </w:rPr>
            </w:pPr>
            <w:r w:rsidRPr="00A27A5E">
              <w:rPr>
                <w:rFonts w:eastAsia="Calibri" w:cstheme="minorHAnsi"/>
              </w:rPr>
              <w:t>1b. Not Met</w:t>
            </w:r>
          </w:p>
          <w:p w14:paraId="4EFF88C5" w14:textId="77777777" w:rsidR="00A6569D" w:rsidRPr="00A27A5E" w:rsidRDefault="00A6569D" w:rsidP="002563B3">
            <w:pPr>
              <w:pStyle w:val="TableParagraph"/>
              <w:tabs>
                <w:tab w:val="left" w:pos="382"/>
              </w:tabs>
              <w:spacing w:before="51" w:line="244" w:lineRule="auto"/>
              <w:ind w:left="103" w:right="402"/>
              <w:rPr>
                <w:rFonts w:eastAsia="Calibri" w:cstheme="minorHAnsi"/>
              </w:rPr>
            </w:pPr>
          </w:p>
        </w:tc>
        <w:tc>
          <w:tcPr>
            <w:tcW w:w="2210" w:type="pct"/>
            <w:tcBorders>
              <w:top w:val="single" w:sz="4" w:space="0" w:color="000000"/>
              <w:left w:val="single" w:sz="4" w:space="0" w:color="000000"/>
              <w:bottom w:val="single" w:sz="4" w:space="0" w:color="000000"/>
              <w:right w:val="single" w:sz="4" w:space="0" w:color="000000"/>
            </w:tcBorders>
          </w:tcPr>
          <w:p w14:paraId="3C2ED32B" w14:textId="77777777" w:rsidR="00A6569D" w:rsidRPr="00A27A5E" w:rsidRDefault="00A6569D" w:rsidP="002563B3">
            <w:r w:rsidRPr="00A27A5E">
              <w:rPr>
                <w:rFonts w:cstheme="minorHAnsi"/>
              </w:rPr>
              <w:t xml:space="preserve">1a. School reports that in 2017-2018: </w:t>
            </w:r>
            <w:r w:rsidRPr="00A27A5E">
              <w:t>Review of modules in Canvas show 90% or better scoring 3 out of 4 on the rubric.</w:t>
            </w:r>
          </w:p>
          <w:p w14:paraId="2A46C900" w14:textId="77777777" w:rsidR="004D5DE1" w:rsidRDefault="004D5DE1" w:rsidP="00A6569D"/>
          <w:p w14:paraId="4F65909D" w14:textId="6B43FCD1" w:rsidR="00A6569D" w:rsidRPr="00A27A5E" w:rsidRDefault="00A6569D" w:rsidP="00A6569D">
            <w:pPr>
              <w:rPr>
                <w:rFonts w:cstheme="minorHAnsi"/>
              </w:rPr>
            </w:pPr>
            <w:r w:rsidRPr="00A27A5E">
              <w:t>1b. School reports that in 2017-2018: Ongoing reviews do not yet show 100% of modules scoring 3 out of 4 on the rubric.</w:t>
            </w:r>
          </w:p>
        </w:tc>
      </w:tr>
      <w:tr w:rsidR="00A6569D" w:rsidRPr="00A27A5E" w14:paraId="30E0E79E" w14:textId="77777777" w:rsidTr="004D5DE1">
        <w:trPr>
          <w:trHeight w:val="20"/>
        </w:trPr>
        <w:tc>
          <w:tcPr>
            <w:tcW w:w="2116" w:type="pct"/>
            <w:tcBorders>
              <w:top w:val="single" w:sz="4" w:space="0" w:color="000000"/>
              <w:left w:val="single" w:sz="4" w:space="0" w:color="000000"/>
              <w:bottom w:val="single" w:sz="4" w:space="0" w:color="000000"/>
              <w:right w:val="single" w:sz="4" w:space="0" w:color="000000"/>
            </w:tcBorders>
          </w:tcPr>
          <w:p w14:paraId="230ECC61" w14:textId="77777777" w:rsidR="00A6569D" w:rsidRPr="00A27A5E" w:rsidRDefault="00A6569D" w:rsidP="002563B3">
            <w:pPr>
              <w:ind w:left="423" w:firstLine="37"/>
              <w:rPr>
                <w:rFonts w:cstheme="minorHAnsi"/>
              </w:rPr>
            </w:pPr>
            <w:r w:rsidRPr="00A27A5E">
              <w:rPr>
                <w:rFonts w:cstheme="minorHAnsi"/>
              </w:rPr>
              <w:t>2.a. Develop walk-through and clinical supervision observation protocols in line with expected online teaching practices rubric delineated by ESE</w:t>
            </w:r>
          </w:p>
          <w:p w14:paraId="09C37A10" w14:textId="77777777" w:rsidR="00A6569D" w:rsidRPr="00A27A5E" w:rsidRDefault="00A6569D" w:rsidP="002563B3">
            <w:pPr>
              <w:ind w:left="423" w:firstLine="37"/>
              <w:rPr>
                <w:rFonts w:cstheme="minorHAnsi"/>
              </w:rPr>
            </w:pPr>
          </w:p>
          <w:p w14:paraId="2B2E5C9B" w14:textId="77777777" w:rsidR="00A6569D" w:rsidRPr="00A27A5E" w:rsidRDefault="00A6569D" w:rsidP="002563B3">
            <w:pPr>
              <w:ind w:left="423" w:firstLine="37"/>
              <w:rPr>
                <w:rFonts w:cstheme="minorHAnsi"/>
              </w:rPr>
            </w:pPr>
            <w:r w:rsidRPr="00A27A5E">
              <w:rPr>
                <w:rFonts w:cstheme="minorHAnsi"/>
              </w:rPr>
              <w:t>2.b. Train teachers in the rubric/observation protocols</w:t>
            </w:r>
          </w:p>
          <w:p w14:paraId="2CA360E7" w14:textId="77777777" w:rsidR="00A6569D" w:rsidRPr="00A27A5E" w:rsidRDefault="00A6569D" w:rsidP="002563B3">
            <w:pPr>
              <w:ind w:left="423" w:firstLine="37"/>
              <w:rPr>
                <w:rFonts w:cstheme="minorHAnsi"/>
              </w:rPr>
            </w:pPr>
          </w:p>
          <w:p w14:paraId="362066DA" w14:textId="77777777" w:rsidR="00A6569D" w:rsidRPr="00A27A5E" w:rsidRDefault="00A6569D" w:rsidP="002563B3">
            <w:pPr>
              <w:ind w:left="423"/>
              <w:rPr>
                <w:rFonts w:cstheme="minorHAnsi"/>
              </w:rPr>
            </w:pPr>
            <w:r w:rsidRPr="00A27A5E">
              <w:rPr>
                <w:rFonts w:cstheme="minorHAnsi"/>
              </w:rPr>
              <w:t>2.c. Conduct observations of lessons, provide feedback, and document growth</w:t>
            </w:r>
          </w:p>
        </w:tc>
        <w:tc>
          <w:tcPr>
            <w:tcW w:w="673" w:type="pct"/>
            <w:tcBorders>
              <w:top w:val="single" w:sz="4" w:space="0" w:color="000000"/>
              <w:left w:val="single" w:sz="4" w:space="0" w:color="000000"/>
              <w:bottom w:val="single" w:sz="4" w:space="0" w:color="000000"/>
              <w:right w:val="single" w:sz="4" w:space="0" w:color="000000"/>
            </w:tcBorders>
          </w:tcPr>
          <w:p w14:paraId="1416845A" w14:textId="77777777" w:rsidR="00A6569D" w:rsidRPr="00A27A5E" w:rsidRDefault="00A6569D" w:rsidP="002563B3">
            <w:pPr>
              <w:pStyle w:val="TableParagraph"/>
              <w:tabs>
                <w:tab w:val="left" w:pos="382"/>
              </w:tabs>
              <w:spacing w:before="53"/>
              <w:rPr>
                <w:rFonts w:eastAsia="Calibri" w:cstheme="minorHAnsi"/>
              </w:rPr>
            </w:pPr>
            <w:r w:rsidRPr="00A27A5E">
              <w:rPr>
                <w:rFonts w:eastAsia="Calibri" w:cstheme="minorHAnsi"/>
              </w:rPr>
              <w:t>2a. Met</w:t>
            </w:r>
          </w:p>
          <w:p w14:paraId="3EE02B4A" w14:textId="77777777" w:rsidR="00A6569D" w:rsidRPr="00A27A5E" w:rsidRDefault="00A6569D" w:rsidP="002563B3">
            <w:pPr>
              <w:pStyle w:val="TableParagraph"/>
              <w:tabs>
                <w:tab w:val="left" w:pos="382"/>
              </w:tabs>
              <w:spacing w:before="53"/>
              <w:rPr>
                <w:rFonts w:eastAsia="Calibri" w:cstheme="minorHAnsi"/>
              </w:rPr>
            </w:pPr>
          </w:p>
          <w:p w14:paraId="38E9915F" w14:textId="77777777" w:rsidR="00A6569D" w:rsidRPr="00A27A5E" w:rsidRDefault="00A6569D" w:rsidP="002563B3">
            <w:pPr>
              <w:pStyle w:val="TableParagraph"/>
              <w:tabs>
                <w:tab w:val="left" w:pos="382"/>
              </w:tabs>
              <w:spacing w:before="53"/>
              <w:rPr>
                <w:rFonts w:eastAsia="Calibri" w:cstheme="minorHAnsi"/>
              </w:rPr>
            </w:pPr>
          </w:p>
          <w:p w14:paraId="737ABB08" w14:textId="3EB62696" w:rsidR="00A6569D" w:rsidRDefault="00A6569D" w:rsidP="002563B3">
            <w:pPr>
              <w:pStyle w:val="TableParagraph"/>
              <w:tabs>
                <w:tab w:val="left" w:pos="382"/>
              </w:tabs>
              <w:spacing w:before="53"/>
              <w:rPr>
                <w:rFonts w:eastAsia="Calibri" w:cstheme="minorHAnsi"/>
              </w:rPr>
            </w:pPr>
          </w:p>
          <w:p w14:paraId="6CF326F9" w14:textId="77777777" w:rsidR="004D5DE1" w:rsidRPr="00A27A5E" w:rsidRDefault="004D5DE1" w:rsidP="002563B3">
            <w:pPr>
              <w:pStyle w:val="TableParagraph"/>
              <w:tabs>
                <w:tab w:val="left" w:pos="382"/>
              </w:tabs>
              <w:spacing w:before="53"/>
              <w:rPr>
                <w:rFonts w:eastAsia="Calibri" w:cstheme="minorHAnsi"/>
              </w:rPr>
            </w:pPr>
          </w:p>
          <w:p w14:paraId="466613B9" w14:textId="77777777" w:rsidR="00A6569D" w:rsidRPr="00A27A5E" w:rsidRDefault="00A6569D" w:rsidP="002563B3">
            <w:pPr>
              <w:pStyle w:val="TableParagraph"/>
              <w:tabs>
                <w:tab w:val="left" w:pos="382"/>
              </w:tabs>
              <w:spacing w:before="53"/>
              <w:rPr>
                <w:rFonts w:eastAsia="Calibri" w:cstheme="minorHAnsi"/>
              </w:rPr>
            </w:pPr>
            <w:r w:rsidRPr="00A27A5E">
              <w:rPr>
                <w:rFonts w:eastAsia="Calibri" w:cstheme="minorHAnsi"/>
              </w:rPr>
              <w:t>2b. Met</w:t>
            </w:r>
          </w:p>
          <w:p w14:paraId="550F76C0" w14:textId="77777777" w:rsidR="00A6569D" w:rsidRPr="00A27A5E" w:rsidRDefault="00A6569D" w:rsidP="002563B3">
            <w:pPr>
              <w:pStyle w:val="TableParagraph"/>
              <w:tabs>
                <w:tab w:val="left" w:pos="382"/>
              </w:tabs>
              <w:spacing w:before="53"/>
              <w:rPr>
                <w:rFonts w:eastAsia="Calibri" w:cstheme="minorHAnsi"/>
              </w:rPr>
            </w:pPr>
          </w:p>
          <w:p w14:paraId="4D4B75B9" w14:textId="77777777" w:rsidR="00A6569D" w:rsidRPr="00A27A5E" w:rsidRDefault="00A6569D" w:rsidP="002563B3">
            <w:pPr>
              <w:pStyle w:val="TableParagraph"/>
              <w:tabs>
                <w:tab w:val="left" w:pos="382"/>
              </w:tabs>
              <w:spacing w:before="53"/>
              <w:rPr>
                <w:rFonts w:eastAsia="Calibri" w:cstheme="minorHAnsi"/>
              </w:rPr>
            </w:pPr>
          </w:p>
          <w:p w14:paraId="2D9A34EA" w14:textId="77777777" w:rsidR="00A6569D" w:rsidRPr="00A27A5E" w:rsidRDefault="00A6569D" w:rsidP="002563B3">
            <w:pPr>
              <w:pStyle w:val="TableParagraph"/>
              <w:tabs>
                <w:tab w:val="left" w:pos="382"/>
              </w:tabs>
              <w:spacing w:before="53"/>
              <w:rPr>
                <w:rFonts w:eastAsia="Calibri" w:cstheme="minorHAnsi"/>
              </w:rPr>
            </w:pPr>
          </w:p>
          <w:p w14:paraId="0FECC243" w14:textId="77777777" w:rsidR="00A6569D" w:rsidRPr="00A27A5E" w:rsidRDefault="00A6569D" w:rsidP="002563B3">
            <w:pPr>
              <w:pStyle w:val="TableParagraph"/>
              <w:tabs>
                <w:tab w:val="left" w:pos="382"/>
              </w:tabs>
              <w:spacing w:before="53"/>
              <w:rPr>
                <w:rFonts w:eastAsia="Calibri" w:cstheme="minorHAnsi"/>
              </w:rPr>
            </w:pPr>
            <w:r w:rsidRPr="00A27A5E">
              <w:rPr>
                <w:rFonts w:eastAsia="Calibri" w:cstheme="minorHAnsi"/>
              </w:rPr>
              <w:t>2c. Met</w:t>
            </w:r>
          </w:p>
        </w:tc>
        <w:tc>
          <w:tcPr>
            <w:tcW w:w="2210" w:type="pct"/>
            <w:tcBorders>
              <w:top w:val="single" w:sz="4" w:space="0" w:color="000000"/>
              <w:left w:val="single" w:sz="4" w:space="0" w:color="000000"/>
              <w:bottom w:val="single" w:sz="4" w:space="0" w:color="000000"/>
              <w:right w:val="single" w:sz="4" w:space="0" w:color="000000"/>
            </w:tcBorders>
          </w:tcPr>
          <w:p w14:paraId="08E5423C" w14:textId="6548D0D0" w:rsidR="00A6569D" w:rsidRPr="00A27A5E" w:rsidRDefault="00A6569D" w:rsidP="002563B3">
            <w:pPr>
              <w:pStyle w:val="TableParagraph"/>
              <w:spacing w:after="60"/>
              <w:ind w:left="103"/>
              <w:rPr>
                <w:rFonts w:cstheme="minorHAnsi"/>
              </w:rPr>
            </w:pPr>
            <w:r w:rsidRPr="00A27A5E">
              <w:rPr>
                <w:rFonts w:cstheme="minorHAnsi"/>
              </w:rPr>
              <w:t xml:space="preserve">2a. School reports that in 2017-2018: </w:t>
            </w:r>
            <w:r w:rsidR="00E734A3">
              <w:rPr>
                <w:rFonts w:cstheme="minorHAnsi"/>
              </w:rPr>
              <w:t>GCVS</w:t>
            </w:r>
            <w:r w:rsidRPr="00A27A5E">
              <w:rPr>
                <w:rFonts w:cstheme="minorHAnsi"/>
              </w:rPr>
              <w:t xml:space="preserve"> developed observation templates aligned with the ESE rubric on teachpoint. </w:t>
            </w:r>
          </w:p>
          <w:p w14:paraId="5E2AAC9F" w14:textId="77777777" w:rsidR="00A6569D" w:rsidRPr="00A27A5E" w:rsidRDefault="00A6569D" w:rsidP="002563B3">
            <w:pPr>
              <w:pStyle w:val="TableParagraph"/>
              <w:spacing w:after="60"/>
              <w:ind w:left="103"/>
              <w:rPr>
                <w:rFonts w:cstheme="minorHAnsi"/>
              </w:rPr>
            </w:pPr>
          </w:p>
          <w:p w14:paraId="262D2BC7" w14:textId="0C528E2B" w:rsidR="00A6569D" w:rsidRDefault="00A6569D" w:rsidP="002563B3">
            <w:pPr>
              <w:pStyle w:val="TableParagraph"/>
              <w:spacing w:after="60"/>
              <w:ind w:left="103"/>
              <w:rPr>
                <w:rFonts w:cstheme="minorHAnsi"/>
              </w:rPr>
            </w:pPr>
            <w:r w:rsidRPr="00A27A5E">
              <w:rPr>
                <w:rFonts w:cstheme="minorHAnsi"/>
              </w:rPr>
              <w:t xml:space="preserve">2b. School reports that in 2017-2018: </w:t>
            </w:r>
            <w:r w:rsidR="00E734A3">
              <w:rPr>
                <w:rFonts w:cstheme="minorHAnsi"/>
              </w:rPr>
              <w:t>GCVS</w:t>
            </w:r>
            <w:r w:rsidRPr="00A27A5E">
              <w:rPr>
                <w:rFonts w:cstheme="minorHAnsi"/>
              </w:rPr>
              <w:t xml:space="preserve"> developed a Canvas course for educator evaluation and devoted professional development to train teachers on these protocols. </w:t>
            </w:r>
          </w:p>
          <w:p w14:paraId="5624AD29" w14:textId="77777777" w:rsidR="004D5DE1" w:rsidRPr="00A27A5E" w:rsidRDefault="004D5DE1" w:rsidP="002563B3">
            <w:pPr>
              <w:pStyle w:val="TableParagraph"/>
              <w:spacing w:after="60"/>
              <w:ind w:left="103"/>
              <w:rPr>
                <w:rFonts w:cstheme="minorHAnsi"/>
              </w:rPr>
            </w:pPr>
          </w:p>
          <w:p w14:paraId="2DF526DE" w14:textId="77777777" w:rsidR="00A6569D" w:rsidRPr="00A27A5E" w:rsidRDefault="00A6569D" w:rsidP="002563B3">
            <w:pPr>
              <w:pStyle w:val="TableParagraph"/>
              <w:spacing w:after="60"/>
              <w:ind w:left="103"/>
              <w:rPr>
                <w:rFonts w:cstheme="minorHAnsi"/>
              </w:rPr>
            </w:pPr>
            <w:r w:rsidRPr="00A27A5E">
              <w:rPr>
                <w:rFonts w:cstheme="minorHAnsi"/>
              </w:rPr>
              <w:t xml:space="preserve">2c. School reports that in 2017-2018: observations were conducted and 90% or more staff received a proficient or higher on standards 1 and 2 of the educator evaluation rubric. </w:t>
            </w:r>
          </w:p>
        </w:tc>
      </w:tr>
    </w:tbl>
    <w:p w14:paraId="159EFBC9" w14:textId="77777777" w:rsidR="00A6569D" w:rsidRDefault="00A6569D" w:rsidP="00A6569D">
      <w:pPr>
        <w:ind w:left="-2880"/>
        <w:rPr>
          <w:rFonts w:eastAsia="Cambria" w:cs="Cambria"/>
          <w:b/>
          <w:i/>
        </w:rPr>
      </w:pPr>
    </w:p>
    <w:p w14:paraId="2768A121" w14:textId="6B28C1C8" w:rsidR="00A6569D" w:rsidRPr="00EC3E3B" w:rsidRDefault="00A6569D" w:rsidP="00A6569D">
      <w:pPr>
        <w:ind w:left="-2880"/>
        <w:rPr>
          <w:rFonts w:eastAsia="Cambria" w:cs="Cambria"/>
        </w:rPr>
      </w:pPr>
      <w:r w:rsidRPr="00EC3E3B">
        <w:rPr>
          <w:rFonts w:eastAsia="Cambria" w:cs="Cambria"/>
          <w:b/>
          <w:i/>
        </w:rPr>
        <w:lastRenderedPageBreak/>
        <w:t>Accountability Goal #2</w:t>
      </w:r>
      <w:r w:rsidRPr="00EC3E3B">
        <w:rPr>
          <w:rFonts w:eastAsia="Cambria" w:cs="Cambria"/>
        </w:rPr>
        <w:t>: Develop a comprehensive assessment system and analysis protocols designed to measure and improve competencies in relation the Massachusetts curriculum frameworks, to be measured by increases in the percentage of student meeting/exceeding expectations on MCAS by closing gaps between the school’s average and the state average in all subgroups.</w:t>
      </w:r>
    </w:p>
    <w:p w14:paraId="73FA24DC" w14:textId="77777777" w:rsidR="00A6569D" w:rsidRPr="004378BC" w:rsidRDefault="00A6569D" w:rsidP="00A6569D">
      <w:pPr>
        <w:ind w:left="-2880"/>
        <w:rPr>
          <w:sz w:val="26"/>
          <w:szCs w:val="26"/>
        </w:rPr>
      </w:pPr>
      <w:r w:rsidRPr="00EC3E3B">
        <w:rPr>
          <w:rFonts w:eastAsia="Cambria" w:cs="Cambria"/>
          <w:b/>
          <w:i/>
        </w:rPr>
        <w:t>Rationale</w:t>
      </w:r>
      <w:r w:rsidRPr="00EC3E3B">
        <w:rPr>
          <w:rFonts w:eastAsia="Cambria" w:cs="Cambria"/>
        </w:rPr>
        <w:t>: Conditions in the GCVS certificate for improvement in student outcomes, coupled with the move to a new curriculum requires that we develop and implement a comprehensive school-based assessment system, along with measures for gathering and analyzing data for the purposes of curricular and instructional improvement.</w:t>
      </w:r>
    </w:p>
    <w:tbl>
      <w:tblPr>
        <w:tblW w:w="7230" w:type="pct"/>
        <w:tblInd w:w="-2885" w:type="dxa"/>
        <w:tblCellMar>
          <w:left w:w="0" w:type="dxa"/>
          <w:right w:w="0" w:type="dxa"/>
        </w:tblCellMar>
        <w:tblLook w:val="01E0" w:firstRow="1" w:lastRow="1" w:firstColumn="1" w:lastColumn="1" w:noHBand="0" w:noVBand="0"/>
      </w:tblPr>
      <w:tblGrid>
        <w:gridCol w:w="3960"/>
        <w:gridCol w:w="1261"/>
        <w:gridCol w:w="4135"/>
      </w:tblGrid>
      <w:tr w:rsidR="00A6569D" w:rsidRPr="004378BC" w14:paraId="56701270" w14:textId="77777777" w:rsidTr="004D5DE1">
        <w:trPr>
          <w:trHeight w:val="20"/>
        </w:trPr>
        <w:tc>
          <w:tcPr>
            <w:tcW w:w="2116" w:type="pct"/>
            <w:tcBorders>
              <w:top w:val="single" w:sz="4" w:space="0" w:color="000000"/>
              <w:left w:val="single" w:sz="4" w:space="0" w:color="000000"/>
              <w:bottom w:val="single" w:sz="4" w:space="0" w:color="000000"/>
              <w:right w:val="single" w:sz="4" w:space="0" w:color="000000"/>
            </w:tcBorders>
            <w:shd w:val="clear" w:color="auto" w:fill="F1F1F1"/>
            <w:vAlign w:val="center"/>
          </w:tcPr>
          <w:p w14:paraId="5E64FCC3" w14:textId="77777777" w:rsidR="00A6569D" w:rsidRPr="004378BC" w:rsidRDefault="00A6569D" w:rsidP="002563B3">
            <w:pPr>
              <w:pStyle w:val="TableParagraph"/>
              <w:spacing w:before="60" w:after="60"/>
              <w:ind w:left="103"/>
              <w:rPr>
                <w:rFonts w:eastAsia="Calibri" w:cs="Calibri"/>
                <w:sz w:val="19"/>
                <w:szCs w:val="19"/>
              </w:rPr>
            </w:pPr>
            <w:r w:rsidRPr="004378BC">
              <w:rPr>
                <w:b/>
                <w:sz w:val="19"/>
              </w:rPr>
              <w:t>Annual</w:t>
            </w:r>
            <w:r w:rsidRPr="004378BC">
              <w:rPr>
                <w:b/>
                <w:spacing w:val="-9"/>
                <w:sz w:val="19"/>
              </w:rPr>
              <w:t xml:space="preserve"> </w:t>
            </w:r>
            <w:r w:rsidRPr="004378BC">
              <w:rPr>
                <w:b/>
                <w:sz w:val="19"/>
              </w:rPr>
              <w:t>Goals</w:t>
            </w:r>
          </w:p>
        </w:tc>
        <w:tc>
          <w:tcPr>
            <w:tcW w:w="674" w:type="pct"/>
            <w:tcBorders>
              <w:top w:val="single" w:sz="4" w:space="0" w:color="000000"/>
              <w:left w:val="single" w:sz="4" w:space="0" w:color="000000"/>
              <w:bottom w:val="single" w:sz="4" w:space="0" w:color="000000"/>
              <w:right w:val="single" w:sz="4" w:space="0" w:color="000000"/>
            </w:tcBorders>
            <w:shd w:val="clear" w:color="auto" w:fill="F1F1F1"/>
            <w:vAlign w:val="center"/>
          </w:tcPr>
          <w:p w14:paraId="6341B3F5" w14:textId="77777777" w:rsidR="00A6569D" w:rsidRPr="004378BC" w:rsidRDefault="00A6569D" w:rsidP="002563B3">
            <w:pPr>
              <w:pStyle w:val="TableParagraph"/>
              <w:spacing w:before="60" w:after="60"/>
              <w:ind w:left="103"/>
              <w:rPr>
                <w:rFonts w:eastAsia="Calibri" w:cs="Calibri"/>
                <w:sz w:val="19"/>
                <w:szCs w:val="19"/>
              </w:rPr>
            </w:pPr>
            <w:r>
              <w:rPr>
                <w:b/>
                <w:sz w:val="19"/>
              </w:rPr>
              <w:t>2017-18</w:t>
            </w:r>
          </w:p>
        </w:tc>
        <w:tc>
          <w:tcPr>
            <w:tcW w:w="2210" w:type="pct"/>
            <w:tcBorders>
              <w:top w:val="single" w:sz="4" w:space="0" w:color="000000"/>
              <w:left w:val="single" w:sz="4" w:space="0" w:color="000000"/>
              <w:bottom w:val="single" w:sz="4" w:space="0" w:color="000000"/>
              <w:right w:val="single" w:sz="4" w:space="0" w:color="000000"/>
            </w:tcBorders>
            <w:shd w:val="clear" w:color="auto" w:fill="F1F1F1"/>
            <w:vAlign w:val="center"/>
          </w:tcPr>
          <w:p w14:paraId="6AA1A627" w14:textId="77777777" w:rsidR="00A6569D" w:rsidRPr="004378BC" w:rsidRDefault="00A6569D" w:rsidP="002563B3">
            <w:pPr>
              <w:pStyle w:val="TableParagraph"/>
              <w:spacing w:before="60" w:after="60"/>
              <w:ind w:left="103"/>
              <w:rPr>
                <w:rFonts w:eastAsia="Calibri" w:cs="Calibri"/>
                <w:sz w:val="19"/>
                <w:szCs w:val="19"/>
              </w:rPr>
            </w:pPr>
            <w:r w:rsidRPr="004378BC">
              <w:rPr>
                <w:b/>
                <w:sz w:val="19"/>
              </w:rPr>
              <w:t>Evidence</w:t>
            </w:r>
          </w:p>
        </w:tc>
      </w:tr>
      <w:tr w:rsidR="00A6569D" w:rsidRPr="00F43C38" w14:paraId="494D2A24" w14:textId="77777777" w:rsidTr="004D5DE1">
        <w:trPr>
          <w:trHeight w:val="20"/>
        </w:trPr>
        <w:tc>
          <w:tcPr>
            <w:tcW w:w="2116" w:type="pct"/>
            <w:tcBorders>
              <w:top w:val="single" w:sz="4" w:space="0" w:color="000000"/>
              <w:left w:val="single" w:sz="4" w:space="0" w:color="000000"/>
              <w:bottom w:val="single" w:sz="4" w:space="0" w:color="000000"/>
              <w:right w:val="single" w:sz="4" w:space="0" w:color="000000"/>
            </w:tcBorders>
          </w:tcPr>
          <w:p w14:paraId="24803E96" w14:textId="77777777" w:rsidR="00A6569D" w:rsidRDefault="00A6569D" w:rsidP="002563B3">
            <w:pPr>
              <w:ind w:left="423"/>
              <w:rPr>
                <w:rFonts w:cstheme="minorHAnsi"/>
              </w:rPr>
            </w:pPr>
            <w:r w:rsidRPr="00F43C38">
              <w:rPr>
                <w:rFonts w:cstheme="minorHAnsi"/>
              </w:rPr>
              <w:t>1.a. Get Data dashboard system into place for analysis of assessment data.</w:t>
            </w:r>
          </w:p>
          <w:p w14:paraId="66EDC98C" w14:textId="77777777" w:rsidR="00A6569D" w:rsidRDefault="00A6569D" w:rsidP="002563B3">
            <w:pPr>
              <w:ind w:left="423"/>
              <w:rPr>
                <w:rFonts w:cstheme="minorHAnsi"/>
              </w:rPr>
            </w:pPr>
          </w:p>
          <w:p w14:paraId="38ADB9D7" w14:textId="77777777" w:rsidR="00A6569D" w:rsidRDefault="00A6569D" w:rsidP="002563B3">
            <w:pPr>
              <w:ind w:left="423"/>
              <w:rPr>
                <w:rFonts w:cstheme="minorHAnsi"/>
              </w:rPr>
            </w:pPr>
            <w:r w:rsidRPr="00F43C38">
              <w:rPr>
                <w:rFonts w:cstheme="minorHAnsi"/>
              </w:rPr>
              <w:t>1.b. Train all educators on the use of the system to inform curriculum and instruction decisions.</w:t>
            </w:r>
          </w:p>
          <w:p w14:paraId="7530F6A7" w14:textId="77777777" w:rsidR="00A6569D" w:rsidRPr="00F43C38" w:rsidRDefault="00A6569D" w:rsidP="002563B3">
            <w:pPr>
              <w:ind w:left="423"/>
              <w:rPr>
                <w:rFonts w:cstheme="minorHAnsi"/>
              </w:rPr>
            </w:pPr>
          </w:p>
          <w:p w14:paraId="72734818" w14:textId="77777777" w:rsidR="00A6569D" w:rsidRPr="00F43C38" w:rsidRDefault="00A6569D" w:rsidP="002563B3">
            <w:pPr>
              <w:pStyle w:val="TableParagraph"/>
              <w:tabs>
                <w:tab w:val="left" w:pos="464"/>
              </w:tabs>
              <w:spacing w:before="80"/>
              <w:ind w:left="463"/>
              <w:rPr>
                <w:rFonts w:eastAsia="Calibri" w:cstheme="minorHAnsi"/>
              </w:rPr>
            </w:pPr>
            <w:r w:rsidRPr="00F43C38">
              <w:rPr>
                <w:rFonts w:cstheme="minorHAnsi"/>
              </w:rPr>
              <w:t>1.c. Implement data protocols for examination of data and their impact on the teaching and learning process</w:t>
            </w:r>
          </w:p>
        </w:tc>
        <w:tc>
          <w:tcPr>
            <w:tcW w:w="674" w:type="pct"/>
            <w:tcBorders>
              <w:top w:val="single" w:sz="4" w:space="0" w:color="000000"/>
              <w:left w:val="single" w:sz="4" w:space="0" w:color="000000"/>
              <w:bottom w:val="single" w:sz="4" w:space="0" w:color="000000"/>
              <w:right w:val="single" w:sz="4" w:space="0" w:color="000000"/>
            </w:tcBorders>
          </w:tcPr>
          <w:p w14:paraId="4BA1C26B" w14:textId="77777777" w:rsidR="00A6569D" w:rsidRPr="00F43C38" w:rsidRDefault="00A6569D" w:rsidP="002563B3">
            <w:pPr>
              <w:pStyle w:val="TableParagraph"/>
              <w:tabs>
                <w:tab w:val="left" w:pos="382"/>
              </w:tabs>
              <w:spacing w:before="53"/>
              <w:rPr>
                <w:rFonts w:eastAsia="Calibri" w:cstheme="minorHAnsi"/>
              </w:rPr>
            </w:pPr>
            <w:r>
              <w:rPr>
                <w:rFonts w:eastAsia="Calibri" w:cstheme="minorHAnsi"/>
              </w:rPr>
              <w:t>1a. Met</w:t>
            </w:r>
          </w:p>
          <w:p w14:paraId="17AC6CE6" w14:textId="77777777" w:rsidR="00A6569D" w:rsidRDefault="00A6569D" w:rsidP="002563B3">
            <w:pPr>
              <w:pStyle w:val="TableParagraph"/>
              <w:tabs>
                <w:tab w:val="left" w:pos="382"/>
              </w:tabs>
              <w:spacing w:before="51" w:line="244" w:lineRule="auto"/>
              <w:ind w:left="103" w:right="402"/>
              <w:rPr>
                <w:rFonts w:eastAsia="Calibri" w:cstheme="minorHAnsi"/>
              </w:rPr>
            </w:pPr>
          </w:p>
          <w:p w14:paraId="4CDA67DB" w14:textId="77777777" w:rsidR="00A6569D" w:rsidRDefault="00A6569D" w:rsidP="002563B3">
            <w:pPr>
              <w:pStyle w:val="TableParagraph"/>
              <w:tabs>
                <w:tab w:val="left" w:pos="382"/>
              </w:tabs>
              <w:spacing w:before="51" w:line="244" w:lineRule="auto"/>
              <w:ind w:left="103" w:right="402"/>
              <w:rPr>
                <w:rFonts w:eastAsia="Calibri" w:cstheme="minorHAnsi"/>
              </w:rPr>
            </w:pPr>
          </w:p>
          <w:p w14:paraId="71CF0E27" w14:textId="77777777" w:rsidR="00A6569D" w:rsidRDefault="00A6569D" w:rsidP="002563B3">
            <w:pPr>
              <w:pStyle w:val="TableParagraph"/>
              <w:tabs>
                <w:tab w:val="left" w:pos="382"/>
              </w:tabs>
              <w:spacing w:before="51" w:line="244" w:lineRule="auto"/>
              <w:ind w:left="103" w:right="402"/>
              <w:rPr>
                <w:rFonts w:eastAsia="Calibri" w:cstheme="minorHAnsi"/>
              </w:rPr>
            </w:pPr>
          </w:p>
          <w:p w14:paraId="2F5EE6F4" w14:textId="77777777" w:rsidR="00A6569D" w:rsidRDefault="00A6569D" w:rsidP="002563B3">
            <w:pPr>
              <w:pStyle w:val="TableParagraph"/>
              <w:tabs>
                <w:tab w:val="left" w:pos="382"/>
              </w:tabs>
              <w:spacing w:before="51" w:line="244" w:lineRule="auto"/>
              <w:ind w:right="402"/>
              <w:rPr>
                <w:rFonts w:eastAsia="Calibri" w:cstheme="minorHAnsi"/>
              </w:rPr>
            </w:pPr>
            <w:r>
              <w:rPr>
                <w:rFonts w:eastAsia="Calibri" w:cstheme="minorHAnsi"/>
              </w:rPr>
              <w:t>1b. Met</w:t>
            </w:r>
          </w:p>
          <w:p w14:paraId="66CEF0FC" w14:textId="77777777" w:rsidR="00A6569D" w:rsidRDefault="00A6569D" w:rsidP="002563B3">
            <w:pPr>
              <w:pStyle w:val="TableParagraph"/>
              <w:tabs>
                <w:tab w:val="left" w:pos="382"/>
              </w:tabs>
              <w:spacing w:before="51" w:line="244" w:lineRule="auto"/>
              <w:ind w:right="402"/>
              <w:rPr>
                <w:rFonts w:eastAsia="Calibri" w:cstheme="minorHAnsi"/>
              </w:rPr>
            </w:pPr>
          </w:p>
          <w:p w14:paraId="2BFFE54A" w14:textId="77777777" w:rsidR="00A6569D" w:rsidRDefault="00A6569D" w:rsidP="002563B3">
            <w:pPr>
              <w:pStyle w:val="TableParagraph"/>
              <w:tabs>
                <w:tab w:val="left" w:pos="382"/>
              </w:tabs>
              <w:spacing w:before="51" w:line="244" w:lineRule="auto"/>
              <w:ind w:right="402"/>
              <w:rPr>
                <w:rFonts w:eastAsia="Calibri" w:cstheme="minorHAnsi"/>
              </w:rPr>
            </w:pPr>
          </w:p>
          <w:p w14:paraId="51E9D9BA" w14:textId="77777777" w:rsidR="00A6569D" w:rsidRDefault="00A6569D" w:rsidP="002563B3">
            <w:pPr>
              <w:pStyle w:val="TableParagraph"/>
              <w:tabs>
                <w:tab w:val="left" w:pos="382"/>
              </w:tabs>
              <w:spacing w:before="51" w:line="244" w:lineRule="auto"/>
              <w:ind w:right="402"/>
              <w:rPr>
                <w:rFonts w:eastAsia="Calibri" w:cstheme="minorHAnsi"/>
              </w:rPr>
            </w:pPr>
          </w:p>
          <w:p w14:paraId="13528738" w14:textId="77777777" w:rsidR="00A6569D" w:rsidRPr="00F43C38" w:rsidRDefault="00A6569D" w:rsidP="002563B3">
            <w:pPr>
              <w:pStyle w:val="TableParagraph"/>
              <w:tabs>
                <w:tab w:val="left" w:pos="382"/>
              </w:tabs>
              <w:spacing w:before="51" w:line="244" w:lineRule="auto"/>
              <w:ind w:right="402"/>
              <w:rPr>
                <w:rFonts w:eastAsia="Calibri" w:cstheme="minorHAnsi"/>
              </w:rPr>
            </w:pPr>
            <w:r>
              <w:rPr>
                <w:rFonts w:eastAsia="Calibri" w:cstheme="minorHAnsi"/>
              </w:rPr>
              <w:t>1c. Not Met</w:t>
            </w:r>
          </w:p>
        </w:tc>
        <w:tc>
          <w:tcPr>
            <w:tcW w:w="2210" w:type="pct"/>
            <w:tcBorders>
              <w:top w:val="single" w:sz="4" w:space="0" w:color="000000"/>
              <w:left w:val="single" w:sz="4" w:space="0" w:color="000000"/>
              <w:bottom w:val="single" w:sz="4" w:space="0" w:color="000000"/>
              <w:right w:val="single" w:sz="4" w:space="0" w:color="000000"/>
            </w:tcBorders>
          </w:tcPr>
          <w:p w14:paraId="601A303B" w14:textId="77777777" w:rsidR="00A6569D" w:rsidRDefault="00A6569D" w:rsidP="002563B3">
            <w:pPr>
              <w:pStyle w:val="TableParagraph"/>
              <w:spacing w:after="60"/>
              <w:ind w:left="103"/>
              <w:rPr>
                <w:rFonts w:cstheme="minorHAnsi"/>
              </w:rPr>
            </w:pPr>
            <w:r>
              <w:rPr>
                <w:rFonts w:cstheme="minorHAnsi"/>
              </w:rPr>
              <w:t xml:space="preserve">1a. School reports that in 2017-2018 it purchased 4CSolutions data dashboard and populated it with available data. </w:t>
            </w:r>
          </w:p>
          <w:p w14:paraId="67B92CCF" w14:textId="77777777" w:rsidR="00A6569D" w:rsidRDefault="00A6569D" w:rsidP="002563B3">
            <w:pPr>
              <w:pStyle w:val="TableParagraph"/>
              <w:spacing w:after="60"/>
              <w:ind w:left="103"/>
              <w:rPr>
                <w:rFonts w:cstheme="minorHAnsi"/>
              </w:rPr>
            </w:pPr>
          </w:p>
          <w:p w14:paraId="45F8F82F" w14:textId="77777777" w:rsidR="00A6569D" w:rsidRDefault="00A6569D" w:rsidP="002563B3">
            <w:pPr>
              <w:pStyle w:val="TableParagraph"/>
              <w:spacing w:after="60"/>
              <w:ind w:left="103"/>
              <w:rPr>
                <w:rFonts w:cstheme="minorHAnsi"/>
              </w:rPr>
            </w:pPr>
            <w:r>
              <w:rPr>
                <w:rFonts w:cstheme="minorHAnsi"/>
              </w:rPr>
              <w:t xml:space="preserve">1b. School reports that it held a training on March 2018 on use of data dashboard. </w:t>
            </w:r>
          </w:p>
          <w:p w14:paraId="7B560DFE" w14:textId="77777777" w:rsidR="00A6569D" w:rsidRDefault="00A6569D" w:rsidP="002563B3">
            <w:pPr>
              <w:pStyle w:val="TableParagraph"/>
              <w:spacing w:after="60"/>
              <w:ind w:left="103"/>
              <w:rPr>
                <w:rFonts w:cstheme="minorHAnsi"/>
              </w:rPr>
            </w:pPr>
          </w:p>
          <w:p w14:paraId="2F63D132" w14:textId="77777777" w:rsidR="00A6569D" w:rsidRDefault="00A6569D" w:rsidP="002563B3">
            <w:pPr>
              <w:pStyle w:val="TableParagraph"/>
              <w:spacing w:after="60"/>
              <w:ind w:left="103"/>
              <w:rPr>
                <w:rFonts w:cstheme="minorHAnsi"/>
              </w:rPr>
            </w:pPr>
          </w:p>
          <w:p w14:paraId="235D31D3" w14:textId="77777777" w:rsidR="00A6569D" w:rsidRPr="00F43C38" w:rsidRDefault="00A6569D" w:rsidP="002563B3">
            <w:pPr>
              <w:pStyle w:val="TableParagraph"/>
              <w:spacing w:after="60"/>
              <w:ind w:left="103"/>
              <w:rPr>
                <w:rFonts w:cstheme="minorHAnsi"/>
              </w:rPr>
            </w:pPr>
            <w:r>
              <w:rPr>
                <w:rFonts w:cstheme="minorHAnsi"/>
              </w:rPr>
              <w:t xml:space="preserve">1c. School reports that it held an introductory training for using the Data Wise protocols in March 2018 and will continue training staff on these protocols during the 2018-19 school year. </w:t>
            </w:r>
          </w:p>
        </w:tc>
      </w:tr>
      <w:tr w:rsidR="00A6569D" w:rsidRPr="00F43C38" w14:paraId="5ACCAAE1" w14:textId="77777777" w:rsidTr="004D5DE1">
        <w:trPr>
          <w:trHeight w:val="20"/>
        </w:trPr>
        <w:tc>
          <w:tcPr>
            <w:tcW w:w="2116" w:type="pct"/>
            <w:tcBorders>
              <w:top w:val="single" w:sz="4" w:space="0" w:color="000000"/>
              <w:left w:val="single" w:sz="4" w:space="0" w:color="000000"/>
              <w:bottom w:val="single" w:sz="4" w:space="0" w:color="000000"/>
              <w:right w:val="single" w:sz="4" w:space="0" w:color="000000"/>
            </w:tcBorders>
          </w:tcPr>
          <w:p w14:paraId="305693A7" w14:textId="77777777" w:rsidR="00A6569D" w:rsidRPr="00F43C38" w:rsidRDefault="00A6569D" w:rsidP="002563B3">
            <w:pPr>
              <w:ind w:left="423"/>
              <w:rPr>
                <w:rFonts w:cstheme="minorHAnsi"/>
              </w:rPr>
            </w:pPr>
            <w:r w:rsidRPr="00F43C38">
              <w:rPr>
                <w:rFonts w:cstheme="minorHAnsi"/>
              </w:rPr>
              <w:t>2.    Implement system for assessing student achievement in all content areas</w:t>
            </w:r>
          </w:p>
        </w:tc>
        <w:tc>
          <w:tcPr>
            <w:tcW w:w="674" w:type="pct"/>
            <w:tcBorders>
              <w:top w:val="single" w:sz="4" w:space="0" w:color="000000"/>
              <w:left w:val="single" w:sz="4" w:space="0" w:color="000000"/>
              <w:bottom w:val="single" w:sz="4" w:space="0" w:color="000000"/>
              <w:right w:val="single" w:sz="4" w:space="0" w:color="000000"/>
            </w:tcBorders>
          </w:tcPr>
          <w:p w14:paraId="046B28B7" w14:textId="77777777" w:rsidR="00A6569D" w:rsidRPr="00F43C38" w:rsidRDefault="00A6569D" w:rsidP="002563B3">
            <w:pPr>
              <w:pStyle w:val="TableParagraph"/>
              <w:tabs>
                <w:tab w:val="left" w:pos="382"/>
              </w:tabs>
              <w:spacing w:before="53"/>
              <w:rPr>
                <w:rFonts w:eastAsia="Calibri" w:cstheme="minorHAnsi"/>
              </w:rPr>
            </w:pPr>
            <w:r>
              <w:rPr>
                <w:rFonts w:eastAsia="Calibri" w:cstheme="minorHAnsi"/>
              </w:rPr>
              <w:t>2. Not Met</w:t>
            </w:r>
          </w:p>
        </w:tc>
        <w:tc>
          <w:tcPr>
            <w:tcW w:w="2210" w:type="pct"/>
            <w:tcBorders>
              <w:top w:val="single" w:sz="4" w:space="0" w:color="000000"/>
              <w:left w:val="single" w:sz="4" w:space="0" w:color="000000"/>
              <w:bottom w:val="single" w:sz="4" w:space="0" w:color="000000"/>
              <w:right w:val="single" w:sz="4" w:space="0" w:color="000000"/>
            </w:tcBorders>
          </w:tcPr>
          <w:p w14:paraId="1E05AD0E" w14:textId="77777777" w:rsidR="00A6569D" w:rsidRPr="00F43C38" w:rsidRDefault="00A6569D" w:rsidP="002563B3">
            <w:pPr>
              <w:pStyle w:val="TableParagraph"/>
              <w:spacing w:after="60"/>
              <w:ind w:left="103"/>
              <w:rPr>
                <w:rFonts w:cstheme="minorHAnsi"/>
              </w:rPr>
            </w:pPr>
            <w:r>
              <w:rPr>
                <w:rFonts w:cstheme="minorHAnsi"/>
              </w:rPr>
              <w:t xml:space="preserve">2. School reports that in 2017-2018 it introduced the mastery learning outcomes  system in Canvas to staff, but the school needed to keep developing processes to assess all competencies in the 2018-2019 school year. </w:t>
            </w:r>
          </w:p>
        </w:tc>
      </w:tr>
      <w:tr w:rsidR="00A6569D" w:rsidRPr="00F43C38" w14:paraId="44959E8F" w14:textId="77777777" w:rsidTr="004D5DE1">
        <w:trPr>
          <w:trHeight w:val="20"/>
        </w:trPr>
        <w:tc>
          <w:tcPr>
            <w:tcW w:w="2116" w:type="pct"/>
            <w:tcBorders>
              <w:top w:val="single" w:sz="4" w:space="0" w:color="000000"/>
              <w:left w:val="single" w:sz="4" w:space="0" w:color="000000"/>
              <w:bottom w:val="single" w:sz="4" w:space="0" w:color="000000"/>
              <w:right w:val="single" w:sz="4" w:space="0" w:color="000000"/>
            </w:tcBorders>
          </w:tcPr>
          <w:p w14:paraId="78C46DCD" w14:textId="77777777" w:rsidR="00A6569D" w:rsidRDefault="00A6569D" w:rsidP="002563B3">
            <w:pPr>
              <w:ind w:left="423"/>
              <w:rPr>
                <w:rFonts w:cstheme="minorHAnsi"/>
              </w:rPr>
            </w:pPr>
            <w:r w:rsidRPr="00F43C38">
              <w:rPr>
                <w:rFonts w:cstheme="minorHAnsi"/>
              </w:rPr>
              <w:t>3.a. Review 2017 assessment data for trends and areas to target and as a baseline for setting measurable targets for future reviews.</w:t>
            </w:r>
          </w:p>
          <w:p w14:paraId="22B5392D" w14:textId="77777777" w:rsidR="00A6569D" w:rsidRPr="00F43C38" w:rsidRDefault="00A6569D" w:rsidP="002563B3">
            <w:pPr>
              <w:ind w:left="423"/>
              <w:rPr>
                <w:rFonts w:cstheme="minorHAnsi"/>
              </w:rPr>
            </w:pPr>
          </w:p>
          <w:p w14:paraId="1D5F35D0" w14:textId="77777777" w:rsidR="00A6569D" w:rsidRPr="00F43C38" w:rsidRDefault="00A6569D" w:rsidP="002563B3">
            <w:pPr>
              <w:pStyle w:val="TableParagraph"/>
              <w:tabs>
                <w:tab w:val="left" w:pos="464"/>
              </w:tabs>
              <w:spacing w:before="80"/>
              <w:ind w:left="463"/>
              <w:rPr>
                <w:rFonts w:eastAsia="Calibri" w:cstheme="minorHAnsi"/>
              </w:rPr>
            </w:pPr>
            <w:r w:rsidRPr="00F43C38">
              <w:rPr>
                <w:rFonts w:cstheme="minorHAnsi"/>
              </w:rPr>
              <w:t>3.b. Implement systematic reviews of data with action plans for addressing challenges in identified standards (e.g., measurement and data, writing anchors) and increasing growth in those standards over the remainder of the term of the certificate</w:t>
            </w:r>
          </w:p>
        </w:tc>
        <w:tc>
          <w:tcPr>
            <w:tcW w:w="674" w:type="pct"/>
            <w:tcBorders>
              <w:top w:val="single" w:sz="4" w:space="0" w:color="000000"/>
              <w:left w:val="single" w:sz="4" w:space="0" w:color="000000"/>
              <w:bottom w:val="single" w:sz="4" w:space="0" w:color="000000"/>
              <w:right w:val="single" w:sz="4" w:space="0" w:color="000000"/>
            </w:tcBorders>
          </w:tcPr>
          <w:p w14:paraId="68A02475" w14:textId="77777777" w:rsidR="00A6569D" w:rsidRDefault="00A6569D" w:rsidP="002563B3">
            <w:pPr>
              <w:pStyle w:val="TableParagraph"/>
              <w:tabs>
                <w:tab w:val="left" w:pos="382"/>
              </w:tabs>
              <w:spacing w:before="53"/>
              <w:rPr>
                <w:rFonts w:eastAsia="Calibri" w:cstheme="minorHAnsi"/>
              </w:rPr>
            </w:pPr>
            <w:r>
              <w:rPr>
                <w:rFonts w:eastAsia="Calibri" w:cstheme="minorHAnsi"/>
              </w:rPr>
              <w:t>3a. Met</w:t>
            </w:r>
          </w:p>
          <w:p w14:paraId="62A389AC" w14:textId="77777777" w:rsidR="00A6569D" w:rsidRDefault="00A6569D" w:rsidP="002563B3">
            <w:pPr>
              <w:pStyle w:val="TableParagraph"/>
              <w:tabs>
                <w:tab w:val="left" w:pos="382"/>
              </w:tabs>
              <w:spacing w:before="53"/>
              <w:rPr>
                <w:rFonts w:eastAsia="Calibri" w:cstheme="minorHAnsi"/>
              </w:rPr>
            </w:pPr>
          </w:p>
          <w:p w14:paraId="36E57E47" w14:textId="77777777" w:rsidR="00A6569D" w:rsidRDefault="00A6569D" w:rsidP="002563B3">
            <w:pPr>
              <w:pStyle w:val="TableParagraph"/>
              <w:tabs>
                <w:tab w:val="left" w:pos="382"/>
              </w:tabs>
              <w:spacing w:before="53"/>
              <w:rPr>
                <w:rFonts w:eastAsia="Calibri" w:cstheme="minorHAnsi"/>
              </w:rPr>
            </w:pPr>
          </w:p>
          <w:p w14:paraId="1D2A27C3" w14:textId="56E89A4C" w:rsidR="00A6569D" w:rsidRDefault="00A6569D" w:rsidP="002563B3">
            <w:pPr>
              <w:pStyle w:val="TableParagraph"/>
              <w:tabs>
                <w:tab w:val="left" w:pos="382"/>
              </w:tabs>
              <w:spacing w:before="53"/>
              <w:rPr>
                <w:rFonts w:eastAsia="Calibri" w:cstheme="minorHAnsi"/>
              </w:rPr>
            </w:pPr>
          </w:p>
          <w:p w14:paraId="34743CCA" w14:textId="77777777" w:rsidR="004D5DE1" w:rsidRDefault="004D5DE1" w:rsidP="002563B3">
            <w:pPr>
              <w:pStyle w:val="TableParagraph"/>
              <w:tabs>
                <w:tab w:val="left" w:pos="382"/>
              </w:tabs>
              <w:spacing w:before="53"/>
              <w:rPr>
                <w:rFonts w:eastAsia="Calibri" w:cstheme="minorHAnsi"/>
              </w:rPr>
            </w:pPr>
          </w:p>
          <w:p w14:paraId="75441FA1" w14:textId="77777777" w:rsidR="00A6569D" w:rsidRPr="00F43C38" w:rsidRDefault="00A6569D" w:rsidP="002563B3">
            <w:pPr>
              <w:pStyle w:val="TableParagraph"/>
              <w:tabs>
                <w:tab w:val="left" w:pos="382"/>
              </w:tabs>
              <w:spacing w:before="53"/>
              <w:rPr>
                <w:rFonts w:eastAsia="Calibri" w:cstheme="minorHAnsi"/>
              </w:rPr>
            </w:pPr>
            <w:r>
              <w:rPr>
                <w:rFonts w:eastAsia="Calibri" w:cstheme="minorHAnsi"/>
              </w:rPr>
              <w:t>3b. Not Met</w:t>
            </w:r>
          </w:p>
        </w:tc>
        <w:tc>
          <w:tcPr>
            <w:tcW w:w="2210" w:type="pct"/>
            <w:tcBorders>
              <w:top w:val="single" w:sz="4" w:space="0" w:color="000000"/>
              <w:left w:val="single" w:sz="4" w:space="0" w:color="000000"/>
              <w:bottom w:val="single" w:sz="4" w:space="0" w:color="000000"/>
              <w:right w:val="single" w:sz="4" w:space="0" w:color="000000"/>
            </w:tcBorders>
          </w:tcPr>
          <w:p w14:paraId="517E61BE" w14:textId="7A0D7292" w:rsidR="00A6569D" w:rsidRDefault="00A6569D" w:rsidP="002563B3">
            <w:pPr>
              <w:pStyle w:val="TableParagraph"/>
              <w:spacing w:after="60"/>
              <w:ind w:left="103"/>
              <w:rPr>
                <w:rFonts w:cstheme="minorHAnsi"/>
              </w:rPr>
            </w:pPr>
            <w:r>
              <w:rPr>
                <w:rFonts w:cstheme="minorHAnsi"/>
              </w:rPr>
              <w:t xml:space="preserve">3a. School reports that in 2017-2018 data were presented to board members, faculty, staff, and school council to show baseline data on Next Gen MCAS assessment. </w:t>
            </w:r>
          </w:p>
          <w:p w14:paraId="70F14D90" w14:textId="3F99D474" w:rsidR="004D5DE1" w:rsidRDefault="004D5DE1" w:rsidP="002563B3">
            <w:pPr>
              <w:pStyle w:val="TableParagraph"/>
              <w:spacing w:after="60"/>
              <w:ind w:left="103"/>
              <w:rPr>
                <w:rFonts w:cstheme="minorHAnsi"/>
              </w:rPr>
            </w:pPr>
          </w:p>
          <w:p w14:paraId="0B783F75" w14:textId="77777777" w:rsidR="004D5DE1" w:rsidRDefault="004D5DE1" w:rsidP="002563B3">
            <w:pPr>
              <w:pStyle w:val="TableParagraph"/>
              <w:spacing w:after="60"/>
              <w:ind w:left="103"/>
              <w:rPr>
                <w:rFonts w:cstheme="minorHAnsi"/>
              </w:rPr>
            </w:pPr>
          </w:p>
          <w:p w14:paraId="78789268" w14:textId="77777777" w:rsidR="00A6569D" w:rsidRPr="00F43C38" w:rsidRDefault="00A6569D" w:rsidP="002563B3">
            <w:pPr>
              <w:pStyle w:val="TableParagraph"/>
              <w:spacing w:after="60"/>
              <w:ind w:left="103"/>
              <w:rPr>
                <w:rFonts w:cstheme="minorHAnsi"/>
              </w:rPr>
            </w:pPr>
            <w:r>
              <w:rPr>
                <w:rFonts w:cstheme="minorHAnsi"/>
              </w:rPr>
              <w:t xml:space="preserve">3b. School reports that in 2017-2018 it introduced protocols to review data, but implementation of systems to inform instruction would be implemented by PLCs during the 2018-2019 school year. </w:t>
            </w:r>
          </w:p>
        </w:tc>
      </w:tr>
      <w:tr w:rsidR="00A6569D" w:rsidRPr="00F43C38" w14:paraId="716A536B" w14:textId="77777777" w:rsidTr="004D5DE1">
        <w:trPr>
          <w:trHeight w:val="20"/>
        </w:trPr>
        <w:tc>
          <w:tcPr>
            <w:tcW w:w="2116" w:type="pct"/>
            <w:tcBorders>
              <w:top w:val="single" w:sz="4" w:space="0" w:color="000000"/>
              <w:left w:val="single" w:sz="4" w:space="0" w:color="000000"/>
              <w:bottom w:val="single" w:sz="4" w:space="0" w:color="000000"/>
              <w:right w:val="single" w:sz="4" w:space="0" w:color="000000"/>
            </w:tcBorders>
          </w:tcPr>
          <w:p w14:paraId="3AF0BAAD" w14:textId="77777777" w:rsidR="00A6569D" w:rsidRPr="00F43C38" w:rsidRDefault="00A6569D" w:rsidP="002563B3">
            <w:pPr>
              <w:pStyle w:val="TableParagraph"/>
              <w:tabs>
                <w:tab w:val="left" w:pos="464"/>
              </w:tabs>
              <w:spacing w:before="80"/>
              <w:ind w:left="463"/>
              <w:rPr>
                <w:rFonts w:eastAsia="Calibri" w:cstheme="minorHAnsi"/>
              </w:rPr>
            </w:pPr>
            <w:r w:rsidRPr="00F43C38">
              <w:rPr>
                <w:rFonts w:cstheme="minorHAnsi"/>
              </w:rPr>
              <w:t xml:space="preserve">4.a. GCVS Instructional Leadership Team will lead a study to implement </w:t>
            </w:r>
            <w:r w:rsidRPr="00F43C38">
              <w:rPr>
                <w:rFonts w:cstheme="minorHAnsi"/>
              </w:rPr>
              <w:lastRenderedPageBreak/>
              <w:t>changes to GCVS grading system to reflect mastery of competencies, with the goal of revising the grading system.</w:t>
            </w:r>
          </w:p>
        </w:tc>
        <w:tc>
          <w:tcPr>
            <w:tcW w:w="674" w:type="pct"/>
            <w:tcBorders>
              <w:top w:val="single" w:sz="4" w:space="0" w:color="000000"/>
              <w:left w:val="single" w:sz="4" w:space="0" w:color="000000"/>
              <w:bottom w:val="single" w:sz="4" w:space="0" w:color="000000"/>
              <w:right w:val="single" w:sz="4" w:space="0" w:color="000000"/>
            </w:tcBorders>
          </w:tcPr>
          <w:p w14:paraId="403659D0" w14:textId="77777777" w:rsidR="00A6569D" w:rsidRPr="00F43C38" w:rsidRDefault="00A6569D" w:rsidP="002563B3">
            <w:pPr>
              <w:pStyle w:val="TableParagraph"/>
              <w:tabs>
                <w:tab w:val="left" w:pos="382"/>
              </w:tabs>
              <w:spacing w:before="53"/>
              <w:rPr>
                <w:rFonts w:eastAsia="Calibri" w:cstheme="minorHAnsi"/>
              </w:rPr>
            </w:pPr>
            <w:r>
              <w:rPr>
                <w:rFonts w:eastAsia="Calibri" w:cstheme="minorHAnsi"/>
              </w:rPr>
              <w:lastRenderedPageBreak/>
              <w:t>4. Not Met</w:t>
            </w:r>
          </w:p>
        </w:tc>
        <w:tc>
          <w:tcPr>
            <w:tcW w:w="2210" w:type="pct"/>
            <w:tcBorders>
              <w:top w:val="single" w:sz="4" w:space="0" w:color="000000"/>
              <w:left w:val="single" w:sz="4" w:space="0" w:color="000000"/>
              <w:bottom w:val="single" w:sz="4" w:space="0" w:color="000000"/>
              <w:right w:val="single" w:sz="4" w:space="0" w:color="000000"/>
            </w:tcBorders>
          </w:tcPr>
          <w:p w14:paraId="002047AC" w14:textId="77777777" w:rsidR="00A6569D" w:rsidRPr="00F43C38" w:rsidRDefault="00A6569D" w:rsidP="002563B3">
            <w:pPr>
              <w:pStyle w:val="TableParagraph"/>
              <w:spacing w:after="60"/>
              <w:ind w:left="103"/>
              <w:rPr>
                <w:rFonts w:cstheme="minorHAnsi"/>
              </w:rPr>
            </w:pPr>
            <w:r>
              <w:rPr>
                <w:rFonts w:cstheme="minorHAnsi"/>
              </w:rPr>
              <w:t xml:space="preserve">4. School reports that in 2017-2018 it introduced these concepts to the school </w:t>
            </w:r>
            <w:r>
              <w:rPr>
                <w:rFonts w:cstheme="minorHAnsi"/>
              </w:rPr>
              <w:lastRenderedPageBreak/>
              <w:t xml:space="preserve">community, but work on development of competencies, rubrics, and aligning to assessments, grading system, and reports cards would take place during the 2018-2019 school year. </w:t>
            </w:r>
          </w:p>
        </w:tc>
      </w:tr>
      <w:tr w:rsidR="00A6569D" w:rsidRPr="00F43C38" w14:paraId="45EDC8A6" w14:textId="77777777" w:rsidTr="004D5DE1">
        <w:trPr>
          <w:trHeight w:val="20"/>
        </w:trPr>
        <w:tc>
          <w:tcPr>
            <w:tcW w:w="2116" w:type="pct"/>
            <w:tcBorders>
              <w:top w:val="single" w:sz="4" w:space="0" w:color="000000"/>
              <w:left w:val="single" w:sz="4" w:space="0" w:color="000000"/>
              <w:bottom w:val="single" w:sz="4" w:space="0" w:color="000000"/>
              <w:right w:val="single" w:sz="4" w:space="0" w:color="000000"/>
            </w:tcBorders>
          </w:tcPr>
          <w:p w14:paraId="170F2A15" w14:textId="77777777" w:rsidR="00A6569D" w:rsidRPr="00F43C38" w:rsidRDefault="00A6569D" w:rsidP="002563B3">
            <w:pPr>
              <w:pStyle w:val="TableParagraph"/>
              <w:tabs>
                <w:tab w:val="left" w:pos="464"/>
              </w:tabs>
              <w:spacing w:before="80"/>
              <w:ind w:left="463"/>
              <w:rPr>
                <w:rFonts w:eastAsia="Calibri" w:cstheme="minorHAnsi"/>
              </w:rPr>
            </w:pPr>
            <w:r w:rsidRPr="00F43C38">
              <w:rPr>
                <w:rFonts w:cstheme="minorHAnsi"/>
              </w:rPr>
              <w:lastRenderedPageBreak/>
              <w:t>5. Close the percentage gap of students meeting or exceeding expectations on MCAS between local and state averages for each reportable subgroup in grades 3-8 and 10 in all areas by June 2019. Decrease the gap by 50% in 2018 and by 25% in 2019.</w:t>
            </w:r>
          </w:p>
        </w:tc>
        <w:tc>
          <w:tcPr>
            <w:tcW w:w="674" w:type="pct"/>
            <w:tcBorders>
              <w:top w:val="single" w:sz="4" w:space="0" w:color="000000"/>
              <w:left w:val="single" w:sz="4" w:space="0" w:color="000000"/>
              <w:bottom w:val="single" w:sz="4" w:space="0" w:color="000000"/>
              <w:right w:val="single" w:sz="4" w:space="0" w:color="000000"/>
            </w:tcBorders>
          </w:tcPr>
          <w:p w14:paraId="3BCE3362" w14:textId="77777777" w:rsidR="00A6569D" w:rsidRPr="00F43C38" w:rsidRDefault="00A6569D" w:rsidP="002563B3">
            <w:pPr>
              <w:pStyle w:val="TableParagraph"/>
              <w:tabs>
                <w:tab w:val="left" w:pos="382"/>
              </w:tabs>
              <w:spacing w:before="53"/>
              <w:rPr>
                <w:rFonts w:eastAsia="Calibri" w:cstheme="minorHAnsi"/>
              </w:rPr>
            </w:pPr>
            <w:r>
              <w:rPr>
                <w:rFonts w:eastAsia="Calibri" w:cstheme="minorHAnsi"/>
              </w:rPr>
              <w:t>5. Not Met for 2018</w:t>
            </w:r>
          </w:p>
        </w:tc>
        <w:tc>
          <w:tcPr>
            <w:tcW w:w="2210" w:type="pct"/>
            <w:tcBorders>
              <w:top w:val="single" w:sz="4" w:space="0" w:color="000000"/>
              <w:left w:val="single" w:sz="4" w:space="0" w:color="000000"/>
              <w:bottom w:val="single" w:sz="4" w:space="0" w:color="000000"/>
              <w:right w:val="single" w:sz="4" w:space="0" w:color="000000"/>
            </w:tcBorders>
          </w:tcPr>
          <w:p w14:paraId="70960294" w14:textId="012FDC3C" w:rsidR="00A6569D" w:rsidRPr="00F43C38" w:rsidRDefault="00A6569D" w:rsidP="002563B3">
            <w:pPr>
              <w:pStyle w:val="TableParagraph"/>
              <w:spacing w:after="60"/>
              <w:ind w:left="103"/>
              <w:rPr>
                <w:rFonts w:cstheme="minorHAnsi"/>
              </w:rPr>
            </w:pPr>
            <w:r>
              <w:rPr>
                <w:rFonts w:cstheme="minorHAnsi"/>
              </w:rPr>
              <w:t xml:space="preserve">5. MCAS data show that </w:t>
            </w:r>
            <w:r w:rsidR="00E734A3">
              <w:rPr>
                <w:rFonts w:cstheme="minorHAnsi"/>
              </w:rPr>
              <w:t>GCVS</w:t>
            </w:r>
            <w:r>
              <w:rPr>
                <w:rFonts w:cstheme="minorHAnsi"/>
              </w:rPr>
              <w:t xml:space="preserve"> students declined in 2018 across every subject area and grade level when compared to 2017 (with the exception of grade 10 ELA, which showed a one percent increase in proficiency in 2018). Gaps increased for the “all students” group between 2017 and 2018 results. </w:t>
            </w:r>
          </w:p>
        </w:tc>
      </w:tr>
    </w:tbl>
    <w:p w14:paraId="642DF00B" w14:textId="77777777" w:rsidR="00A6569D" w:rsidRDefault="00A6569D" w:rsidP="00A6569D">
      <w:pPr>
        <w:ind w:left="-2880"/>
        <w:rPr>
          <w:rFonts w:eastAsia="Cambria" w:cstheme="minorHAnsi"/>
          <w:b/>
          <w:i/>
        </w:rPr>
      </w:pPr>
    </w:p>
    <w:p w14:paraId="32C1E142" w14:textId="730A10A8" w:rsidR="00A6569D" w:rsidRPr="00EC3E3B" w:rsidRDefault="00A6569D" w:rsidP="00A6569D">
      <w:pPr>
        <w:ind w:left="-2880"/>
        <w:rPr>
          <w:rFonts w:eastAsia="Cambria" w:cstheme="minorHAnsi"/>
        </w:rPr>
      </w:pPr>
      <w:r w:rsidRPr="00EC3E3B">
        <w:rPr>
          <w:rFonts w:eastAsia="Cambria" w:cstheme="minorHAnsi"/>
          <w:b/>
          <w:i/>
        </w:rPr>
        <w:t>Accountability Goal #3</w:t>
      </w:r>
      <w:r w:rsidRPr="00EC3E3B">
        <w:rPr>
          <w:rFonts w:eastAsia="Cambria" w:cstheme="minorHAnsi"/>
        </w:rPr>
        <w:t>: Increase faculty &amp; staff/student/family/community engagement in the life of the school through the personalized learning and activities designed to increase input into the school.</w:t>
      </w:r>
    </w:p>
    <w:p w14:paraId="52EB5F77" w14:textId="77777777" w:rsidR="00A6569D" w:rsidRDefault="00A6569D" w:rsidP="00A6569D">
      <w:pPr>
        <w:ind w:left="-2880"/>
        <w:rPr>
          <w:sz w:val="26"/>
          <w:szCs w:val="26"/>
        </w:rPr>
      </w:pPr>
      <w:r w:rsidRPr="00EC3E3B">
        <w:rPr>
          <w:rFonts w:eastAsia="Cambria" w:cs="Cambria"/>
          <w:b/>
          <w:i/>
        </w:rPr>
        <w:t>Rationale</w:t>
      </w:r>
      <w:r w:rsidRPr="00EC3E3B">
        <w:rPr>
          <w:rFonts w:eastAsia="Cambria" w:cs="Cambria"/>
        </w:rPr>
        <w:t>: The school has experienced a history of varying degrees of engagement with families, agencies, and the broader community.  Increased engagement leads to increased student learning/achievement, an overarching goal that drives this plan.</w:t>
      </w:r>
    </w:p>
    <w:tbl>
      <w:tblPr>
        <w:tblW w:w="7230" w:type="pct"/>
        <w:tblInd w:w="-2885" w:type="dxa"/>
        <w:tblCellMar>
          <w:left w:w="0" w:type="dxa"/>
          <w:right w:w="0" w:type="dxa"/>
        </w:tblCellMar>
        <w:tblLook w:val="01E0" w:firstRow="1" w:lastRow="1" w:firstColumn="1" w:lastColumn="1" w:noHBand="0" w:noVBand="0"/>
      </w:tblPr>
      <w:tblGrid>
        <w:gridCol w:w="3960"/>
        <w:gridCol w:w="1260"/>
        <w:gridCol w:w="4136"/>
      </w:tblGrid>
      <w:tr w:rsidR="00A6569D" w:rsidRPr="00EE123E" w14:paraId="784A98A4" w14:textId="77777777" w:rsidTr="004D5DE1">
        <w:trPr>
          <w:trHeight w:val="20"/>
          <w:tblHeader/>
        </w:trPr>
        <w:tc>
          <w:tcPr>
            <w:tcW w:w="2116" w:type="pct"/>
            <w:tcBorders>
              <w:top w:val="single" w:sz="4" w:space="0" w:color="000000"/>
              <w:left w:val="single" w:sz="4" w:space="0" w:color="000000"/>
              <w:bottom w:val="single" w:sz="4" w:space="0" w:color="000000"/>
              <w:right w:val="single" w:sz="4" w:space="0" w:color="000000"/>
            </w:tcBorders>
            <w:shd w:val="clear" w:color="auto" w:fill="F1F1F1"/>
            <w:vAlign w:val="center"/>
          </w:tcPr>
          <w:p w14:paraId="2ABA44CE" w14:textId="77777777" w:rsidR="00A6569D" w:rsidRPr="00EE123E" w:rsidRDefault="00A6569D" w:rsidP="002563B3">
            <w:pPr>
              <w:pStyle w:val="TableParagraph"/>
              <w:spacing w:before="60" w:after="60"/>
              <w:ind w:left="103"/>
              <w:rPr>
                <w:rFonts w:eastAsia="Calibri" w:cs="Calibri"/>
              </w:rPr>
            </w:pPr>
            <w:r w:rsidRPr="00EE123E">
              <w:rPr>
                <w:b/>
              </w:rPr>
              <w:t>Action Step</w:t>
            </w:r>
          </w:p>
        </w:tc>
        <w:tc>
          <w:tcPr>
            <w:tcW w:w="673" w:type="pct"/>
            <w:tcBorders>
              <w:top w:val="single" w:sz="4" w:space="0" w:color="000000"/>
              <w:left w:val="single" w:sz="4" w:space="0" w:color="000000"/>
              <w:bottom w:val="single" w:sz="4" w:space="0" w:color="000000"/>
              <w:right w:val="single" w:sz="4" w:space="0" w:color="000000"/>
            </w:tcBorders>
            <w:shd w:val="clear" w:color="auto" w:fill="F1F1F1"/>
            <w:vAlign w:val="center"/>
          </w:tcPr>
          <w:p w14:paraId="46EE4DE1" w14:textId="77777777" w:rsidR="00A6569D" w:rsidRPr="00EE123E" w:rsidRDefault="00A6569D" w:rsidP="002563B3">
            <w:pPr>
              <w:pStyle w:val="TableParagraph"/>
              <w:spacing w:before="60" w:after="60"/>
              <w:ind w:left="103"/>
              <w:rPr>
                <w:rFonts w:eastAsia="Calibri" w:cs="Calibri"/>
              </w:rPr>
            </w:pPr>
            <w:r w:rsidRPr="00EE123E">
              <w:rPr>
                <w:b/>
              </w:rPr>
              <w:t>2017-18</w:t>
            </w:r>
          </w:p>
        </w:tc>
        <w:tc>
          <w:tcPr>
            <w:tcW w:w="2210" w:type="pct"/>
            <w:tcBorders>
              <w:top w:val="single" w:sz="4" w:space="0" w:color="000000"/>
              <w:left w:val="single" w:sz="4" w:space="0" w:color="000000"/>
              <w:bottom w:val="single" w:sz="4" w:space="0" w:color="000000"/>
              <w:right w:val="single" w:sz="4" w:space="0" w:color="000000"/>
            </w:tcBorders>
            <w:shd w:val="clear" w:color="auto" w:fill="F1F1F1"/>
            <w:vAlign w:val="center"/>
          </w:tcPr>
          <w:p w14:paraId="3F2E8FAC" w14:textId="77777777" w:rsidR="00A6569D" w:rsidRPr="00EE123E" w:rsidRDefault="00A6569D" w:rsidP="002563B3">
            <w:pPr>
              <w:pStyle w:val="TableParagraph"/>
              <w:spacing w:before="60" w:after="60"/>
              <w:ind w:left="103"/>
              <w:rPr>
                <w:rFonts w:eastAsia="Calibri" w:cs="Calibri"/>
              </w:rPr>
            </w:pPr>
            <w:r w:rsidRPr="00EE123E">
              <w:rPr>
                <w:b/>
              </w:rPr>
              <w:t>Evidence</w:t>
            </w:r>
          </w:p>
        </w:tc>
      </w:tr>
      <w:tr w:rsidR="00A6569D" w:rsidRPr="00EE123E" w14:paraId="773F1F8C" w14:textId="77777777" w:rsidTr="004D5DE1">
        <w:trPr>
          <w:trHeight w:val="20"/>
        </w:trPr>
        <w:tc>
          <w:tcPr>
            <w:tcW w:w="2116" w:type="pct"/>
            <w:tcBorders>
              <w:top w:val="single" w:sz="4" w:space="0" w:color="000000"/>
              <w:left w:val="single" w:sz="4" w:space="0" w:color="000000"/>
              <w:bottom w:val="single" w:sz="4" w:space="0" w:color="000000"/>
              <w:right w:val="single" w:sz="4" w:space="0" w:color="000000"/>
            </w:tcBorders>
            <w:vAlign w:val="center"/>
          </w:tcPr>
          <w:p w14:paraId="60CEBFA4" w14:textId="77777777" w:rsidR="00A6569D" w:rsidRPr="00EE123E" w:rsidRDefault="00A6569D" w:rsidP="002563B3">
            <w:pPr>
              <w:pStyle w:val="TableParagraph"/>
              <w:tabs>
                <w:tab w:val="left" w:pos="463"/>
              </w:tabs>
              <w:ind w:left="280"/>
              <w:rPr>
                <w:rFonts w:eastAsia="Calibri" w:cstheme="minorHAnsi"/>
              </w:rPr>
            </w:pPr>
            <w:r w:rsidRPr="00EE123E">
              <w:rPr>
                <w:rFonts w:cstheme="minorHAnsi"/>
              </w:rPr>
              <w:t>1.    Engage with appropriate state/regional entities (ESE, Digital Learning Advisory Council, MAPLE Consortium, MassCUE, Superintendent Networks, Collaboratives, state legislative representatives, etc.)</w:t>
            </w:r>
          </w:p>
        </w:tc>
        <w:tc>
          <w:tcPr>
            <w:tcW w:w="673" w:type="pct"/>
            <w:tcBorders>
              <w:top w:val="single" w:sz="4" w:space="0" w:color="000000"/>
              <w:left w:val="single" w:sz="4" w:space="0" w:color="000000"/>
              <w:bottom w:val="single" w:sz="4" w:space="0" w:color="000000"/>
              <w:right w:val="single" w:sz="4" w:space="0" w:color="000000"/>
            </w:tcBorders>
          </w:tcPr>
          <w:p w14:paraId="769ADE5A" w14:textId="77777777" w:rsidR="00A6569D" w:rsidRPr="00EE123E" w:rsidRDefault="00A6569D" w:rsidP="002563B3">
            <w:pPr>
              <w:pStyle w:val="TableParagraph"/>
              <w:tabs>
                <w:tab w:val="left" w:pos="382"/>
              </w:tabs>
              <w:spacing w:before="51" w:line="244" w:lineRule="auto"/>
              <w:ind w:left="103" w:right="402"/>
              <w:rPr>
                <w:rFonts w:eastAsia="Calibri" w:cs="Calibri"/>
              </w:rPr>
            </w:pPr>
            <w:r w:rsidRPr="00EE123E">
              <w:rPr>
                <w:rFonts w:eastAsia="Calibri" w:cs="Calibri"/>
              </w:rPr>
              <w:t>1. Met</w:t>
            </w:r>
          </w:p>
        </w:tc>
        <w:tc>
          <w:tcPr>
            <w:tcW w:w="2210" w:type="pct"/>
            <w:tcBorders>
              <w:top w:val="single" w:sz="4" w:space="0" w:color="000000"/>
              <w:left w:val="single" w:sz="4" w:space="0" w:color="000000"/>
              <w:bottom w:val="single" w:sz="4" w:space="0" w:color="000000"/>
              <w:right w:val="single" w:sz="4" w:space="0" w:color="000000"/>
            </w:tcBorders>
          </w:tcPr>
          <w:p w14:paraId="2E51127D" w14:textId="77777777" w:rsidR="00A6569D" w:rsidRPr="00EE123E" w:rsidRDefault="00A6569D" w:rsidP="002563B3">
            <w:pPr>
              <w:pStyle w:val="TableParagraph"/>
              <w:ind w:left="103"/>
              <w:rPr>
                <w:rFonts w:eastAsia="Times New Roman" w:cs="Times New Roman"/>
              </w:rPr>
            </w:pPr>
            <w:r w:rsidRPr="00EE123E">
              <w:rPr>
                <w:rFonts w:eastAsia="Times New Roman" w:cs="Times New Roman"/>
              </w:rPr>
              <w:t xml:space="preserve">1. </w:t>
            </w:r>
            <w:r w:rsidRPr="00EE123E">
              <w:rPr>
                <w:rFonts w:cstheme="minorHAnsi"/>
              </w:rPr>
              <w:t xml:space="preserve">School reports that in 2017-2018, the ED attended a variety of meetings noted in the measure. </w:t>
            </w:r>
          </w:p>
        </w:tc>
      </w:tr>
      <w:tr w:rsidR="00A6569D" w:rsidRPr="00EE123E" w14:paraId="5F7FC334" w14:textId="77777777" w:rsidTr="004D5DE1">
        <w:trPr>
          <w:trHeight w:val="20"/>
        </w:trPr>
        <w:tc>
          <w:tcPr>
            <w:tcW w:w="2116" w:type="pct"/>
            <w:tcBorders>
              <w:top w:val="single" w:sz="4" w:space="0" w:color="000000"/>
              <w:left w:val="single" w:sz="4" w:space="0" w:color="000000"/>
              <w:bottom w:val="single" w:sz="4" w:space="0" w:color="000000"/>
              <w:right w:val="single" w:sz="4" w:space="0" w:color="000000"/>
            </w:tcBorders>
          </w:tcPr>
          <w:p w14:paraId="4BAA2B67" w14:textId="77777777" w:rsidR="00A6569D" w:rsidRPr="00EE123E" w:rsidRDefault="00A6569D" w:rsidP="002563B3">
            <w:pPr>
              <w:pStyle w:val="TableParagraph"/>
              <w:tabs>
                <w:tab w:val="left" w:pos="464"/>
              </w:tabs>
              <w:spacing w:before="60"/>
              <w:ind w:left="280"/>
              <w:rPr>
                <w:rFonts w:eastAsia="Calibri" w:cstheme="minorHAnsi"/>
              </w:rPr>
            </w:pPr>
            <w:r w:rsidRPr="00EE123E">
              <w:rPr>
                <w:rFonts w:cstheme="minorHAnsi"/>
              </w:rPr>
              <w:t>2.    Engage with families/community through the establishment of a School Council as established by the Education Reform Act of 1993.</w:t>
            </w:r>
          </w:p>
        </w:tc>
        <w:tc>
          <w:tcPr>
            <w:tcW w:w="673" w:type="pct"/>
            <w:tcBorders>
              <w:top w:val="single" w:sz="4" w:space="0" w:color="000000"/>
              <w:left w:val="single" w:sz="4" w:space="0" w:color="000000"/>
              <w:bottom w:val="single" w:sz="4" w:space="0" w:color="000000"/>
              <w:right w:val="single" w:sz="4" w:space="0" w:color="000000"/>
            </w:tcBorders>
          </w:tcPr>
          <w:p w14:paraId="5A4FFDD6" w14:textId="77777777" w:rsidR="00A6569D" w:rsidRPr="00EE123E" w:rsidRDefault="00A6569D" w:rsidP="002563B3">
            <w:pPr>
              <w:pStyle w:val="TableParagraph"/>
              <w:tabs>
                <w:tab w:val="left" w:pos="382"/>
              </w:tabs>
              <w:spacing w:before="51" w:line="244" w:lineRule="auto"/>
              <w:ind w:left="103" w:right="402"/>
              <w:rPr>
                <w:rFonts w:eastAsia="Calibri" w:cs="Calibri"/>
              </w:rPr>
            </w:pPr>
            <w:r w:rsidRPr="00EE123E">
              <w:rPr>
                <w:rFonts w:eastAsia="Calibri" w:cs="Calibri"/>
              </w:rPr>
              <w:t>2. Met</w:t>
            </w:r>
          </w:p>
        </w:tc>
        <w:tc>
          <w:tcPr>
            <w:tcW w:w="2210" w:type="pct"/>
            <w:tcBorders>
              <w:top w:val="single" w:sz="4" w:space="0" w:color="000000"/>
              <w:left w:val="single" w:sz="4" w:space="0" w:color="000000"/>
              <w:bottom w:val="single" w:sz="4" w:space="0" w:color="000000"/>
              <w:right w:val="single" w:sz="4" w:space="0" w:color="000000"/>
            </w:tcBorders>
          </w:tcPr>
          <w:p w14:paraId="49C9D867" w14:textId="77777777" w:rsidR="00A6569D" w:rsidRPr="00EE123E" w:rsidRDefault="00A6569D" w:rsidP="002563B3">
            <w:pPr>
              <w:pStyle w:val="TableParagraph"/>
              <w:spacing w:line="206" w:lineRule="exact"/>
              <w:ind w:left="103" w:right="491"/>
              <w:rPr>
                <w:rFonts w:eastAsia="Times New Roman" w:cs="Times New Roman"/>
              </w:rPr>
            </w:pPr>
            <w:r w:rsidRPr="00EE123E">
              <w:rPr>
                <w:rFonts w:cstheme="minorHAnsi"/>
              </w:rPr>
              <w:t xml:space="preserve">2. School reports that in 2017-2018 it established a school council and it met. </w:t>
            </w:r>
          </w:p>
        </w:tc>
      </w:tr>
      <w:tr w:rsidR="00A6569D" w:rsidRPr="00EE123E" w14:paraId="6FD455AC" w14:textId="77777777" w:rsidTr="004D5DE1">
        <w:trPr>
          <w:trHeight w:val="20"/>
        </w:trPr>
        <w:tc>
          <w:tcPr>
            <w:tcW w:w="2116" w:type="pct"/>
            <w:tcBorders>
              <w:top w:val="single" w:sz="4" w:space="0" w:color="000000"/>
              <w:left w:val="single" w:sz="4" w:space="0" w:color="000000"/>
              <w:bottom w:val="single" w:sz="4" w:space="0" w:color="000000"/>
              <w:right w:val="single" w:sz="4" w:space="0" w:color="000000"/>
            </w:tcBorders>
          </w:tcPr>
          <w:p w14:paraId="43708F49" w14:textId="77777777" w:rsidR="00A6569D" w:rsidRPr="00EE123E" w:rsidRDefault="00A6569D" w:rsidP="002563B3">
            <w:pPr>
              <w:ind w:left="280"/>
              <w:rPr>
                <w:rFonts w:cstheme="minorHAnsi"/>
              </w:rPr>
            </w:pPr>
            <w:r w:rsidRPr="00EE123E">
              <w:rPr>
                <w:rFonts w:cstheme="minorHAnsi"/>
              </w:rPr>
              <w:t xml:space="preserve">3.a.   Ensure 90% or more of students are engaged in live lessons and asynchronous work </w:t>
            </w:r>
          </w:p>
          <w:p w14:paraId="5035C4DA" w14:textId="77777777" w:rsidR="00A6569D" w:rsidRPr="00EE123E" w:rsidRDefault="00A6569D" w:rsidP="002563B3">
            <w:pPr>
              <w:pStyle w:val="TableParagraph"/>
              <w:tabs>
                <w:tab w:val="left" w:pos="464"/>
              </w:tabs>
              <w:spacing w:before="60"/>
              <w:ind w:left="280" w:right="699"/>
              <w:rPr>
                <w:rFonts w:eastAsia="Calibri" w:cstheme="minorHAnsi"/>
              </w:rPr>
            </w:pPr>
            <w:r w:rsidRPr="00EE123E">
              <w:rPr>
                <w:rFonts w:cstheme="minorHAnsi"/>
              </w:rPr>
              <w:t>3.b.   Increase engagement with students and families through virtual and face-to-face outings and Learning Coach activities designed to extend/enrich the curriculum offered through the school.</w:t>
            </w:r>
          </w:p>
        </w:tc>
        <w:tc>
          <w:tcPr>
            <w:tcW w:w="673" w:type="pct"/>
            <w:tcBorders>
              <w:top w:val="single" w:sz="4" w:space="0" w:color="000000"/>
              <w:left w:val="single" w:sz="4" w:space="0" w:color="000000"/>
              <w:bottom w:val="single" w:sz="4" w:space="0" w:color="000000"/>
              <w:right w:val="single" w:sz="4" w:space="0" w:color="000000"/>
            </w:tcBorders>
          </w:tcPr>
          <w:p w14:paraId="39CDB729" w14:textId="77777777" w:rsidR="00A6569D" w:rsidRDefault="00A6569D" w:rsidP="002563B3">
            <w:pPr>
              <w:pStyle w:val="TableParagraph"/>
              <w:tabs>
                <w:tab w:val="left" w:pos="382"/>
              </w:tabs>
              <w:spacing w:before="51" w:line="242" w:lineRule="auto"/>
              <w:ind w:left="103" w:right="402"/>
              <w:rPr>
                <w:rFonts w:eastAsia="Calibri" w:cs="Calibri"/>
              </w:rPr>
            </w:pPr>
            <w:r w:rsidRPr="00EE123E">
              <w:rPr>
                <w:rFonts w:eastAsia="Calibri" w:cs="Calibri"/>
              </w:rPr>
              <w:t>3a. Not Met</w:t>
            </w:r>
          </w:p>
          <w:p w14:paraId="23F8832D" w14:textId="5682347A" w:rsidR="00A6569D" w:rsidRDefault="00A6569D" w:rsidP="002563B3">
            <w:pPr>
              <w:pStyle w:val="TableParagraph"/>
              <w:tabs>
                <w:tab w:val="left" w:pos="382"/>
              </w:tabs>
              <w:spacing w:before="51" w:line="242" w:lineRule="auto"/>
              <w:ind w:left="103" w:right="402"/>
              <w:rPr>
                <w:rFonts w:eastAsia="Calibri" w:cs="Calibri"/>
              </w:rPr>
            </w:pPr>
          </w:p>
          <w:p w14:paraId="5C2414FE" w14:textId="77777777" w:rsidR="004D5DE1" w:rsidRDefault="004D5DE1" w:rsidP="002563B3">
            <w:pPr>
              <w:pStyle w:val="TableParagraph"/>
              <w:tabs>
                <w:tab w:val="left" w:pos="382"/>
              </w:tabs>
              <w:spacing w:before="51" w:line="242" w:lineRule="auto"/>
              <w:ind w:left="103" w:right="402"/>
              <w:rPr>
                <w:rFonts w:eastAsia="Calibri" w:cs="Calibri"/>
              </w:rPr>
            </w:pPr>
          </w:p>
          <w:p w14:paraId="0FCD22AD" w14:textId="77777777" w:rsidR="00A6569D" w:rsidRPr="00EE123E" w:rsidRDefault="00A6569D" w:rsidP="002563B3">
            <w:pPr>
              <w:pStyle w:val="TableParagraph"/>
              <w:tabs>
                <w:tab w:val="left" w:pos="382"/>
              </w:tabs>
              <w:spacing w:before="51" w:line="242" w:lineRule="auto"/>
              <w:ind w:left="103" w:right="402"/>
              <w:rPr>
                <w:rFonts w:eastAsia="Calibri" w:cs="Calibri"/>
              </w:rPr>
            </w:pPr>
            <w:r>
              <w:rPr>
                <w:rFonts w:eastAsia="Calibri" w:cs="Calibri"/>
              </w:rPr>
              <w:t>3b. Met</w:t>
            </w:r>
          </w:p>
        </w:tc>
        <w:tc>
          <w:tcPr>
            <w:tcW w:w="2210" w:type="pct"/>
            <w:tcBorders>
              <w:top w:val="single" w:sz="4" w:space="0" w:color="000000"/>
              <w:left w:val="single" w:sz="4" w:space="0" w:color="000000"/>
              <w:bottom w:val="single" w:sz="4" w:space="0" w:color="000000"/>
              <w:right w:val="single" w:sz="4" w:space="0" w:color="000000"/>
            </w:tcBorders>
          </w:tcPr>
          <w:p w14:paraId="4BB80BB5" w14:textId="0448803F" w:rsidR="00A6569D" w:rsidRDefault="00A6569D" w:rsidP="002563B3">
            <w:pPr>
              <w:pStyle w:val="TableParagraph"/>
              <w:spacing w:after="60"/>
              <w:ind w:left="103" w:right="103"/>
              <w:rPr>
                <w:rFonts w:cstheme="minorHAnsi"/>
              </w:rPr>
            </w:pPr>
            <w:r>
              <w:rPr>
                <w:rFonts w:eastAsia="Times New Roman" w:cs="Times New Roman"/>
              </w:rPr>
              <w:t xml:space="preserve">3a. </w:t>
            </w:r>
            <w:r>
              <w:rPr>
                <w:rFonts w:cstheme="minorHAnsi"/>
              </w:rPr>
              <w:t xml:space="preserve">School reports that in 2017-2018 it put structures in place to assess engagement, but did not meet 90% of engagement. </w:t>
            </w:r>
          </w:p>
          <w:p w14:paraId="6C6C9FDD" w14:textId="77777777" w:rsidR="004D5DE1" w:rsidRDefault="004D5DE1" w:rsidP="002563B3">
            <w:pPr>
              <w:pStyle w:val="TableParagraph"/>
              <w:spacing w:after="60"/>
              <w:ind w:left="103" w:right="103"/>
              <w:rPr>
                <w:rFonts w:cstheme="minorHAnsi"/>
              </w:rPr>
            </w:pPr>
          </w:p>
          <w:p w14:paraId="6EA5F5D1" w14:textId="77777777" w:rsidR="00A6569D" w:rsidRPr="00EE123E" w:rsidRDefault="00A6569D" w:rsidP="002563B3">
            <w:pPr>
              <w:pStyle w:val="TableParagraph"/>
              <w:spacing w:after="60"/>
              <w:ind w:left="103" w:right="103"/>
              <w:rPr>
                <w:rFonts w:eastAsia="Times New Roman" w:cs="Times New Roman"/>
              </w:rPr>
            </w:pPr>
            <w:r>
              <w:rPr>
                <w:rFonts w:cstheme="minorHAnsi"/>
              </w:rPr>
              <w:t xml:space="preserve">3b. School reports that in 2017-2018 it conducted virtual and face-to-face outings; some outings demonstrated 20% attendance from high school students. </w:t>
            </w:r>
          </w:p>
        </w:tc>
      </w:tr>
      <w:tr w:rsidR="00A6569D" w:rsidRPr="00EE123E" w14:paraId="50AAD662" w14:textId="77777777" w:rsidTr="004D5DE1">
        <w:trPr>
          <w:trHeight w:val="20"/>
        </w:trPr>
        <w:tc>
          <w:tcPr>
            <w:tcW w:w="2116" w:type="pct"/>
            <w:tcBorders>
              <w:top w:val="single" w:sz="4" w:space="0" w:color="000000"/>
              <w:left w:val="single" w:sz="4" w:space="0" w:color="000000"/>
              <w:bottom w:val="single" w:sz="4" w:space="0" w:color="000000"/>
              <w:right w:val="single" w:sz="4" w:space="0" w:color="000000"/>
            </w:tcBorders>
          </w:tcPr>
          <w:p w14:paraId="3FE7A657" w14:textId="77777777" w:rsidR="00A6569D" w:rsidRPr="00EE123E" w:rsidRDefault="00A6569D" w:rsidP="002563B3">
            <w:pPr>
              <w:ind w:left="280"/>
              <w:rPr>
                <w:rFonts w:cstheme="minorHAnsi"/>
              </w:rPr>
            </w:pPr>
            <w:r w:rsidRPr="00EE123E">
              <w:rPr>
                <w:rFonts w:cstheme="minorHAnsi"/>
              </w:rPr>
              <w:lastRenderedPageBreak/>
              <w:t>4.a. Increase engagement with students through the development of personalized learning plans in grade 9.</w:t>
            </w:r>
          </w:p>
          <w:p w14:paraId="34E51F03" w14:textId="77777777" w:rsidR="00A6569D" w:rsidRPr="00EE123E" w:rsidRDefault="00A6569D" w:rsidP="002563B3">
            <w:pPr>
              <w:pStyle w:val="TableParagraph"/>
              <w:tabs>
                <w:tab w:val="left" w:pos="464"/>
              </w:tabs>
              <w:spacing w:before="60"/>
              <w:ind w:left="280" w:right="699"/>
              <w:rPr>
                <w:rFonts w:eastAsia="Calibri" w:cstheme="minorHAnsi"/>
              </w:rPr>
            </w:pPr>
            <w:r w:rsidRPr="00EE123E">
              <w:rPr>
                <w:rFonts w:cstheme="minorHAnsi"/>
              </w:rPr>
              <w:t>4.b. Extend the development of personalized learning plans to the middle school</w:t>
            </w:r>
          </w:p>
        </w:tc>
        <w:tc>
          <w:tcPr>
            <w:tcW w:w="673" w:type="pct"/>
            <w:tcBorders>
              <w:top w:val="single" w:sz="4" w:space="0" w:color="000000"/>
              <w:left w:val="single" w:sz="4" w:space="0" w:color="000000"/>
              <w:bottom w:val="single" w:sz="4" w:space="0" w:color="000000"/>
              <w:right w:val="single" w:sz="4" w:space="0" w:color="000000"/>
            </w:tcBorders>
          </w:tcPr>
          <w:p w14:paraId="54E393E6" w14:textId="77777777" w:rsidR="00A6569D" w:rsidRDefault="00A6569D" w:rsidP="002563B3">
            <w:pPr>
              <w:pStyle w:val="TableParagraph"/>
              <w:tabs>
                <w:tab w:val="left" w:pos="382"/>
              </w:tabs>
              <w:spacing w:before="51" w:line="242" w:lineRule="auto"/>
              <w:ind w:left="103" w:right="402"/>
              <w:rPr>
                <w:rFonts w:eastAsia="Calibri" w:cs="Calibri"/>
              </w:rPr>
            </w:pPr>
            <w:r>
              <w:rPr>
                <w:rFonts w:eastAsia="Calibri" w:cs="Calibri"/>
              </w:rPr>
              <w:t>4a. Not Met</w:t>
            </w:r>
          </w:p>
          <w:p w14:paraId="39ADC847" w14:textId="77777777" w:rsidR="00A6569D" w:rsidRDefault="00A6569D" w:rsidP="002563B3">
            <w:pPr>
              <w:pStyle w:val="TableParagraph"/>
              <w:tabs>
                <w:tab w:val="left" w:pos="382"/>
              </w:tabs>
              <w:spacing w:before="51" w:line="242" w:lineRule="auto"/>
              <w:ind w:left="103" w:right="402"/>
              <w:rPr>
                <w:rFonts w:eastAsia="Calibri" w:cs="Calibri"/>
              </w:rPr>
            </w:pPr>
          </w:p>
          <w:p w14:paraId="5AE930F2" w14:textId="77777777" w:rsidR="00A6569D" w:rsidRPr="00EE123E" w:rsidRDefault="00A6569D" w:rsidP="002563B3">
            <w:pPr>
              <w:pStyle w:val="TableParagraph"/>
              <w:tabs>
                <w:tab w:val="left" w:pos="382"/>
              </w:tabs>
              <w:spacing w:before="51" w:line="242" w:lineRule="auto"/>
              <w:ind w:left="103" w:right="402"/>
              <w:rPr>
                <w:rFonts w:eastAsia="Calibri" w:cs="Calibri"/>
              </w:rPr>
            </w:pPr>
            <w:r>
              <w:rPr>
                <w:rFonts w:eastAsia="Calibri" w:cs="Calibri"/>
              </w:rPr>
              <w:t>4b. Not Met</w:t>
            </w:r>
          </w:p>
        </w:tc>
        <w:tc>
          <w:tcPr>
            <w:tcW w:w="2210" w:type="pct"/>
            <w:tcBorders>
              <w:top w:val="single" w:sz="4" w:space="0" w:color="000000"/>
              <w:left w:val="single" w:sz="4" w:space="0" w:color="000000"/>
              <w:bottom w:val="single" w:sz="4" w:space="0" w:color="000000"/>
              <w:right w:val="single" w:sz="4" w:space="0" w:color="000000"/>
            </w:tcBorders>
          </w:tcPr>
          <w:p w14:paraId="3F0795FF" w14:textId="77777777" w:rsidR="00A6569D" w:rsidRDefault="00A6569D" w:rsidP="002563B3">
            <w:pPr>
              <w:pStyle w:val="TableParagraph"/>
              <w:spacing w:after="60"/>
              <w:ind w:left="103" w:right="103"/>
              <w:rPr>
                <w:rFonts w:cstheme="minorHAnsi"/>
              </w:rPr>
            </w:pPr>
            <w:r>
              <w:rPr>
                <w:rFonts w:eastAsia="Times New Roman" w:cs="Times New Roman"/>
              </w:rPr>
              <w:t xml:space="preserve">4a. </w:t>
            </w:r>
            <w:r>
              <w:rPr>
                <w:rFonts w:cstheme="minorHAnsi"/>
              </w:rPr>
              <w:t xml:space="preserve">School reports that in 2017-2018 personalized learning plans were developed for 75% of students in grade 9. </w:t>
            </w:r>
          </w:p>
          <w:p w14:paraId="21122890" w14:textId="77777777" w:rsidR="00A6569D" w:rsidRPr="00EE123E" w:rsidRDefault="00A6569D" w:rsidP="002563B3">
            <w:pPr>
              <w:pStyle w:val="TableParagraph"/>
              <w:spacing w:after="60"/>
              <w:ind w:left="103" w:right="103"/>
              <w:rPr>
                <w:rFonts w:eastAsia="Times New Roman" w:cs="Times New Roman"/>
              </w:rPr>
            </w:pPr>
            <w:r>
              <w:rPr>
                <w:rFonts w:cstheme="minorHAnsi"/>
              </w:rPr>
              <w:t xml:space="preserve">4b. School reports that development of personalized learning plans for middle school students will begin in the 2018-2019 school year. </w:t>
            </w:r>
          </w:p>
        </w:tc>
      </w:tr>
      <w:tr w:rsidR="00A6569D" w:rsidRPr="00EE123E" w14:paraId="4AEC4115" w14:textId="77777777" w:rsidTr="004D5DE1">
        <w:trPr>
          <w:trHeight w:val="20"/>
        </w:trPr>
        <w:tc>
          <w:tcPr>
            <w:tcW w:w="2116" w:type="pct"/>
            <w:tcBorders>
              <w:top w:val="single" w:sz="4" w:space="0" w:color="000000"/>
              <w:left w:val="single" w:sz="4" w:space="0" w:color="000000"/>
              <w:bottom w:val="single" w:sz="4" w:space="0" w:color="000000"/>
              <w:right w:val="single" w:sz="4" w:space="0" w:color="000000"/>
            </w:tcBorders>
          </w:tcPr>
          <w:p w14:paraId="44EF3EAD" w14:textId="77777777" w:rsidR="00A6569D" w:rsidRPr="00EE123E" w:rsidRDefault="00A6569D" w:rsidP="002563B3">
            <w:pPr>
              <w:pStyle w:val="TableParagraph"/>
              <w:tabs>
                <w:tab w:val="left" w:pos="464"/>
              </w:tabs>
              <w:spacing w:before="60"/>
              <w:ind w:left="280" w:right="699"/>
              <w:rPr>
                <w:rFonts w:eastAsia="Calibri" w:cstheme="minorHAnsi"/>
              </w:rPr>
            </w:pPr>
            <w:r w:rsidRPr="00EE123E">
              <w:rPr>
                <w:rFonts w:cstheme="minorHAnsi"/>
              </w:rPr>
              <w:t>5.   Add blended learning possibilities for small/rural districts that enable expansion of curriculum offerings to both full- and potential part-time students.</w:t>
            </w:r>
          </w:p>
        </w:tc>
        <w:tc>
          <w:tcPr>
            <w:tcW w:w="673" w:type="pct"/>
            <w:tcBorders>
              <w:top w:val="single" w:sz="4" w:space="0" w:color="000000"/>
              <w:left w:val="single" w:sz="4" w:space="0" w:color="000000"/>
              <w:bottom w:val="single" w:sz="4" w:space="0" w:color="000000"/>
              <w:right w:val="single" w:sz="4" w:space="0" w:color="000000"/>
            </w:tcBorders>
          </w:tcPr>
          <w:p w14:paraId="29443ADB" w14:textId="77777777" w:rsidR="00A6569D" w:rsidRPr="00EE123E" w:rsidRDefault="00A6569D" w:rsidP="002563B3">
            <w:pPr>
              <w:pStyle w:val="TableParagraph"/>
              <w:tabs>
                <w:tab w:val="left" w:pos="382"/>
              </w:tabs>
              <w:spacing w:before="51" w:line="242" w:lineRule="auto"/>
              <w:ind w:left="103" w:right="402"/>
              <w:rPr>
                <w:rFonts w:eastAsia="Calibri" w:cs="Calibri"/>
              </w:rPr>
            </w:pPr>
            <w:r>
              <w:rPr>
                <w:rFonts w:eastAsia="Calibri" w:cs="Calibri"/>
              </w:rPr>
              <w:t>5. Not Met</w:t>
            </w:r>
          </w:p>
        </w:tc>
        <w:tc>
          <w:tcPr>
            <w:tcW w:w="2210" w:type="pct"/>
            <w:tcBorders>
              <w:top w:val="single" w:sz="4" w:space="0" w:color="000000"/>
              <w:left w:val="single" w:sz="4" w:space="0" w:color="000000"/>
              <w:bottom w:val="single" w:sz="4" w:space="0" w:color="000000"/>
              <w:right w:val="single" w:sz="4" w:space="0" w:color="000000"/>
            </w:tcBorders>
          </w:tcPr>
          <w:p w14:paraId="3992AC64" w14:textId="77777777" w:rsidR="00A6569D" w:rsidRPr="00EE123E" w:rsidRDefault="00A6569D" w:rsidP="002563B3">
            <w:pPr>
              <w:pStyle w:val="TableParagraph"/>
              <w:spacing w:after="60"/>
              <w:ind w:left="103" w:right="103"/>
              <w:rPr>
                <w:rFonts w:eastAsia="Times New Roman" w:cs="Times New Roman"/>
              </w:rPr>
            </w:pPr>
            <w:r>
              <w:rPr>
                <w:rFonts w:eastAsia="Times New Roman" w:cs="Times New Roman"/>
              </w:rPr>
              <w:t xml:space="preserve">5. The school reports that this may be considered as part of a future amendment to the certificate. </w:t>
            </w:r>
          </w:p>
        </w:tc>
      </w:tr>
    </w:tbl>
    <w:p w14:paraId="283D5889" w14:textId="77777777" w:rsidR="00C30639" w:rsidRDefault="00C30639" w:rsidP="0011279F">
      <w:pPr>
        <w:pStyle w:val="Heading1"/>
        <w:pBdr>
          <w:bottom w:val="single" w:sz="36" w:space="1" w:color="auto"/>
        </w:pBdr>
        <w:sectPr w:rsidR="00C30639" w:rsidSect="002F257C">
          <w:footerReference w:type="first" r:id="rId32"/>
          <w:pgSz w:w="12240" w:h="15840"/>
          <w:pgMar w:top="1440" w:right="1440" w:bottom="1440" w:left="4320" w:header="720" w:footer="720" w:gutter="0"/>
          <w:pgNumType w:start="1"/>
          <w:cols w:space="720"/>
          <w:titlePg/>
          <w:docGrid w:linePitch="360"/>
        </w:sectPr>
      </w:pPr>
    </w:p>
    <w:p w14:paraId="2228124A" w14:textId="7DC5CC58" w:rsidR="000511B1" w:rsidRDefault="000511B1" w:rsidP="00A0677B">
      <w:pPr>
        <w:pStyle w:val="Heading1"/>
        <w:pBdr>
          <w:bottom w:val="single" w:sz="36" w:space="1" w:color="auto"/>
        </w:pBdr>
        <w:tabs>
          <w:tab w:val="left" w:pos="-900"/>
        </w:tabs>
        <w:ind w:left="-2790" w:hanging="900"/>
      </w:pPr>
      <w:bookmarkStart w:id="8" w:name="_Toc2324596"/>
      <w:r>
        <w:lastRenderedPageBreak/>
        <w:t>Appendix B: Demographic information</w:t>
      </w:r>
      <w:bookmarkEnd w:id="8"/>
    </w:p>
    <w:p w14:paraId="7652648B" w14:textId="59FFF8BF" w:rsidR="000D548B" w:rsidRPr="00F61679" w:rsidRDefault="000D548B" w:rsidP="00F61679">
      <w:pPr>
        <w:pStyle w:val="sidehead"/>
        <w:framePr w:w="3361" w:wrap="around" w:x="1431" w:y="3"/>
        <w:pBdr>
          <w:top w:val="single" w:sz="8" w:space="1" w:color="auto"/>
        </w:pBdr>
        <w:rPr>
          <w:b/>
        </w:rPr>
      </w:pPr>
      <w:r w:rsidRPr="000D548B">
        <w:rPr>
          <w:b/>
        </w:rPr>
        <w:t>Enrollment by grade</w:t>
      </w:r>
      <w:r w:rsidR="00C30639">
        <w:rPr>
          <w:b/>
        </w:rPr>
        <w:t>, 2018-</w:t>
      </w:r>
      <w:r w:rsidR="00C30639" w:rsidRPr="00F61679">
        <w:rPr>
          <w:b/>
        </w:rPr>
        <w:t>2019</w:t>
      </w:r>
    </w:p>
    <w:p w14:paraId="51E81A29" w14:textId="763E5590" w:rsidR="009F03BB" w:rsidRDefault="009F03BB" w:rsidP="000D548B">
      <w:pPr>
        <w:pStyle w:val="sidetitle"/>
        <w:pBdr>
          <w:top w:val="single" w:sz="8" w:space="1" w:color="auto"/>
        </w:pBdr>
        <w:ind w:left="0"/>
        <w:rPr>
          <w:b/>
        </w:rPr>
      </w:pPr>
    </w:p>
    <w:p w14:paraId="50657331" w14:textId="77777777" w:rsidR="00F61679" w:rsidRPr="00F61679" w:rsidRDefault="00F61679" w:rsidP="00F61679">
      <w:pPr>
        <w:pStyle w:val="sidetitle"/>
        <w:pBdr>
          <w:top w:val="single" w:sz="8" w:space="1" w:color="auto"/>
        </w:pBdr>
        <w:spacing w:after="0"/>
        <w:ind w:left="0"/>
        <w:rPr>
          <w:b/>
        </w:rPr>
      </w:pPr>
    </w:p>
    <w:tbl>
      <w:tblPr>
        <w:tblStyle w:val="TableGridLight"/>
        <w:tblW w:w="7230" w:type="pct"/>
        <w:tblInd w:w="-2885" w:type="dxa"/>
        <w:tblLayout w:type="fixed"/>
        <w:tblLook w:val="04A0" w:firstRow="1" w:lastRow="0" w:firstColumn="1" w:lastColumn="0" w:noHBand="0" w:noVBand="1"/>
        <w:tblDescription w:val="Grade K: 11&#10;Grade 1: 24&#10;Grade 2: 26&#10;Grade 3: 27&#10;Grade 4: 33&#10;Grade 5: 50&#10;Grade 6: 43&#10;Grade 7: 49&#10;Grade 8: 72&#10;Grade 9: 86&#10;Grade 10: 73&#10;Grade 11: 51&#10;Grade 12: 45&#10;Total: 590&#10;"/>
      </w:tblPr>
      <w:tblGrid>
        <w:gridCol w:w="533"/>
        <w:gridCol w:w="536"/>
        <w:gridCol w:w="536"/>
        <w:gridCol w:w="534"/>
        <w:gridCol w:w="535"/>
        <w:gridCol w:w="535"/>
        <w:gridCol w:w="535"/>
        <w:gridCol w:w="534"/>
        <w:gridCol w:w="535"/>
        <w:gridCol w:w="535"/>
        <w:gridCol w:w="534"/>
        <w:gridCol w:w="535"/>
        <w:gridCol w:w="535"/>
        <w:gridCol w:w="535"/>
        <w:gridCol w:w="697"/>
      </w:tblGrid>
      <w:tr w:rsidR="000D548B" w:rsidRPr="00F61679" w14:paraId="6FB69C7B" w14:textId="77777777" w:rsidTr="006D7A08">
        <w:trPr>
          <w:trHeight w:val="300"/>
          <w:tblHeader/>
        </w:trPr>
        <w:tc>
          <w:tcPr>
            <w:tcW w:w="325" w:type="pct"/>
            <w:hideMark/>
          </w:tcPr>
          <w:p w14:paraId="504085DD" w14:textId="77777777" w:rsidR="000D548B" w:rsidRPr="00F61679" w:rsidRDefault="000D548B" w:rsidP="009015A9">
            <w:pPr>
              <w:jc w:val="center"/>
              <w:rPr>
                <w:rFonts w:cs="Arial"/>
                <w:b/>
                <w:bCs/>
                <w:color w:val="000000"/>
              </w:rPr>
            </w:pPr>
            <w:r w:rsidRPr="00F61679">
              <w:rPr>
                <w:rFonts w:cs="Arial"/>
                <w:b/>
                <w:bCs/>
                <w:color w:val="000000"/>
              </w:rPr>
              <w:t>K</w:t>
            </w:r>
          </w:p>
        </w:tc>
        <w:tc>
          <w:tcPr>
            <w:tcW w:w="327" w:type="pct"/>
            <w:hideMark/>
          </w:tcPr>
          <w:p w14:paraId="565C497F" w14:textId="77777777" w:rsidR="000D548B" w:rsidRPr="00F61679" w:rsidRDefault="000D548B" w:rsidP="009015A9">
            <w:pPr>
              <w:jc w:val="center"/>
              <w:rPr>
                <w:rFonts w:cs="Arial"/>
                <w:b/>
                <w:bCs/>
                <w:color w:val="000000"/>
              </w:rPr>
            </w:pPr>
            <w:r w:rsidRPr="00F61679">
              <w:rPr>
                <w:rFonts w:cs="Arial"/>
                <w:b/>
                <w:bCs/>
                <w:color w:val="000000"/>
              </w:rPr>
              <w:t>1</w:t>
            </w:r>
          </w:p>
        </w:tc>
        <w:tc>
          <w:tcPr>
            <w:tcW w:w="327" w:type="pct"/>
            <w:hideMark/>
          </w:tcPr>
          <w:p w14:paraId="2D7C81A7" w14:textId="77777777" w:rsidR="000D548B" w:rsidRPr="00F61679" w:rsidRDefault="000D548B" w:rsidP="009015A9">
            <w:pPr>
              <w:jc w:val="center"/>
              <w:rPr>
                <w:rFonts w:cs="Arial"/>
                <w:b/>
                <w:bCs/>
                <w:color w:val="000000"/>
              </w:rPr>
            </w:pPr>
            <w:r w:rsidRPr="00F61679">
              <w:rPr>
                <w:rFonts w:cs="Arial"/>
                <w:b/>
                <w:bCs/>
                <w:color w:val="000000"/>
              </w:rPr>
              <w:t>2</w:t>
            </w:r>
          </w:p>
        </w:tc>
        <w:tc>
          <w:tcPr>
            <w:tcW w:w="326" w:type="pct"/>
            <w:hideMark/>
          </w:tcPr>
          <w:p w14:paraId="1C86A874" w14:textId="77777777" w:rsidR="000D548B" w:rsidRPr="00F61679" w:rsidRDefault="000D548B" w:rsidP="009015A9">
            <w:pPr>
              <w:jc w:val="center"/>
              <w:rPr>
                <w:rFonts w:cs="Arial"/>
                <w:b/>
                <w:bCs/>
                <w:color w:val="000000"/>
              </w:rPr>
            </w:pPr>
            <w:r w:rsidRPr="00F61679">
              <w:rPr>
                <w:rFonts w:cs="Arial"/>
                <w:b/>
                <w:bCs/>
                <w:color w:val="000000"/>
              </w:rPr>
              <w:t>3</w:t>
            </w:r>
          </w:p>
        </w:tc>
        <w:tc>
          <w:tcPr>
            <w:tcW w:w="327" w:type="pct"/>
            <w:hideMark/>
          </w:tcPr>
          <w:p w14:paraId="74F93A3C" w14:textId="77777777" w:rsidR="000D548B" w:rsidRPr="00F61679" w:rsidRDefault="000D548B" w:rsidP="009015A9">
            <w:pPr>
              <w:jc w:val="center"/>
              <w:rPr>
                <w:rFonts w:cs="Arial"/>
                <w:b/>
                <w:bCs/>
                <w:color w:val="000000"/>
              </w:rPr>
            </w:pPr>
            <w:r w:rsidRPr="00F61679">
              <w:rPr>
                <w:rFonts w:cs="Arial"/>
                <w:b/>
                <w:bCs/>
                <w:color w:val="000000"/>
              </w:rPr>
              <w:t>4</w:t>
            </w:r>
          </w:p>
        </w:tc>
        <w:tc>
          <w:tcPr>
            <w:tcW w:w="327" w:type="pct"/>
            <w:hideMark/>
          </w:tcPr>
          <w:p w14:paraId="183C16AC" w14:textId="77777777" w:rsidR="000D548B" w:rsidRPr="00F61679" w:rsidRDefault="000D548B" w:rsidP="009015A9">
            <w:pPr>
              <w:jc w:val="center"/>
              <w:rPr>
                <w:rFonts w:cs="Arial"/>
                <w:b/>
                <w:bCs/>
                <w:color w:val="000000"/>
              </w:rPr>
            </w:pPr>
            <w:r w:rsidRPr="00F61679">
              <w:rPr>
                <w:rFonts w:cs="Arial"/>
                <w:b/>
                <w:bCs/>
                <w:color w:val="000000"/>
              </w:rPr>
              <w:t>5</w:t>
            </w:r>
          </w:p>
        </w:tc>
        <w:tc>
          <w:tcPr>
            <w:tcW w:w="327" w:type="pct"/>
            <w:hideMark/>
          </w:tcPr>
          <w:p w14:paraId="543E7629" w14:textId="77777777" w:rsidR="000D548B" w:rsidRPr="00F61679" w:rsidRDefault="000D548B" w:rsidP="009015A9">
            <w:pPr>
              <w:jc w:val="center"/>
              <w:rPr>
                <w:rFonts w:cs="Arial"/>
                <w:b/>
                <w:bCs/>
                <w:color w:val="000000"/>
              </w:rPr>
            </w:pPr>
            <w:r w:rsidRPr="00F61679">
              <w:rPr>
                <w:rFonts w:cs="Arial"/>
                <w:b/>
                <w:bCs/>
                <w:color w:val="000000"/>
              </w:rPr>
              <w:t>6</w:t>
            </w:r>
          </w:p>
        </w:tc>
        <w:tc>
          <w:tcPr>
            <w:tcW w:w="326" w:type="pct"/>
            <w:hideMark/>
          </w:tcPr>
          <w:p w14:paraId="7B47ED24" w14:textId="77777777" w:rsidR="000D548B" w:rsidRPr="00F61679" w:rsidRDefault="000D548B" w:rsidP="009015A9">
            <w:pPr>
              <w:jc w:val="center"/>
              <w:rPr>
                <w:rFonts w:cs="Arial"/>
                <w:b/>
                <w:bCs/>
                <w:color w:val="000000"/>
              </w:rPr>
            </w:pPr>
            <w:r w:rsidRPr="00F61679">
              <w:rPr>
                <w:rFonts w:cs="Arial"/>
                <w:b/>
                <w:bCs/>
                <w:color w:val="000000"/>
              </w:rPr>
              <w:t>7</w:t>
            </w:r>
          </w:p>
        </w:tc>
        <w:tc>
          <w:tcPr>
            <w:tcW w:w="327" w:type="pct"/>
            <w:hideMark/>
          </w:tcPr>
          <w:p w14:paraId="11616DA6" w14:textId="77777777" w:rsidR="000D548B" w:rsidRPr="00F61679" w:rsidRDefault="000D548B" w:rsidP="009015A9">
            <w:pPr>
              <w:jc w:val="center"/>
              <w:rPr>
                <w:rFonts w:cs="Arial"/>
                <w:b/>
                <w:bCs/>
                <w:color w:val="000000"/>
              </w:rPr>
            </w:pPr>
            <w:r w:rsidRPr="00F61679">
              <w:rPr>
                <w:rFonts w:cs="Arial"/>
                <w:b/>
                <w:bCs/>
                <w:color w:val="000000"/>
              </w:rPr>
              <w:t>8</w:t>
            </w:r>
          </w:p>
        </w:tc>
        <w:tc>
          <w:tcPr>
            <w:tcW w:w="327" w:type="pct"/>
            <w:hideMark/>
          </w:tcPr>
          <w:p w14:paraId="61B83E9D" w14:textId="77777777" w:rsidR="000D548B" w:rsidRPr="00F61679" w:rsidRDefault="000D548B" w:rsidP="009015A9">
            <w:pPr>
              <w:jc w:val="center"/>
              <w:rPr>
                <w:rFonts w:cs="Arial"/>
                <w:b/>
                <w:bCs/>
                <w:color w:val="000000"/>
              </w:rPr>
            </w:pPr>
            <w:r w:rsidRPr="00F61679">
              <w:rPr>
                <w:rFonts w:cs="Arial"/>
                <w:b/>
                <w:bCs/>
                <w:color w:val="000000"/>
              </w:rPr>
              <w:t>9</w:t>
            </w:r>
          </w:p>
        </w:tc>
        <w:tc>
          <w:tcPr>
            <w:tcW w:w="326" w:type="pct"/>
            <w:hideMark/>
          </w:tcPr>
          <w:p w14:paraId="7446E78C" w14:textId="77777777" w:rsidR="000D548B" w:rsidRPr="00F61679" w:rsidRDefault="000D548B" w:rsidP="009015A9">
            <w:pPr>
              <w:jc w:val="center"/>
              <w:rPr>
                <w:rFonts w:cs="Arial"/>
                <w:b/>
                <w:bCs/>
                <w:color w:val="000000"/>
              </w:rPr>
            </w:pPr>
            <w:r w:rsidRPr="00F61679">
              <w:rPr>
                <w:rFonts w:cs="Arial"/>
                <w:b/>
                <w:bCs/>
                <w:color w:val="000000"/>
              </w:rPr>
              <w:t>10</w:t>
            </w:r>
          </w:p>
        </w:tc>
        <w:tc>
          <w:tcPr>
            <w:tcW w:w="327" w:type="pct"/>
            <w:hideMark/>
          </w:tcPr>
          <w:p w14:paraId="5F2DCFE2" w14:textId="77777777" w:rsidR="000D548B" w:rsidRPr="00F61679" w:rsidRDefault="000D548B" w:rsidP="009015A9">
            <w:pPr>
              <w:jc w:val="center"/>
              <w:rPr>
                <w:rFonts w:cs="Arial"/>
                <w:b/>
                <w:bCs/>
                <w:color w:val="000000"/>
              </w:rPr>
            </w:pPr>
            <w:r w:rsidRPr="00F61679">
              <w:rPr>
                <w:rFonts w:cs="Arial"/>
                <w:b/>
                <w:bCs/>
                <w:color w:val="000000"/>
              </w:rPr>
              <w:t>11</w:t>
            </w:r>
          </w:p>
        </w:tc>
        <w:tc>
          <w:tcPr>
            <w:tcW w:w="327" w:type="pct"/>
            <w:hideMark/>
          </w:tcPr>
          <w:p w14:paraId="7B8CEBD6" w14:textId="77777777" w:rsidR="000D548B" w:rsidRPr="00F61679" w:rsidRDefault="000D548B" w:rsidP="009015A9">
            <w:pPr>
              <w:jc w:val="center"/>
              <w:rPr>
                <w:rFonts w:cs="Arial"/>
                <w:b/>
                <w:bCs/>
                <w:color w:val="000000"/>
              </w:rPr>
            </w:pPr>
            <w:r w:rsidRPr="00F61679">
              <w:rPr>
                <w:rFonts w:cs="Arial"/>
                <w:b/>
                <w:bCs/>
                <w:color w:val="000000"/>
              </w:rPr>
              <w:t>12</w:t>
            </w:r>
          </w:p>
        </w:tc>
        <w:tc>
          <w:tcPr>
            <w:tcW w:w="327" w:type="pct"/>
            <w:hideMark/>
          </w:tcPr>
          <w:p w14:paraId="68406FAB" w14:textId="4665B5BF" w:rsidR="000D548B" w:rsidRPr="00F61679" w:rsidRDefault="000D548B" w:rsidP="009015A9">
            <w:pPr>
              <w:jc w:val="center"/>
              <w:rPr>
                <w:rFonts w:cs="Arial"/>
                <w:b/>
                <w:bCs/>
                <w:color w:val="000000"/>
              </w:rPr>
            </w:pPr>
          </w:p>
        </w:tc>
        <w:tc>
          <w:tcPr>
            <w:tcW w:w="426" w:type="pct"/>
            <w:hideMark/>
          </w:tcPr>
          <w:p w14:paraId="0B08E7F0" w14:textId="77777777" w:rsidR="000D548B" w:rsidRPr="00F61679" w:rsidRDefault="000D548B" w:rsidP="009015A9">
            <w:pPr>
              <w:jc w:val="center"/>
              <w:rPr>
                <w:rFonts w:cs="Arial"/>
                <w:b/>
                <w:bCs/>
                <w:color w:val="000000"/>
              </w:rPr>
            </w:pPr>
            <w:r w:rsidRPr="00F61679">
              <w:rPr>
                <w:rFonts w:cs="Arial"/>
                <w:b/>
                <w:bCs/>
                <w:color w:val="000000"/>
              </w:rPr>
              <w:t>Total</w:t>
            </w:r>
          </w:p>
        </w:tc>
      </w:tr>
      <w:tr w:rsidR="00937B63" w:rsidRPr="00F61679" w14:paraId="63C1A437" w14:textId="77777777" w:rsidTr="00937B63">
        <w:trPr>
          <w:trHeight w:val="300"/>
        </w:trPr>
        <w:tc>
          <w:tcPr>
            <w:tcW w:w="325" w:type="pct"/>
            <w:vAlign w:val="bottom"/>
          </w:tcPr>
          <w:p w14:paraId="4B9E00A9" w14:textId="4E8515A0" w:rsidR="00937B63" w:rsidRPr="00F61679" w:rsidRDefault="00937B63" w:rsidP="00937B63">
            <w:pPr>
              <w:jc w:val="center"/>
              <w:rPr>
                <w:rFonts w:cs="Arial"/>
                <w:color w:val="000000"/>
              </w:rPr>
            </w:pPr>
            <w:r w:rsidRPr="00F61679">
              <w:rPr>
                <w:color w:val="000000"/>
              </w:rPr>
              <w:t>11</w:t>
            </w:r>
          </w:p>
        </w:tc>
        <w:tc>
          <w:tcPr>
            <w:tcW w:w="327" w:type="pct"/>
            <w:vAlign w:val="bottom"/>
          </w:tcPr>
          <w:p w14:paraId="078C357B" w14:textId="629B80F3" w:rsidR="00937B63" w:rsidRPr="00F61679" w:rsidRDefault="00937B63" w:rsidP="00937B63">
            <w:pPr>
              <w:jc w:val="center"/>
              <w:rPr>
                <w:rFonts w:cs="Arial"/>
                <w:color w:val="000000"/>
              </w:rPr>
            </w:pPr>
            <w:r w:rsidRPr="00F61679">
              <w:rPr>
                <w:color w:val="000000"/>
              </w:rPr>
              <w:t>24</w:t>
            </w:r>
          </w:p>
        </w:tc>
        <w:tc>
          <w:tcPr>
            <w:tcW w:w="327" w:type="pct"/>
            <w:vAlign w:val="bottom"/>
          </w:tcPr>
          <w:p w14:paraId="28EC5A3F" w14:textId="02AEE4B7" w:rsidR="00937B63" w:rsidRPr="00F61679" w:rsidRDefault="00937B63" w:rsidP="00937B63">
            <w:pPr>
              <w:jc w:val="center"/>
              <w:rPr>
                <w:rFonts w:cs="Arial"/>
                <w:color w:val="000000"/>
              </w:rPr>
            </w:pPr>
            <w:r w:rsidRPr="00F61679">
              <w:rPr>
                <w:color w:val="000000"/>
              </w:rPr>
              <w:t>26</w:t>
            </w:r>
          </w:p>
        </w:tc>
        <w:tc>
          <w:tcPr>
            <w:tcW w:w="326" w:type="pct"/>
            <w:vAlign w:val="bottom"/>
          </w:tcPr>
          <w:p w14:paraId="0E4EDCF6" w14:textId="0A88EC51" w:rsidR="00937B63" w:rsidRPr="00F61679" w:rsidRDefault="00937B63" w:rsidP="00937B63">
            <w:pPr>
              <w:jc w:val="center"/>
              <w:rPr>
                <w:rFonts w:cs="Arial"/>
                <w:color w:val="000000"/>
              </w:rPr>
            </w:pPr>
            <w:r w:rsidRPr="00F61679">
              <w:rPr>
                <w:color w:val="000000"/>
              </w:rPr>
              <w:t>27</w:t>
            </w:r>
          </w:p>
        </w:tc>
        <w:tc>
          <w:tcPr>
            <w:tcW w:w="327" w:type="pct"/>
            <w:vAlign w:val="bottom"/>
          </w:tcPr>
          <w:p w14:paraId="027F7415" w14:textId="41DE9CDF" w:rsidR="00937B63" w:rsidRPr="00F61679" w:rsidRDefault="00937B63" w:rsidP="00937B63">
            <w:pPr>
              <w:jc w:val="center"/>
              <w:rPr>
                <w:rFonts w:cs="Arial"/>
                <w:color w:val="000000"/>
              </w:rPr>
            </w:pPr>
            <w:r w:rsidRPr="00F61679">
              <w:rPr>
                <w:color w:val="000000"/>
              </w:rPr>
              <w:t>33</w:t>
            </w:r>
          </w:p>
        </w:tc>
        <w:tc>
          <w:tcPr>
            <w:tcW w:w="327" w:type="pct"/>
            <w:vAlign w:val="bottom"/>
          </w:tcPr>
          <w:p w14:paraId="6E94EB45" w14:textId="1434DF63" w:rsidR="00937B63" w:rsidRPr="00F61679" w:rsidRDefault="00937B63" w:rsidP="00937B63">
            <w:pPr>
              <w:jc w:val="center"/>
              <w:rPr>
                <w:rFonts w:cs="Arial"/>
                <w:color w:val="000000"/>
              </w:rPr>
            </w:pPr>
            <w:r w:rsidRPr="00F61679">
              <w:rPr>
                <w:color w:val="000000"/>
              </w:rPr>
              <w:t>50</w:t>
            </w:r>
          </w:p>
        </w:tc>
        <w:tc>
          <w:tcPr>
            <w:tcW w:w="327" w:type="pct"/>
            <w:vAlign w:val="bottom"/>
          </w:tcPr>
          <w:p w14:paraId="6212A543" w14:textId="4B6A8EFD" w:rsidR="00937B63" w:rsidRPr="00F61679" w:rsidRDefault="00937B63" w:rsidP="00937B63">
            <w:pPr>
              <w:jc w:val="center"/>
              <w:rPr>
                <w:rFonts w:cs="Arial"/>
                <w:color w:val="000000"/>
              </w:rPr>
            </w:pPr>
            <w:r w:rsidRPr="00F61679">
              <w:rPr>
                <w:color w:val="000000"/>
              </w:rPr>
              <w:t>43</w:t>
            </w:r>
          </w:p>
        </w:tc>
        <w:tc>
          <w:tcPr>
            <w:tcW w:w="326" w:type="pct"/>
            <w:vAlign w:val="bottom"/>
          </w:tcPr>
          <w:p w14:paraId="005ADB2D" w14:textId="51FC5853" w:rsidR="00937B63" w:rsidRPr="00F61679" w:rsidRDefault="00937B63" w:rsidP="00937B63">
            <w:pPr>
              <w:jc w:val="center"/>
              <w:rPr>
                <w:rFonts w:cs="Arial"/>
                <w:color w:val="000000"/>
              </w:rPr>
            </w:pPr>
            <w:r w:rsidRPr="00F61679">
              <w:rPr>
                <w:color w:val="000000"/>
              </w:rPr>
              <w:t>49</w:t>
            </w:r>
          </w:p>
        </w:tc>
        <w:tc>
          <w:tcPr>
            <w:tcW w:w="327" w:type="pct"/>
            <w:vAlign w:val="bottom"/>
          </w:tcPr>
          <w:p w14:paraId="38970D0A" w14:textId="58D54EE1" w:rsidR="00937B63" w:rsidRPr="00F61679" w:rsidRDefault="00937B63" w:rsidP="00937B63">
            <w:pPr>
              <w:jc w:val="center"/>
              <w:rPr>
                <w:rFonts w:cs="Arial"/>
                <w:color w:val="000000"/>
              </w:rPr>
            </w:pPr>
            <w:r w:rsidRPr="00F61679">
              <w:rPr>
                <w:color w:val="000000"/>
              </w:rPr>
              <w:t>72</w:t>
            </w:r>
          </w:p>
        </w:tc>
        <w:tc>
          <w:tcPr>
            <w:tcW w:w="327" w:type="pct"/>
            <w:vAlign w:val="bottom"/>
          </w:tcPr>
          <w:p w14:paraId="15DBFB40" w14:textId="0A3FE8B4" w:rsidR="00937B63" w:rsidRPr="00F61679" w:rsidRDefault="00937B63" w:rsidP="00937B63">
            <w:pPr>
              <w:jc w:val="center"/>
              <w:rPr>
                <w:rFonts w:cs="Arial"/>
                <w:color w:val="000000"/>
              </w:rPr>
            </w:pPr>
            <w:r w:rsidRPr="00F61679">
              <w:rPr>
                <w:color w:val="000000"/>
              </w:rPr>
              <w:t>86</w:t>
            </w:r>
          </w:p>
        </w:tc>
        <w:tc>
          <w:tcPr>
            <w:tcW w:w="326" w:type="pct"/>
            <w:vAlign w:val="bottom"/>
          </w:tcPr>
          <w:p w14:paraId="3342741B" w14:textId="50CF087F" w:rsidR="00937B63" w:rsidRPr="00F61679" w:rsidRDefault="00937B63" w:rsidP="00937B63">
            <w:pPr>
              <w:jc w:val="center"/>
              <w:rPr>
                <w:rFonts w:cs="Arial"/>
                <w:color w:val="000000"/>
              </w:rPr>
            </w:pPr>
            <w:r w:rsidRPr="00F61679">
              <w:rPr>
                <w:color w:val="000000"/>
              </w:rPr>
              <w:t>73</w:t>
            </w:r>
          </w:p>
        </w:tc>
        <w:tc>
          <w:tcPr>
            <w:tcW w:w="327" w:type="pct"/>
            <w:vAlign w:val="bottom"/>
          </w:tcPr>
          <w:p w14:paraId="176D0FF2" w14:textId="3185D870" w:rsidR="00937B63" w:rsidRPr="00F61679" w:rsidRDefault="00937B63" w:rsidP="00937B63">
            <w:pPr>
              <w:jc w:val="center"/>
              <w:rPr>
                <w:rFonts w:cs="Arial"/>
                <w:color w:val="000000"/>
              </w:rPr>
            </w:pPr>
            <w:r w:rsidRPr="00F61679">
              <w:rPr>
                <w:color w:val="000000"/>
              </w:rPr>
              <w:t>51</w:t>
            </w:r>
          </w:p>
        </w:tc>
        <w:tc>
          <w:tcPr>
            <w:tcW w:w="327" w:type="pct"/>
            <w:vAlign w:val="bottom"/>
          </w:tcPr>
          <w:p w14:paraId="4E096C1D" w14:textId="76CD1487" w:rsidR="00937B63" w:rsidRPr="00F61679" w:rsidRDefault="00937B63" w:rsidP="00937B63">
            <w:pPr>
              <w:jc w:val="center"/>
              <w:rPr>
                <w:rFonts w:cs="Arial"/>
                <w:color w:val="000000"/>
              </w:rPr>
            </w:pPr>
            <w:r w:rsidRPr="00F61679">
              <w:rPr>
                <w:color w:val="000000"/>
              </w:rPr>
              <w:t>45</w:t>
            </w:r>
          </w:p>
        </w:tc>
        <w:tc>
          <w:tcPr>
            <w:tcW w:w="327" w:type="pct"/>
            <w:vAlign w:val="bottom"/>
          </w:tcPr>
          <w:p w14:paraId="5A856D06" w14:textId="7698CD35" w:rsidR="00937B63" w:rsidRPr="00F61679" w:rsidRDefault="00937B63" w:rsidP="00937B63">
            <w:pPr>
              <w:jc w:val="center"/>
              <w:rPr>
                <w:rFonts w:cs="Arial"/>
                <w:color w:val="000000"/>
              </w:rPr>
            </w:pPr>
          </w:p>
        </w:tc>
        <w:tc>
          <w:tcPr>
            <w:tcW w:w="426" w:type="pct"/>
          </w:tcPr>
          <w:p w14:paraId="4BB46CE0" w14:textId="6E1F0DA6" w:rsidR="00937B63" w:rsidRPr="00F61679" w:rsidRDefault="00937B63" w:rsidP="00937B63">
            <w:pPr>
              <w:jc w:val="center"/>
              <w:rPr>
                <w:rFonts w:cs="Arial"/>
                <w:color w:val="000000"/>
              </w:rPr>
            </w:pPr>
            <w:r w:rsidRPr="00F61679">
              <w:rPr>
                <w:rFonts w:cs="Arial"/>
                <w:color w:val="000000"/>
              </w:rPr>
              <w:t>590</w:t>
            </w:r>
          </w:p>
        </w:tc>
      </w:tr>
    </w:tbl>
    <w:p w14:paraId="16C5BFD4" w14:textId="77777777" w:rsidR="000D548B" w:rsidRPr="00F61679" w:rsidRDefault="000D548B" w:rsidP="000D548B">
      <w:pPr>
        <w:pStyle w:val="sidetitle"/>
        <w:rPr>
          <w:b/>
          <w:sz w:val="28"/>
        </w:rPr>
      </w:pPr>
    </w:p>
    <w:p w14:paraId="3B5CE66E" w14:textId="7F77BBAA" w:rsidR="000D548B" w:rsidRDefault="000D548B" w:rsidP="00A0677B">
      <w:pPr>
        <w:pStyle w:val="sidehead"/>
        <w:framePr w:w="4441" w:wrap="notBeside" w:y="5"/>
        <w:pBdr>
          <w:top w:val="single" w:sz="8" w:space="1" w:color="auto"/>
        </w:pBdr>
        <w:rPr>
          <w:b/>
        </w:rPr>
      </w:pPr>
      <w:r w:rsidRPr="000D548B">
        <w:rPr>
          <w:b/>
        </w:rPr>
        <w:t xml:space="preserve">Enrollment by </w:t>
      </w:r>
      <w:r w:rsidR="00C30639">
        <w:rPr>
          <w:b/>
        </w:rPr>
        <w:t>race/ethnicity, FY2019</w:t>
      </w:r>
    </w:p>
    <w:p w14:paraId="7600EF90" w14:textId="502444AB" w:rsidR="000D548B" w:rsidRDefault="000D548B" w:rsidP="000D548B">
      <w:pPr>
        <w:pStyle w:val="sidetitle"/>
        <w:pBdr>
          <w:top w:val="single" w:sz="8" w:space="1" w:color="auto"/>
        </w:pBdr>
        <w:ind w:left="0"/>
        <w:rPr>
          <w:b/>
          <w:sz w:val="28"/>
        </w:rPr>
      </w:pPr>
    </w:p>
    <w:tbl>
      <w:tblPr>
        <w:tblStyle w:val="TableGrid"/>
        <w:tblW w:w="0" w:type="auto"/>
        <w:tblInd w:w="-635" w:type="dxa"/>
        <w:tblLook w:val="04A0" w:firstRow="1" w:lastRow="0" w:firstColumn="1" w:lastColumn="0" w:noHBand="0" w:noVBand="1"/>
        <w:tblCaption w:val="Enrollment by Race/Ethnicity "/>
      </w:tblPr>
      <w:tblGrid>
        <w:gridCol w:w="2982"/>
        <w:gridCol w:w="3313"/>
      </w:tblGrid>
      <w:tr w:rsidR="00EB1499" w:rsidRPr="005379BF" w14:paraId="1D7A8C6B" w14:textId="77777777" w:rsidTr="00EB1499">
        <w:trPr>
          <w:tblHeader/>
        </w:trPr>
        <w:tc>
          <w:tcPr>
            <w:tcW w:w="7105" w:type="dxa"/>
            <w:gridSpan w:val="2"/>
            <w:shd w:val="clear" w:color="auto" w:fill="BFBFBF" w:themeFill="background1" w:themeFillShade="BF"/>
          </w:tcPr>
          <w:p w14:paraId="4F2D71FB" w14:textId="502444AB" w:rsidR="00EB1499" w:rsidRPr="005379BF" w:rsidRDefault="00EB1499" w:rsidP="00EB1499">
            <w:pPr>
              <w:pStyle w:val="Table"/>
              <w:rPr>
                <w:rFonts w:cstheme="minorHAnsi"/>
                <w:b/>
                <w:szCs w:val="24"/>
              </w:rPr>
            </w:pPr>
            <w:r w:rsidRPr="005379BF">
              <w:rPr>
                <w:rFonts w:cstheme="minorHAnsi"/>
                <w:b/>
                <w:szCs w:val="24"/>
              </w:rPr>
              <w:t>Enrollment by Race/Ethnicity</w:t>
            </w:r>
          </w:p>
        </w:tc>
      </w:tr>
      <w:tr w:rsidR="00EB1499" w:rsidRPr="005379BF" w14:paraId="2B0B966E" w14:textId="77777777" w:rsidTr="00EB1499">
        <w:trPr>
          <w:tblHeader/>
        </w:trPr>
        <w:tc>
          <w:tcPr>
            <w:tcW w:w="3306" w:type="dxa"/>
            <w:shd w:val="clear" w:color="auto" w:fill="D9D9D9" w:themeFill="background1" w:themeFillShade="D9"/>
          </w:tcPr>
          <w:p w14:paraId="01699D5F" w14:textId="77777777" w:rsidR="00EB1499" w:rsidRPr="00F15055" w:rsidRDefault="00EB1499" w:rsidP="00713DBF">
            <w:pPr>
              <w:pStyle w:val="Table"/>
              <w:rPr>
                <w:rFonts w:cstheme="minorHAnsi"/>
                <w:b/>
                <w:szCs w:val="24"/>
              </w:rPr>
            </w:pPr>
            <w:r w:rsidRPr="00F15055">
              <w:rPr>
                <w:rFonts w:cstheme="minorHAnsi"/>
                <w:b/>
                <w:szCs w:val="24"/>
              </w:rPr>
              <w:t>Race/Ethnicity</w:t>
            </w:r>
          </w:p>
        </w:tc>
        <w:tc>
          <w:tcPr>
            <w:tcW w:w="3799" w:type="dxa"/>
            <w:shd w:val="clear" w:color="auto" w:fill="D9D9D9" w:themeFill="background1" w:themeFillShade="D9"/>
          </w:tcPr>
          <w:p w14:paraId="4BC6F757" w14:textId="77777777" w:rsidR="00EB1499" w:rsidRPr="005379BF" w:rsidRDefault="00EB1499" w:rsidP="00713DBF">
            <w:pPr>
              <w:pStyle w:val="Table"/>
              <w:jc w:val="center"/>
              <w:rPr>
                <w:rFonts w:cstheme="minorHAnsi"/>
                <w:b/>
                <w:szCs w:val="24"/>
              </w:rPr>
            </w:pPr>
            <w:r w:rsidRPr="005379BF">
              <w:rPr>
                <w:rFonts w:cstheme="minorHAnsi"/>
                <w:b/>
                <w:szCs w:val="24"/>
              </w:rPr>
              <w:t>Percentage of Student Body</w:t>
            </w:r>
          </w:p>
        </w:tc>
      </w:tr>
      <w:tr w:rsidR="00EB1499" w:rsidRPr="005379BF" w14:paraId="3856277A" w14:textId="77777777" w:rsidTr="00EB1499">
        <w:trPr>
          <w:tblHeader/>
        </w:trPr>
        <w:tc>
          <w:tcPr>
            <w:tcW w:w="3306" w:type="dxa"/>
            <w:shd w:val="clear" w:color="auto" w:fill="F2F2F2" w:themeFill="background1" w:themeFillShade="F2"/>
          </w:tcPr>
          <w:p w14:paraId="7696C663" w14:textId="77777777" w:rsidR="00EB1499" w:rsidRPr="00F15055" w:rsidRDefault="00EB1499" w:rsidP="00713DBF">
            <w:pPr>
              <w:pStyle w:val="Table"/>
              <w:rPr>
                <w:rFonts w:cstheme="minorHAnsi"/>
                <w:szCs w:val="24"/>
              </w:rPr>
            </w:pPr>
            <w:r w:rsidRPr="00F15055">
              <w:rPr>
                <w:rFonts w:cstheme="minorHAnsi"/>
                <w:szCs w:val="24"/>
              </w:rPr>
              <w:t>African-American</w:t>
            </w:r>
          </w:p>
        </w:tc>
        <w:tc>
          <w:tcPr>
            <w:tcW w:w="3799" w:type="dxa"/>
          </w:tcPr>
          <w:p w14:paraId="1145A84C" w14:textId="2A4B16DF" w:rsidR="00EB1499" w:rsidRPr="005379BF" w:rsidRDefault="00C84E51" w:rsidP="00713DBF">
            <w:pPr>
              <w:pStyle w:val="Table"/>
              <w:jc w:val="center"/>
              <w:rPr>
                <w:rFonts w:cstheme="minorHAnsi"/>
                <w:szCs w:val="24"/>
              </w:rPr>
            </w:pPr>
            <w:r>
              <w:rPr>
                <w:rFonts w:cstheme="minorHAnsi"/>
                <w:szCs w:val="24"/>
              </w:rPr>
              <w:t>11.0</w:t>
            </w:r>
          </w:p>
        </w:tc>
      </w:tr>
      <w:tr w:rsidR="00EB1499" w:rsidRPr="005379BF" w14:paraId="50AA1DBD" w14:textId="77777777" w:rsidTr="00EB1499">
        <w:trPr>
          <w:tblHeader/>
        </w:trPr>
        <w:tc>
          <w:tcPr>
            <w:tcW w:w="3306" w:type="dxa"/>
            <w:shd w:val="clear" w:color="auto" w:fill="F2F2F2" w:themeFill="background1" w:themeFillShade="F2"/>
          </w:tcPr>
          <w:p w14:paraId="5C35522E" w14:textId="77777777" w:rsidR="00EB1499" w:rsidRPr="00F15055" w:rsidRDefault="00EB1499" w:rsidP="00713DBF">
            <w:pPr>
              <w:pStyle w:val="Table"/>
              <w:rPr>
                <w:rFonts w:cstheme="minorHAnsi"/>
                <w:szCs w:val="24"/>
              </w:rPr>
            </w:pPr>
            <w:r w:rsidRPr="00F15055">
              <w:rPr>
                <w:rFonts w:cstheme="minorHAnsi"/>
                <w:szCs w:val="24"/>
              </w:rPr>
              <w:t>Asian</w:t>
            </w:r>
          </w:p>
        </w:tc>
        <w:tc>
          <w:tcPr>
            <w:tcW w:w="3799" w:type="dxa"/>
          </w:tcPr>
          <w:p w14:paraId="049E86E8" w14:textId="07F6DFB0" w:rsidR="00EB1499" w:rsidRPr="005379BF" w:rsidRDefault="00C84E51" w:rsidP="00713DBF">
            <w:pPr>
              <w:pStyle w:val="Table"/>
              <w:jc w:val="center"/>
              <w:rPr>
                <w:rFonts w:cstheme="minorHAnsi"/>
                <w:szCs w:val="24"/>
              </w:rPr>
            </w:pPr>
            <w:r>
              <w:rPr>
                <w:rFonts w:cstheme="minorHAnsi"/>
                <w:szCs w:val="24"/>
              </w:rPr>
              <w:t>4.2</w:t>
            </w:r>
          </w:p>
        </w:tc>
      </w:tr>
      <w:tr w:rsidR="00EB1499" w:rsidRPr="005379BF" w14:paraId="2D0002B2" w14:textId="77777777" w:rsidTr="00EB1499">
        <w:trPr>
          <w:tblHeader/>
        </w:trPr>
        <w:tc>
          <w:tcPr>
            <w:tcW w:w="3306" w:type="dxa"/>
            <w:shd w:val="clear" w:color="auto" w:fill="F2F2F2" w:themeFill="background1" w:themeFillShade="F2"/>
          </w:tcPr>
          <w:p w14:paraId="2943C2FD" w14:textId="77777777" w:rsidR="00EB1499" w:rsidRPr="00F15055" w:rsidRDefault="00EB1499" w:rsidP="00713DBF">
            <w:pPr>
              <w:pStyle w:val="Table"/>
              <w:rPr>
                <w:rFonts w:cstheme="minorHAnsi"/>
                <w:szCs w:val="24"/>
              </w:rPr>
            </w:pPr>
            <w:r w:rsidRPr="00F15055">
              <w:rPr>
                <w:rFonts w:cstheme="minorHAnsi"/>
                <w:szCs w:val="24"/>
              </w:rPr>
              <w:t>Hispanic</w:t>
            </w:r>
          </w:p>
        </w:tc>
        <w:tc>
          <w:tcPr>
            <w:tcW w:w="3799" w:type="dxa"/>
          </w:tcPr>
          <w:p w14:paraId="279C29E5" w14:textId="3DBC036E" w:rsidR="00EB1499" w:rsidRPr="005379BF" w:rsidRDefault="00C84E51" w:rsidP="00713DBF">
            <w:pPr>
              <w:pStyle w:val="Table"/>
              <w:jc w:val="center"/>
              <w:rPr>
                <w:rFonts w:cstheme="minorHAnsi"/>
                <w:szCs w:val="24"/>
              </w:rPr>
            </w:pPr>
            <w:r>
              <w:rPr>
                <w:rFonts w:cstheme="minorHAnsi"/>
                <w:szCs w:val="24"/>
              </w:rPr>
              <w:t>17.8</w:t>
            </w:r>
          </w:p>
        </w:tc>
      </w:tr>
      <w:tr w:rsidR="00EB1499" w:rsidRPr="005379BF" w14:paraId="0F3C07BE" w14:textId="77777777" w:rsidTr="00EB1499">
        <w:trPr>
          <w:tblHeader/>
        </w:trPr>
        <w:tc>
          <w:tcPr>
            <w:tcW w:w="3306" w:type="dxa"/>
            <w:shd w:val="clear" w:color="auto" w:fill="F2F2F2" w:themeFill="background1" w:themeFillShade="F2"/>
          </w:tcPr>
          <w:p w14:paraId="74742B98" w14:textId="77777777" w:rsidR="00EB1499" w:rsidRPr="00F15055" w:rsidRDefault="00EB1499" w:rsidP="00713DBF">
            <w:pPr>
              <w:pStyle w:val="Table"/>
              <w:rPr>
                <w:rFonts w:cstheme="minorHAnsi"/>
                <w:szCs w:val="24"/>
              </w:rPr>
            </w:pPr>
            <w:r w:rsidRPr="00F15055">
              <w:rPr>
                <w:rFonts w:cstheme="minorHAnsi"/>
                <w:szCs w:val="24"/>
              </w:rPr>
              <w:t>Native American</w:t>
            </w:r>
          </w:p>
        </w:tc>
        <w:tc>
          <w:tcPr>
            <w:tcW w:w="3799" w:type="dxa"/>
          </w:tcPr>
          <w:p w14:paraId="27B96A9E" w14:textId="36AF6B36" w:rsidR="00EB1499" w:rsidRPr="005379BF" w:rsidRDefault="00C84E51" w:rsidP="00713DBF">
            <w:pPr>
              <w:pStyle w:val="Table"/>
              <w:jc w:val="center"/>
              <w:rPr>
                <w:rFonts w:cstheme="minorHAnsi"/>
                <w:szCs w:val="24"/>
              </w:rPr>
            </w:pPr>
            <w:r>
              <w:rPr>
                <w:rFonts w:cstheme="minorHAnsi"/>
                <w:szCs w:val="24"/>
              </w:rPr>
              <w:t>0.3</w:t>
            </w:r>
          </w:p>
        </w:tc>
      </w:tr>
      <w:tr w:rsidR="00EB1499" w:rsidRPr="005379BF" w14:paraId="40E1CDBD" w14:textId="77777777" w:rsidTr="00EB1499">
        <w:trPr>
          <w:tblHeader/>
        </w:trPr>
        <w:tc>
          <w:tcPr>
            <w:tcW w:w="3306" w:type="dxa"/>
            <w:shd w:val="clear" w:color="auto" w:fill="F2F2F2" w:themeFill="background1" w:themeFillShade="F2"/>
          </w:tcPr>
          <w:p w14:paraId="0D01BD6C" w14:textId="77777777" w:rsidR="00EB1499" w:rsidRPr="00F15055" w:rsidRDefault="00EB1499" w:rsidP="00713DBF">
            <w:pPr>
              <w:pStyle w:val="Table"/>
              <w:rPr>
                <w:rFonts w:cstheme="minorHAnsi"/>
                <w:szCs w:val="24"/>
              </w:rPr>
            </w:pPr>
            <w:r w:rsidRPr="00F15055">
              <w:rPr>
                <w:rFonts w:cstheme="minorHAnsi"/>
                <w:szCs w:val="24"/>
              </w:rPr>
              <w:t>White</w:t>
            </w:r>
          </w:p>
        </w:tc>
        <w:tc>
          <w:tcPr>
            <w:tcW w:w="3799" w:type="dxa"/>
          </w:tcPr>
          <w:p w14:paraId="16CC90F5" w14:textId="3774F70D" w:rsidR="00EB1499" w:rsidRPr="005379BF" w:rsidRDefault="00C84E51" w:rsidP="00713DBF">
            <w:pPr>
              <w:pStyle w:val="Table"/>
              <w:jc w:val="center"/>
              <w:rPr>
                <w:rFonts w:cstheme="minorHAnsi"/>
                <w:szCs w:val="24"/>
              </w:rPr>
            </w:pPr>
            <w:r>
              <w:rPr>
                <w:rFonts w:cstheme="minorHAnsi"/>
                <w:szCs w:val="24"/>
              </w:rPr>
              <w:t>60.0</w:t>
            </w:r>
          </w:p>
        </w:tc>
      </w:tr>
      <w:tr w:rsidR="00EB1499" w:rsidRPr="005379BF" w14:paraId="3B437C1D" w14:textId="77777777" w:rsidTr="00EB1499">
        <w:trPr>
          <w:tblHeader/>
        </w:trPr>
        <w:tc>
          <w:tcPr>
            <w:tcW w:w="3306" w:type="dxa"/>
            <w:shd w:val="clear" w:color="auto" w:fill="F2F2F2" w:themeFill="background1" w:themeFillShade="F2"/>
          </w:tcPr>
          <w:p w14:paraId="319E911F" w14:textId="77777777" w:rsidR="00EB1499" w:rsidRPr="00F15055" w:rsidRDefault="00EB1499" w:rsidP="00713DBF">
            <w:pPr>
              <w:pStyle w:val="Table"/>
              <w:rPr>
                <w:rFonts w:cstheme="minorHAnsi"/>
                <w:szCs w:val="24"/>
              </w:rPr>
            </w:pPr>
            <w:r w:rsidRPr="00F15055">
              <w:rPr>
                <w:rFonts w:cstheme="minorHAnsi"/>
                <w:szCs w:val="24"/>
              </w:rPr>
              <w:t>Native Hawaiian, Pacific Islander</w:t>
            </w:r>
          </w:p>
        </w:tc>
        <w:tc>
          <w:tcPr>
            <w:tcW w:w="3799" w:type="dxa"/>
          </w:tcPr>
          <w:p w14:paraId="2B32145A" w14:textId="2BD4B675" w:rsidR="00EB1499" w:rsidRPr="005379BF" w:rsidRDefault="00C84E51" w:rsidP="00713DBF">
            <w:pPr>
              <w:pStyle w:val="Table"/>
              <w:jc w:val="center"/>
              <w:rPr>
                <w:rFonts w:cstheme="minorHAnsi"/>
                <w:szCs w:val="24"/>
              </w:rPr>
            </w:pPr>
            <w:r>
              <w:rPr>
                <w:rFonts w:cstheme="minorHAnsi"/>
                <w:szCs w:val="24"/>
              </w:rPr>
              <w:t>0.7</w:t>
            </w:r>
          </w:p>
        </w:tc>
      </w:tr>
    </w:tbl>
    <w:p w14:paraId="304FA14D" w14:textId="77777777" w:rsidR="00A0677B" w:rsidRDefault="00A0677B" w:rsidP="00A0677B">
      <w:pPr>
        <w:pStyle w:val="sidehead"/>
        <w:framePr w:w="9871" w:h="391" w:hRule="exact" w:wrap="around" w:vAnchor="page" w:x="931" w:y="9496"/>
        <w:pBdr>
          <w:top w:val="single" w:sz="8" w:space="1" w:color="auto"/>
        </w:pBdr>
        <w:rPr>
          <w:b/>
        </w:rPr>
      </w:pPr>
      <w:r w:rsidRPr="000D548B">
        <w:rPr>
          <w:b/>
        </w:rPr>
        <w:t xml:space="preserve">Enrollment by </w:t>
      </w:r>
      <w:r>
        <w:rPr>
          <w:b/>
        </w:rPr>
        <w:t>selected populations, FY2019</w:t>
      </w:r>
    </w:p>
    <w:tbl>
      <w:tblPr>
        <w:tblStyle w:val="TableGrid"/>
        <w:tblW w:w="0" w:type="auto"/>
        <w:tblInd w:w="-635" w:type="dxa"/>
        <w:tblLook w:val="04A0" w:firstRow="1" w:lastRow="0" w:firstColumn="1" w:lastColumn="0" w:noHBand="0" w:noVBand="1"/>
        <w:tblCaption w:val="Enrollment by Race/Ethnicity "/>
      </w:tblPr>
      <w:tblGrid>
        <w:gridCol w:w="2981"/>
        <w:gridCol w:w="3314"/>
      </w:tblGrid>
      <w:tr w:rsidR="00EB1499" w:rsidRPr="005379BF" w14:paraId="5F1E15F4" w14:textId="77777777" w:rsidTr="00EB1499">
        <w:trPr>
          <w:tblHeader/>
        </w:trPr>
        <w:tc>
          <w:tcPr>
            <w:tcW w:w="3306" w:type="dxa"/>
            <w:shd w:val="clear" w:color="auto" w:fill="F2F2F2" w:themeFill="background1" w:themeFillShade="F2"/>
          </w:tcPr>
          <w:p w14:paraId="26FD3FF3" w14:textId="7DA27477" w:rsidR="00EB1499" w:rsidRPr="00F15055" w:rsidRDefault="00EB1499" w:rsidP="00713DBF">
            <w:pPr>
              <w:pStyle w:val="Table"/>
              <w:rPr>
                <w:rFonts w:cstheme="minorHAnsi"/>
                <w:szCs w:val="24"/>
              </w:rPr>
            </w:pPr>
            <w:r w:rsidRPr="00F15055">
              <w:rPr>
                <w:rFonts w:cstheme="minorHAnsi"/>
                <w:szCs w:val="24"/>
              </w:rPr>
              <w:t>Multi-Race, Non Hispanic</w:t>
            </w:r>
          </w:p>
        </w:tc>
        <w:tc>
          <w:tcPr>
            <w:tcW w:w="3799" w:type="dxa"/>
          </w:tcPr>
          <w:p w14:paraId="5C8B17D4" w14:textId="74E94431" w:rsidR="00EB1499" w:rsidRPr="005379BF" w:rsidRDefault="00C84E51" w:rsidP="00713DBF">
            <w:pPr>
              <w:pStyle w:val="Table"/>
              <w:jc w:val="center"/>
              <w:rPr>
                <w:rFonts w:cstheme="minorHAnsi"/>
                <w:szCs w:val="24"/>
              </w:rPr>
            </w:pPr>
            <w:r>
              <w:rPr>
                <w:rFonts w:cstheme="minorHAnsi"/>
                <w:szCs w:val="24"/>
              </w:rPr>
              <w:t>5.9</w:t>
            </w:r>
          </w:p>
        </w:tc>
      </w:tr>
      <w:tr w:rsidR="00EB1499" w:rsidRPr="005379BF" w14:paraId="203FC9AB" w14:textId="77777777" w:rsidTr="00A0677B">
        <w:trPr>
          <w:tblHeader/>
        </w:trPr>
        <w:tc>
          <w:tcPr>
            <w:tcW w:w="6295" w:type="dxa"/>
            <w:gridSpan w:val="2"/>
            <w:shd w:val="clear" w:color="auto" w:fill="BFBFBF" w:themeFill="background1" w:themeFillShade="BF"/>
          </w:tcPr>
          <w:p w14:paraId="2B1A0508" w14:textId="77E560FF" w:rsidR="00EB1499" w:rsidRPr="005379BF" w:rsidRDefault="00EB1499" w:rsidP="00EB1499">
            <w:pPr>
              <w:pStyle w:val="Table"/>
              <w:rPr>
                <w:rFonts w:cstheme="minorHAnsi"/>
                <w:b/>
                <w:szCs w:val="24"/>
              </w:rPr>
            </w:pPr>
            <w:r w:rsidRPr="005379BF">
              <w:rPr>
                <w:rFonts w:cstheme="minorHAnsi"/>
                <w:b/>
                <w:szCs w:val="24"/>
              </w:rPr>
              <w:t>Selected Populations</w:t>
            </w:r>
          </w:p>
        </w:tc>
      </w:tr>
      <w:tr w:rsidR="00EB1499" w:rsidRPr="005379BF" w14:paraId="2132D1FE" w14:textId="77777777" w:rsidTr="00A0677B">
        <w:trPr>
          <w:tblHeader/>
        </w:trPr>
        <w:tc>
          <w:tcPr>
            <w:tcW w:w="2979" w:type="dxa"/>
            <w:shd w:val="clear" w:color="auto" w:fill="D9D9D9" w:themeFill="background1" w:themeFillShade="D9"/>
          </w:tcPr>
          <w:p w14:paraId="4A285CB8" w14:textId="77777777" w:rsidR="00EB1499" w:rsidRPr="00F15055" w:rsidRDefault="00EB1499" w:rsidP="00713DBF">
            <w:pPr>
              <w:pStyle w:val="Table"/>
              <w:rPr>
                <w:rFonts w:cstheme="minorHAnsi"/>
                <w:b/>
                <w:szCs w:val="24"/>
              </w:rPr>
            </w:pPr>
            <w:r w:rsidRPr="00F15055">
              <w:rPr>
                <w:rFonts w:cstheme="minorHAnsi"/>
                <w:b/>
                <w:szCs w:val="24"/>
              </w:rPr>
              <w:t>Title</w:t>
            </w:r>
          </w:p>
        </w:tc>
        <w:tc>
          <w:tcPr>
            <w:tcW w:w="3316" w:type="dxa"/>
            <w:shd w:val="clear" w:color="auto" w:fill="D9D9D9" w:themeFill="background1" w:themeFillShade="D9"/>
          </w:tcPr>
          <w:p w14:paraId="0979D025" w14:textId="77777777" w:rsidR="00EB1499" w:rsidRPr="005379BF" w:rsidRDefault="00EB1499" w:rsidP="00713DBF">
            <w:pPr>
              <w:pStyle w:val="Table"/>
              <w:jc w:val="center"/>
              <w:rPr>
                <w:rFonts w:cstheme="minorHAnsi"/>
                <w:b/>
                <w:szCs w:val="24"/>
              </w:rPr>
            </w:pPr>
            <w:r w:rsidRPr="005379BF">
              <w:rPr>
                <w:rFonts w:cstheme="minorHAnsi"/>
                <w:b/>
                <w:szCs w:val="24"/>
              </w:rPr>
              <w:t>Percentage of Student Body</w:t>
            </w:r>
          </w:p>
        </w:tc>
      </w:tr>
      <w:tr w:rsidR="00EB1499" w:rsidRPr="005379BF" w14:paraId="44BCB681" w14:textId="77777777" w:rsidTr="00A0677B">
        <w:trPr>
          <w:tblHeader/>
        </w:trPr>
        <w:tc>
          <w:tcPr>
            <w:tcW w:w="2979" w:type="dxa"/>
            <w:shd w:val="clear" w:color="auto" w:fill="F2F2F2" w:themeFill="background1" w:themeFillShade="F2"/>
          </w:tcPr>
          <w:p w14:paraId="35AEB9BE" w14:textId="77777777" w:rsidR="00EB1499" w:rsidRPr="00F15055" w:rsidRDefault="00EB1499" w:rsidP="00713DBF">
            <w:pPr>
              <w:pStyle w:val="Table"/>
              <w:rPr>
                <w:rFonts w:cstheme="minorHAnsi"/>
                <w:szCs w:val="24"/>
              </w:rPr>
            </w:pPr>
            <w:r w:rsidRPr="00F15055">
              <w:rPr>
                <w:rFonts w:cstheme="minorHAnsi"/>
                <w:szCs w:val="24"/>
              </w:rPr>
              <w:t>First Language not English</w:t>
            </w:r>
          </w:p>
        </w:tc>
        <w:tc>
          <w:tcPr>
            <w:tcW w:w="3316" w:type="dxa"/>
          </w:tcPr>
          <w:p w14:paraId="0B1877E8" w14:textId="6B68C591" w:rsidR="00EB1499" w:rsidRPr="005379BF" w:rsidRDefault="00C84E51" w:rsidP="00713DBF">
            <w:pPr>
              <w:pStyle w:val="Table"/>
              <w:jc w:val="center"/>
              <w:rPr>
                <w:rFonts w:cstheme="minorHAnsi"/>
                <w:szCs w:val="24"/>
              </w:rPr>
            </w:pPr>
            <w:r>
              <w:rPr>
                <w:rFonts w:cstheme="minorHAnsi"/>
                <w:szCs w:val="24"/>
              </w:rPr>
              <w:t>4.2</w:t>
            </w:r>
          </w:p>
        </w:tc>
      </w:tr>
      <w:tr w:rsidR="00EB1499" w:rsidRPr="005379BF" w14:paraId="2C51F387" w14:textId="77777777" w:rsidTr="00A0677B">
        <w:trPr>
          <w:tblHeader/>
        </w:trPr>
        <w:tc>
          <w:tcPr>
            <w:tcW w:w="2979" w:type="dxa"/>
            <w:shd w:val="clear" w:color="auto" w:fill="F2F2F2" w:themeFill="background1" w:themeFillShade="F2"/>
          </w:tcPr>
          <w:p w14:paraId="16B247AF" w14:textId="77777777" w:rsidR="00EB1499" w:rsidRPr="00F15055" w:rsidRDefault="00EB1499" w:rsidP="00713DBF">
            <w:pPr>
              <w:pStyle w:val="Table"/>
              <w:rPr>
                <w:rFonts w:cstheme="minorHAnsi"/>
                <w:szCs w:val="24"/>
              </w:rPr>
            </w:pPr>
            <w:r w:rsidRPr="00F15055">
              <w:rPr>
                <w:rFonts w:cstheme="minorHAnsi"/>
                <w:szCs w:val="24"/>
              </w:rPr>
              <w:t>English Language Learner</w:t>
            </w:r>
          </w:p>
        </w:tc>
        <w:tc>
          <w:tcPr>
            <w:tcW w:w="3316" w:type="dxa"/>
          </w:tcPr>
          <w:p w14:paraId="5074CFBA" w14:textId="24DE099B" w:rsidR="00EB1499" w:rsidRPr="005379BF" w:rsidRDefault="00C84E51" w:rsidP="00713DBF">
            <w:pPr>
              <w:pStyle w:val="Table"/>
              <w:jc w:val="center"/>
              <w:rPr>
                <w:rFonts w:cstheme="minorHAnsi"/>
                <w:szCs w:val="24"/>
              </w:rPr>
            </w:pPr>
            <w:r>
              <w:rPr>
                <w:rFonts w:cstheme="minorHAnsi"/>
                <w:szCs w:val="24"/>
              </w:rPr>
              <w:t>0.2</w:t>
            </w:r>
          </w:p>
        </w:tc>
      </w:tr>
      <w:tr w:rsidR="00EB1499" w:rsidRPr="005379BF" w14:paraId="3455A4EA" w14:textId="77777777" w:rsidTr="00A0677B">
        <w:trPr>
          <w:tblHeader/>
        </w:trPr>
        <w:tc>
          <w:tcPr>
            <w:tcW w:w="2979" w:type="dxa"/>
            <w:shd w:val="clear" w:color="auto" w:fill="F2F2F2" w:themeFill="background1" w:themeFillShade="F2"/>
          </w:tcPr>
          <w:p w14:paraId="5EF85D87" w14:textId="77777777" w:rsidR="00EB1499" w:rsidRPr="00F15055" w:rsidRDefault="00EB1499" w:rsidP="00713DBF">
            <w:pPr>
              <w:pStyle w:val="Table"/>
              <w:rPr>
                <w:rFonts w:cstheme="minorHAnsi"/>
                <w:szCs w:val="24"/>
              </w:rPr>
            </w:pPr>
            <w:r w:rsidRPr="00F15055">
              <w:rPr>
                <w:rFonts w:cstheme="minorHAnsi"/>
                <w:szCs w:val="24"/>
              </w:rPr>
              <w:t>Students with Disabilities</w:t>
            </w:r>
          </w:p>
        </w:tc>
        <w:tc>
          <w:tcPr>
            <w:tcW w:w="3316" w:type="dxa"/>
          </w:tcPr>
          <w:p w14:paraId="7928FBED" w14:textId="09EEFEC4" w:rsidR="00EB1499" w:rsidRPr="005379BF" w:rsidRDefault="00C84E51" w:rsidP="00713DBF">
            <w:pPr>
              <w:pStyle w:val="Table"/>
              <w:jc w:val="center"/>
              <w:rPr>
                <w:rFonts w:cstheme="minorHAnsi"/>
                <w:szCs w:val="24"/>
              </w:rPr>
            </w:pPr>
            <w:r>
              <w:rPr>
                <w:rFonts w:cstheme="minorHAnsi"/>
                <w:szCs w:val="24"/>
              </w:rPr>
              <w:t>21.2</w:t>
            </w:r>
          </w:p>
        </w:tc>
      </w:tr>
      <w:tr w:rsidR="00EB1499" w:rsidRPr="005379BF" w14:paraId="296F2711" w14:textId="77777777" w:rsidTr="00A0677B">
        <w:trPr>
          <w:tblHeader/>
        </w:trPr>
        <w:tc>
          <w:tcPr>
            <w:tcW w:w="2979" w:type="dxa"/>
            <w:shd w:val="clear" w:color="auto" w:fill="F2F2F2" w:themeFill="background1" w:themeFillShade="F2"/>
          </w:tcPr>
          <w:p w14:paraId="54A47B8D" w14:textId="77777777" w:rsidR="00EB1499" w:rsidRPr="00F15055" w:rsidRDefault="00EB1499" w:rsidP="00713DBF">
            <w:pPr>
              <w:pStyle w:val="Table"/>
              <w:rPr>
                <w:rFonts w:cstheme="minorHAnsi"/>
                <w:szCs w:val="24"/>
              </w:rPr>
            </w:pPr>
            <w:r w:rsidRPr="00F15055">
              <w:rPr>
                <w:rFonts w:cstheme="minorHAnsi"/>
                <w:szCs w:val="24"/>
              </w:rPr>
              <w:t>High Needs</w:t>
            </w:r>
          </w:p>
        </w:tc>
        <w:tc>
          <w:tcPr>
            <w:tcW w:w="3316" w:type="dxa"/>
          </w:tcPr>
          <w:p w14:paraId="4524A232" w14:textId="166A253A" w:rsidR="00EB1499" w:rsidRPr="005379BF" w:rsidRDefault="00C84E51" w:rsidP="00713DBF">
            <w:pPr>
              <w:pStyle w:val="Table"/>
              <w:jc w:val="center"/>
              <w:rPr>
                <w:rFonts w:cstheme="minorHAnsi"/>
                <w:szCs w:val="24"/>
              </w:rPr>
            </w:pPr>
            <w:r>
              <w:rPr>
                <w:rFonts w:cstheme="minorHAnsi"/>
                <w:szCs w:val="24"/>
              </w:rPr>
              <w:t>57.6</w:t>
            </w:r>
          </w:p>
        </w:tc>
      </w:tr>
      <w:tr w:rsidR="00EB1499" w:rsidRPr="005379BF" w14:paraId="65B74004" w14:textId="77777777" w:rsidTr="00A0677B">
        <w:trPr>
          <w:tblHeader/>
        </w:trPr>
        <w:tc>
          <w:tcPr>
            <w:tcW w:w="2979" w:type="dxa"/>
            <w:shd w:val="clear" w:color="auto" w:fill="F2F2F2" w:themeFill="background1" w:themeFillShade="F2"/>
          </w:tcPr>
          <w:p w14:paraId="283A74EB" w14:textId="77777777" w:rsidR="00EB1499" w:rsidRPr="00F15055" w:rsidRDefault="00EB1499" w:rsidP="00713DBF">
            <w:pPr>
              <w:pStyle w:val="Table"/>
              <w:rPr>
                <w:rFonts w:cstheme="minorHAnsi"/>
                <w:szCs w:val="24"/>
              </w:rPr>
            </w:pPr>
            <w:r w:rsidRPr="00F15055">
              <w:rPr>
                <w:rFonts w:cstheme="minorHAnsi"/>
                <w:szCs w:val="24"/>
              </w:rPr>
              <w:t>Economically Disadvantaged</w:t>
            </w:r>
          </w:p>
        </w:tc>
        <w:tc>
          <w:tcPr>
            <w:tcW w:w="3316" w:type="dxa"/>
          </w:tcPr>
          <w:p w14:paraId="65A4289F" w14:textId="11437FFC" w:rsidR="00EB1499" w:rsidRPr="005379BF" w:rsidRDefault="00C84E51" w:rsidP="00713DBF">
            <w:pPr>
              <w:pStyle w:val="Table"/>
              <w:jc w:val="center"/>
              <w:rPr>
                <w:rFonts w:cstheme="minorHAnsi"/>
                <w:szCs w:val="24"/>
              </w:rPr>
            </w:pPr>
            <w:r>
              <w:rPr>
                <w:rFonts w:cstheme="minorHAnsi"/>
                <w:szCs w:val="24"/>
              </w:rPr>
              <w:t>48.5</w:t>
            </w:r>
          </w:p>
        </w:tc>
      </w:tr>
    </w:tbl>
    <w:p w14:paraId="0645A935" w14:textId="77777777" w:rsidR="002563B3" w:rsidRDefault="002563B3" w:rsidP="002563B3">
      <w:pPr>
        <w:pStyle w:val="Heading1"/>
        <w:pBdr>
          <w:bottom w:val="single" w:sz="36" w:space="1" w:color="auto"/>
        </w:pBdr>
        <w:ind w:left="-2880"/>
        <w:sectPr w:rsidR="002563B3" w:rsidSect="00A0677B">
          <w:footerReference w:type="first" r:id="rId33"/>
          <w:pgSz w:w="12240" w:h="15840"/>
          <w:pgMar w:top="1440" w:right="1440" w:bottom="1440" w:left="5130" w:header="720" w:footer="720" w:gutter="0"/>
          <w:cols w:space="720"/>
          <w:docGrid w:linePitch="360"/>
        </w:sectPr>
      </w:pPr>
    </w:p>
    <w:p w14:paraId="63526A43" w14:textId="08A9BA2F" w:rsidR="000D548B" w:rsidRPr="00C84E51" w:rsidRDefault="000D548B" w:rsidP="00A0677B">
      <w:pPr>
        <w:pStyle w:val="Heading1"/>
        <w:pBdr>
          <w:bottom w:val="single" w:sz="36" w:space="1" w:color="auto"/>
        </w:pBdr>
        <w:ind w:left="-2160" w:firstLine="2160"/>
      </w:pPr>
      <w:bookmarkStart w:id="9" w:name="_Toc2324597"/>
      <w:r>
        <w:lastRenderedPageBreak/>
        <w:t xml:space="preserve">Appendix </w:t>
      </w:r>
      <w:r w:rsidRPr="00C84E51">
        <w:t>C: Academic data</w:t>
      </w:r>
      <w:bookmarkEnd w:id="9"/>
    </w:p>
    <w:p w14:paraId="79B1D0D0" w14:textId="102369D5" w:rsidR="002563B3" w:rsidRPr="002563B3" w:rsidRDefault="002563B3" w:rsidP="00E7321B"/>
    <w:p w14:paraId="690B6AC3" w14:textId="2E09DCDF" w:rsidR="00E7321B" w:rsidRPr="00602F7B" w:rsidRDefault="00E7321B" w:rsidP="00E7321B">
      <w:pPr>
        <w:ind w:left="360"/>
      </w:pPr>
      <w:r w:rsidRPr="00602F7B">
        <w:t>The purpose of the statewide accountability system is to provide clear, actionable information about school performance. The accountability indicators used for each school depend on the grades served and the assessments administered. Following is summary information for</w:t>
      </w:r>
      <w:r>
        <w:t xml:space="preserve"> </w:t>
      </w:r>
      <w:r w:rsidR="00E734A3">
        <w:t>GCVS</w:t>
      </w:r>
      <w:r w:rsidRPr="00602F7B">
        <w:t xml:space="preserve"> over the </w:t>
      </w:r>
      <w:r>
        <w:t>past four years</w:t>
      </w:r>
      <w:r w:rsidRPr="00602F7B">
        <w:t>, with any areas of significant concern described in further detail. More detailed information related to</w:t>
      </w:r>
      <w:r>
        <w:t xml:space="preserve"> student performance </w:t>
      </w:r>
      <w:r w:rsidRPr="00602F7B">
        <w:t>is included on the Department’s website (</w:t>
      </w:r>
      <w:hyperlink r:id="rId34" w:history="1">
        <w:r w:rsidRPr="00CE4E96">
          <w:rPr>
            <w:rStyle w:val="Hyperlink"/>
          </w:rPr>
          <w:t>http://profiles.doe.mass.edu/accountability/report/school.aspx?linkid=31&amp;orgcode=39010900&amp;orgtypecode=6&amp;</w:t>
        </w:r>
      </w:hyperlink>
      <w:r w:rsidRPr="00602F7B">
        <w:t>). Please note that in general, c</w:t>
      </w:r>
      <w:r w:rsidRPr="00602F7B">
        <w:rPr>
          <w:rFonts w:cstheme="minorHAnsi"/>
        </w:rPr>
        <w:t>aution is required when making comparisons across years when there were changes to the state accountability system. As a result of significant changes to the state’s accountability system in 2018, comparisons between 2018 accountability results and historical accountability data should not be made.</w:t>
      </w:r>
    </w:p>
    <w:p w14:paraId="3B5B436F" w14:textId="41DDFA2E" w:rsidR="00E7321B" w:rsidRPr="00602F7B" w:rsidRDefault="00E7321B" w:rsidP="00E7321B">
      <w:pPr>
        <w:ind w:left="360"/>
        <w:rPr>
          <w:rFonts w:cstheme="minorHAnsi"/>
          <w:i/>
        </w:rPr>
      </w:pPr>
      <w:r w:rsidRPr="00602F7B">
        <w:rPr>
          <w:rFonts w:cstheme="minorHAnsi"/>
          <w:i/>
        </w:rPr>
        <w:t>Accountability and Assistance Level/Overall Classification</w:t>
      </w:r>
    </w:p>
    <w:p w14:paraId="3736DEDA" w14:textId="77777777" w:rsidR="00E7321B" w:rsidRDefault="00E7321B" w:rsidP="00E7321B">
      <w:pPr>
        <w:ind w:left="360"/>
        <w:rPr>
          <w:rFonts w:cstheme="minorHAnsi"/>
        </w:rPr>
      </w:pPr>
      <w:r w:rsidRPr="00602F7B">
        <w:rPr>
          <w:rFonts w:cstheme="minorHAnsi"/>
        </w:rPr>
        <w:t>Prior to 2018, all Massachusetts schools and districts with sufficient data were classified into one of five accountability and assistance levels (1-5), with the highest performing in Level 1 and lowest performing in Level 5. Beginning in 2018, all Massachusetts districts and schools with sufficient data were classified into one of two accountability categories: districts and schools requiring assistance or intervention, and districts and schools without required assistance or intervention.</w:t>
      </w:r>
    </w:p>
    <w:p w14:paraId="4F102FC1" w14:textId="77777777" w:rsidR="00E7321B" w:rsidRPr="00602F7B" w:rsidRDefault="00E7321B" w:rsidP="00E7321B">
      <w:pPr>
        <w:ind w:left="360"/>
        <w:rPr>
          <w:rFonts w:cstheme="minorHAnsi"/>
        </w:rPr>
      </w:pPr>
    </w:p>
    <w:tbl>
      <w:tblPr>
        <w:tblStyle w:val="TableGrid"/>
        <w:tblW w:w="5000" w:type="pct"/>
        <w:tblLook w:val="04A0" w:firstRow="1" w:lastRow="0" w:firstColumn="1" w:lastColumn="0" w:noHBand="0" w:noVBand="1"/>
        <w:tblCaption w:val="Economically Disadvantaged (Percent Enrolled)"/>
      </w:tblPr>
      <w:tblGrid>
        <w:gridCol w:w="2333"/>
        <w:gridCol w:w="2334"/>
        <w:gridCol w:w="2334"/>
        <w:gridCol w:w="2349"/>
      </w:tblGrid>
      <w:tr w:rsidR="00E7321B" w:rsidRPr="00602F7B" w14:paraId="374FD78D" w14:textId="77777777" w:rsidTr="00F24C69">
        <w:trPr>
          <w:tblHeader/>
        </w:trPr>
        <w:tc>
          <w:tcPr>
            <w:tcW w:w="3744" w:type="pct"/>
            <w:gridSpan w:val="3"/>
            <w:shd w:val="clear" w:color="auto" w:fill="BFBFBF" w:themeFill="background1" w:themeFillShade="BF"/>
          </w:tcPr>
          <w:p w14:paraId="3B04E1CB" w14:textId="77777777" w:rsidR="00E7321B" w:rsidRPr="00602F7B" w:rsidRDefault="00E7321B" w:rsidP="00F24C69">
            <w:pPr>
              <w:spacing w:before="80" w:after="80"/>
              <w:ind w:left="360"/>
              <w:rPr>
                <w:b/>
              </w:rPr>
            </w:pPr>
            <w:r w:rsidRPr="00602F7B">
              <w:rPr>
                <w:b/>
              </w:rPr>
              <w:t>Accountability and Assistance Level</w:t>
            </w:r>
          </w:p>
        </w:tc>
        <w:tc>
          <w:tcPr>
            <w:tcW w:w="1256" w:type="pct"/>
            <w:shd w:val="clear" w:color="auto" w:fill="BFBFBF" w:themeFill="background1" w:themeFillShade="BF"/>
          </w:tcPr>
          <w:p w14:paraId="45570B0D" w14:textId="77777777" w:rsidR="00E7321B" w:rsidRPr="00602F7B" w:rsidRDefault="00E7321B" w:rsidP="00F24C69">
            <w:pPr>
              <w:spacing w:before="80" w:after="80"/>
              <w:ind w:left="360"/>
              <w:rPr>
                <w:b/>
              </w:rPr>
            </w:pPr>
            <w:r w:rsidRPr="00602F7B">
              <w:rPr>
                <w:b/>
              </w:rPr>
              <w:t>Overall Classification</w:t>
            </w:r>
          </w:p>
        </w:tc>
      </w:tr>
      <w:tr w:rsidR="00E7321B" w:rsidRPr="00602F7B" w14:paraId="5782FA59" w14:textId="77777777" w:rsidTr="00F24C69">
        <w:trPr>
          <w:tblHeader/>
        </w:trPr>
        <w:tc>
          <w:tcPr>
            <w:tcW w:w="1248" w:type="pct"/>
            <w:tcBorders>
              <w:bottom w:val="single" w:sz="4" w:space="0" w:color="auto"/>
            </w:tcBorders>
            <w:shd w:val="clear" w:color="auto" w:fill="D9D9D9" w:themeFill="background1" w:themeFillShade="D9"/>
          </w:tcPr>
          <w:p w14:paraId="0D0D104C" w14:textId="77777777" w:rsidR="00E7321B" w:rsidRPr="00602F7B" w:rsidRDefault="00E7321B" w:rsidP="00F24C69">
            <w:pPr>
              <w:spacing w:before="80" w:after="80"/>
              <w:ind w:left="360"/>
              <w:jc w:val="center"/>
              <w:rPr>
                <w:b/>
              </w:rPr>
            </w:pPr>
            <w:r w:rsidRPr="00602F7B">
              <w:rPr>
                <w:b/>
              </w:rPr>
              <w:t>2015</w:t>
            </w:r>
          </w:p>
        </w:tc>
        <w:tc>
          <w:tcPr>
            <w:tcW w:w="1248" w:type="pct"/>
            <w:tcBorders>
              <w:bottom w:val="single" w:sz="4" w:space="0" w:color="auto"/>
            </w:tcBorders>
            <w:shd w:val="clear" w:color="auto" w:fill="D9D9D9" w:themeFill="background1" w:themeFillShade="D9"/>
          </w:tcPr>
          <w:p w14:paraId="4936DF71" w14:textId="77777777" w:rsidR="00E7321B" w:rsidRPr="00602F7B" w:rsidRDefault="00E7321B" w:rsidP="00F24C69">
            <w:pPr>
              <w:spacing w:before="80" w:after="80"/>
              <w:ind w:left="360"/>
              <w:jc w:val="center"/>
              <w:rPr>
                <w:b/>
              </w:rPr>
            </w:pPr>
            <w:r w:rsidRPr="00602F7B">
              <w:rPr>
                <w:b/>
              </w:rPr>
              <w:t>2016</w:t>
            </w:r>
          </w:p>
        </w:tc>
        <w:tc>
          <w:tcPr>
            <w:tcW w:w="1248" w:type="pct"/>
            <w:tcBorders>
              <w:bottom w:val="single" w:sz="4" w:space="0" w:color="auto"/>
            </w:tcBorders>
            <w:shd w:val="clear" w:color="auto" w:fill="D9D9D9" w:themeFill="background1" w:themeFillShade="D9"/>
          </w:tcPr>
          <w:p w14:paraId="5926D5DB" w14:textId="77777777" w:rsidR="00E7321B" w:rsidRPr="00602F7B" w:rsidRDefault="00E7321B" w:rsidP="00F24C69">
            <w:pPr>
              <w:spacing w:before="80" w:after="80"/>
              <w:ind w:left="360"/>
              <w:jc w:val="center"/>
              <w:rPr>
                <w:b/>
              </w:rPr>
            </w:pPr>
            <w:r w:rsidRPr="00602F7B">
              <w:rPr>
                <w:b/>
              </w:rPr>
              <w:t>2017</w:t>
            </w:r>
          </w:p>
        </w:tc>
        <w:tc>
          <w:tcPr>
            <w:tcW w:w="1256" w:type="pct"/>
            <w:tcBorders>
              <w:bottom w:val="single" w:sz="4" w:space="0" w:color="auto"/>
            </w:tcBorders>
            <w:shd w:val="clear" w:color="auto" w:fill="D9D9D9" w:themeFill="background1" w:themeFillShade="D9"/>
          </w:tcPr>
          <w:p w14:paraId="41E70A4D" w14:textId="77777777" w:rsidR="00E7321B" w:rsidRPr="00602F7B" w:rsidRDefault="00E7321B" w:rsidP="00F24C69">
            <w:pPr>
              <w:spacing w:before="80" w:after="80"/>
              <w:ind w:left="360"/>
              <w:jc w:val="center"/>
              <w:rPr>
                <w:b/>
              </w:rPr>
            </w:pPr>
            <w:r w:rsidRPr="00602F7B">
              <w:rPr>
                <w:b/>
              </w:rPr>
              <w:t>2018</w:t>
            </w:r>
          </w:p>
        </w:tc>
      </w:tr>
      <w:tr w:rsidR="00E7321B" w:rsidRPr="00602F7B" w14:paraId="57400416" w14:textId="77777777" w:rsidTr="00F24C69">
        <w:trPr>
          <w:tblHeader/>
        </w:trPr>
        <w:tc>
          <w:tcPr>
            <w:tcW w:w="1248" w:type="pct"/>
            <w:shd w:val="clear" w:color="auto" w:fill="auto"/>
          </w:tcPr>
          <w:p w14:paraId="56CB0205" w14:textId="77777777" w:rsidR="00E7321B" w:rsidRPr="00754F06" w:rsidRDefault="00E7321B" w:rsidP="00F24C69">
            <w:pPr>
              <w:spacing w:before="80" w:after="80"/>
              <w:ind w:left="360"/>
              <w:jc w:val="center"/>
              <w:rPr>
                <w:rFonts w:cs="Arial"/>
                <w:b/>
                <w:bCs/>
                <w:color w:val="000000"/>
                <w:shd w:val="clear" w:color="auto" w:fill="FFFFFF"/>
              </w:rPr>
            </w:pPr>
            <w:r w:rsidRPr="00754F06">
              <w:t xml:space="preserve"> </w:t>
            </w:r>
            <w:r w:rsidRPr="00754F06">
              <w:rPr>
                <w:b/>
              </w:rPr>
              <w:t>Level 3</w:t>
            </w:r>
            <w:r w:rsidRPr="00754F06">
              <w:t xml:space="preserve">: </w:t>
            </w:r>
            <w:r w:rsidRPr="00754F06">
              <w:rPr>
                <w:rFonts w:cs="Arial"/>
                <w:bCs/>
                <w:color w:val="000000"/>
                <w:shd w:val="clear" w:color="auto" w:fill="FFFFFF"/>
              </w:rPr>
              <w:t>Among lowest performing 20% of schools and subgroups</w:t>
            </w:r>
          </w:p>
          <w:p w14:paraId="451963EA" w14:textId="77777777" w:rsidR="00E7321B" w:rsidRPr="00754F06" w:rsidRDefault="00E7321B" w:rsidP="00F24C69">
            <w:pPr>
              <w:spacing w:before="80" w:after="80"/>
              <w:ind w:left="360"/>
              <w:jc w:val="center"/>
            </w:pPr>
          </w:p>
          <w:p w14:paraId="7A1AE9A3" w14:textId="77777777" w:rsidR="00E7321B" w:rsidRPr="00754F06" w:rsidRDefault="00E7321B" w:rsidP="00F24C69">
            <w:pPr>
              <w:spacing w:before="80" w:after="80"/>
              <w:ind w:left="360"/>
              <w:jc w:val="center"/>
            </w:pPr>
            <w:r w:rsidRPr="00754F06">
              <w:rPr>
                <w:rFonts w:cs="Arial"/>
                <w:bCs/>
                <w:color w:val="000000"/>
                <w:shd w:val="clear" w:color="auto" w:fill="FFFFFF"/>
              </w:rPr>
              <w:t>Very low assessment participation (Less than 90%)</w:t>
            </w:r>
          </w:p>
        </w:tc>
        <w:tc>
          <w:tcPr>
            <w:tcW w:w="1248" w:type="pct"/>
            <w:shd w:val="clear" w:color="auto" w:fill="auto"/>
          </w:tcPr>
          <w:p w14:paraId="7582060D" w14:textId="77777777" w:rsidR="00E7321B" w:rsidRPr="00754F06" w:rsidRDefault="00E7321B" w:rsidP="00F24C69">
            <w:pPr>
              <w:spacing w:before="80" w:after="80"/>
              <w:ind w:left="360"/>
              <w:jc w:val="center"/>
              <w:rPr>
                <w:rFonts w:cs="Arial"/>
                <w:b/>
                <w:bCs/>
                <w:color w:val="000000"/>
                <w:shd w:val="clear" w:color="auto" w:fill="FFFFFF"/>
              </w:rPr>
            </w:pPr>
            <w:r w:rsidRPr="00754F06">
              <w:rPr>
                <w:b/>
              </w:rPr>
              <w:t>Level 3</w:t>
            </w:r>
            <w:r w:rsidRPr="00754F06">
              <w:t xml:space="preserve">: </w:t>
            </w:r>
            <w:r w:rsidRPr="00754F06">
              <w:rPr>
                <w:rFonts w:cs="Arial"/>
                <w:bCs/>
                <w:color w:val="000000"/>
                <w:shd w:val="clear" w:color="auto" w:fill="FFFFFF"/>
              </w:rPr>
              <w:t>Among lowest performing 20% of schools and subgroups</w:t>
            </w:r>
          </w:p>
          <w:p w14:paraId="182F1A09" w14:textId="77777777" w:rsidR="00E7321B" w:rsidRPr="00754F06" w:rsidRDefault="00E7321B" w:rsidP="00F24C69">
            <w:pPr>
              <w:spacing w:before="80" w:after="80"/>
              <w:ind w:left="360"/>
              <w:jc w:val="center"/>
            </w:pPr>
          </w:p>
          <w:p w14:paraId="620681BE" w14:textId="77777777" w:rsidR="00E7321B" w:rsidRPr="00754F06" w:rsidRDefault="00E7321B" w:rsidP="00F24C69">
            <w:pPr>
              <w:spacing w:before="80" w:after="80"/>
              <w:ind w:left="360"/>
              <w:jc w:val="center"/>
            </w:pPr>
            <w:r w:rsidRPr="00754F06">
              <w:rPr>
                <w:rFonts w:cs="Arial"/>
                <w:bCs/>
                <w:color w:val="000000"/>
                <w:shd w:val="clear" w:color="auto" w:fill="FFFFFF"/>
              </w:rPr>
              <w:t>Low assessment participation (Less than 95%)</w:t>
            </w:r>
          </w:p>
        </w:tc>
        <w:tc>
          <w:tcPr>
            <w:tcW w:w="1248" w:type="pct"/>
            <w:shd w:val="clear" w:color="auto" w:fill="auto"/>
          </w:tcPr>
          <w:p w14:paraId="2EAC31E3" w14:textId="77777777" w:rsidR="00E7321B" w:rsidRPr="00754F06" w:rsidRDefault="00E7321B" w:rsidP="00F24C69">
            <w:pPr>
              <w:spacing w:before="80" w:after="80"/>
              <w:ind w:left="360"/>
              <w:jc w:val="center"/>
            </w:pPr>
            <w:r w:rsidRPr="00754F06">
              <w:t xml:space="preserve"> </w:t>
            </w:r>
            <w:r w:rsidRPr="00754F06">
              <w:rPr>
                <w:b/>
              </w:rPr>
              <w:t>No Level</w:t>
            </w:r>
            <w:r w:rsidRPr="00754F06">
              <w:t>: Students in this school participated in 2017 Next-Generation MCAS tests</w:t>
            </w:r>
          </w:p>
        </w:tc>
        <w:tc>
          <w:tcPr>
            <w:tcW w:w="1256" w:type="pct"/>
          </w:tcPr>
          <w:p w14:paraId="1F029F78" w14:textId="77777777" w:rsidR="00E7321B" w:rsidRPr="00754F06" w:rsidRDefault="00E7321B" w:rsidP="00F24C69">
            <w:pPr>
              <w:jc w:val="center"/>
            </w:pPr>
            <w:r w:rsidRPr="00754F06">
              <w:rPr>
                <w:b/>
              </w:rPr>
              <w:t>Requiring assistance or intervention</w:t>
            </w:r>
            <w:r w:rsidRPr="00754F06">
              <w:t>:</w:t>
            </w:r>
          </w:p>
          <w:p w14:paraId="42AC7571" w14:textId="77777777" w:rsidR="00E7321B" w:rsidRPr="00754F06" w:rsidRDefault="00E7321B" w:rsidP="00F24C69">
            <w:pPr>
              <w:jc w:val="center"/>
              <w:rPr>
                <w:highlight w:val="yellow"/>
              </w:rPr>
            </w:pPr>
            <w:r w:rsidRPr="00754F06">
              <w:rPr>
                <w:rFonts w:cs="Arial"/>
                <w:color w:val="000000"/>
                <w:shd w:val="clear" w:color="auto" w:fill="FFFFFF"/>
              </w:rPr>
              <w:t>In need of focused/targeted support</w:t>
            </w:r>
            <w:r>
              <w:rPr>
                <w:rFonts w:cs="Arial"/>
                <w:color w:val="000000"/>
                <w:shd w:val="clear" w:color="auto" w:fill="FFFFFF"/>
              </w:rPr>
              <w:t xml:space="preserve">: </w:t>
            </w:r>
            <w:r w:rsidRPr="00754F06">
              <w:rPr>
                <w:rFonts w:cs="Arial"/>
                <w:color w:val="000000"/>
              </w:rPr>
              <w:t>Low graduation rate and low participation rate</w:t>
            </w:r>
          </w:p>
          <w:p w14:paraId="6D224864" w14:textId="34F7A1A8" w:rsidR="00E7321B" w:rsidRPr="00754F06" w:rsidRDefault="00E7321B" w:rsidP="004D5DE1">
            <w:pPr>
              <w:pStyle w:val="Table"/>
              <w:jc w:val="center"/>
              <w:rPr>
                <w:b/>
                <w:szCs w:val="22"/>
                <w:highlight w:val="yellow"/>
              </w:rPr>
            </w:pPr>
            <w:r w:rsidRPr="004D5DE1">
              <w:rPr>
                <w:b/>
                <w:sz w:val="22"/>
                <w:szCs w:val="22"/>
              </w:rPr>
              <w:t>Progress Toward Improvement Targets</w:t>
            </w:r>
            <w:r w:rsidRPr="004D5DE1">
              <w:rPr>
                <w:sz w:val="22"/>
                <w:szCs w:val="22"/>
              </w:rPr>
              <w:t>:</w:t>
            </w:r>
            <w:r w:rsidRPr="00754F06">
              <w:rPr>
                <w:b/>
                <w:szCs w:val="22"/>
              </w:rPr>
              <w:t xml:space="preserve"> </w:t>
            </w:r>
            <w:r w:rsidR="00241AD7">
              <w:rPr>
                <w:sz w:val="22"/>
                <w:szCs w:val="22"/>
              </w:rPr>
              <w:t>18%</w:t>
            </w:r>
          </w:p>
        </w:tc>
      </w:tr>
    </w:tbl>
    <w:p w14:paraId="4DE99F3A" w14:textId="77777777" w:rsidR="00E7321B" w:rsidRDefault="00E7321B" w:rsidP="00E7321B">
      <w:pPr>
        <w:ind w:left="360"/>
        <w:rPr>
          <w:rFonts w:cstheme="minorHAnsi"/>
          <w:i/>
        </w:rPr>
      </w:pPr>
    </w:p>
    <w:p w14:paraId="285CABF4" w14:textId="77777777" w:rsidR="00C30639" w:rsidRDefault="00C30639" w:rsidP="00E7321B">
      <w:pPr>
        <w:ind w:left="360"/>
        <w:rPr>
          <w:rFonts w:cstheme="minorHAnsi"/>
          <w:i/>
        </w:rPr>
      </w:pPr>
    </w:p>
    <w:p w14:paraId="59156B07" w14:textId="77777777" w:rsidR="00C30639" w:rsidRDefault="00C30639" w:rsidP="00E7321B">
      <w:pPr>
        <w:ind w:left="360"/>
        <w:rPr>
          <w:rFonts w:cstheme="minorHAnsi"/>
          <w:i/>
        </w:rPr>
      </w:pPr>
    </w:p>
    <w:p w14:paraId="168E48BE" w14:textId="5DA3342C" w:rsidR="00E7321B" w:rsidRPr="00602F7B" w:rsidRDefault="00E7321B" w:rsidP="00E7321B">
      <w:pPr>
        <w:ind w:left="360"/>
        <w:rPr>
          <w:rFonts w:cstheme="minorHAnsi"/>
          <w:i/>
        </w:rPr>
      </w:pPr>
      <w:r w:rsidRPr="00602F7B">
        <w:rPr>
          <w:rFonts w:cstheme="minorHAnsi"/>
          <w:i/>
        </w:rPr>
        <w:lastRenderedPageBreak/>
        <w:t>School Percentile/Accountability Percentile</w:t>
      </w:r>
    </w:p>
    <w:p w14:paraId="0FF1335D" w14:textId="517E34D8" w:rsidR="00E7321B" w:rsidRDefault="00E7321B" w:rsidP="00E7321B">
      <w:pPr>
        <w:ind w:left="360"/>
        <w:rPr>
          <w:rFonts w:cstheme="minorHAnsi"/>
        </w:rPr>
      </w:pPr>
      <w:r w:rsidRPr="00602F7B">
        <w:rPr>
          <w:rFonts w:cstheme="minorHAnsi"/>
        </w:rPr>
        <w:t xml:space="preserve">Prior to 2018, a school percentile between 1 and 99 was reported for schools with at least four years of data. This number is an indication of the school's overall performance relative to other schools that serve the same or similar grades. </w:t>
      </w:r>
    </w:p>
    <w:tbl>
      <w:tblPr>
        <w:tblStyle w:val="TableGrid"/>
        <w:tblW w:w="3744" w:type="pct"/>
        <w:tblLook w:val="04A0" w:firstRow="1" w:lastRow="0" w:firstColumn="1" w:lastColumn="0" w:noHBand="0" w:noVBand="1"/>
        <w:tblDescription w:val="School Percentile&#10;2015: 8&#10;2016: 7&#10;2017: --"/>
      </w:tblPr>
      <w:tblGrid>
        <w:gridCol w:w="2333"/>
        <w:gridCol w:w="2334"/>
        <w:gridCol w:w="2334"/>
      </w:tblGrid>
      <w:tr w:rsidR="00E7321B" w:rsidRPr="00CA61E0" w14:paraId="0C209C77" w14:textId="77777777" w:rsidTr="00F24C69">
        <w:trPr>
          <w:tblHeader/>
        </w:trPr>
        <w:tc>
          <w:tcPr>
            <w:tcW w:w="5000" w:type="pct"/>
            <w:gridSpan w:val="3"/>
            <w:shd w:val="clear" w:color="auto" w:fill="BFBFBF" w:themeFill="background1" w:themeFillShade="BF"/>
          </w:tcPr>
          <w:p w14:paraId="334C2B29" w14:textId="77777777" w:rsidR="00E7321B" w:rsidRPr="00CA61E0" w:rsidRDefault="00E7321B" w:rsidP="00F24C69">
            <w:pPr>
              <w:spacing w:before="80" w:after="80"/>
              <w:rPr>
                <w:b/>
                <w:szCs w:val="24"/>
              </w:rPr>
            </w:pPr>
            <w:r>
              <w:rPr>
                <w:b/>
                <w:szCs w:val="24"/>
              </w:rPr>
              <w:t>School Percentile</w:t>
            </w:r>
          </w:p>
        </w:tc>
      </w:tr>
      <w:tr w:rsidR="00E7321B" w:rsidRPr="00CA61E0" w14:paraId="6B3D6BFB" w14:textId="77777777" w:rsidTr="00F24C69">
        <w:trPr>
          <w:tblHeader/>
        </w:trPr>
        <w:tc>
          <w:tcPr>
            <w:tcW w:w="1666" w:type="pct"/>
            <w:shd w:val="clear" w:color="auto" w:fill="D9D9D9" w:themeFill="background1" w:themeFillShade="D9"/>
          </w:tcPr>
          <w:p w14:paraId="5A1F292A" w14:textId="77777777" w:rsidR="00E7321B" w:rsidRPr="00CA61E0" w:rsidRDefault="00E7321B" w:rsidP="00F24C69">
            <w:pPr>
              <w:spacing w:before="80" w:after="80"/>
              <w:jc w:val="center"/>
              <w:rPr>
                <w:b/>
                <w:szCs w:val="24"/>
              </w:rPr>
            </w:pPr>
            <w:r>
              <w:rPr>
                <w:b/>
                <w:szCs w:val="24"/>
              </w:rPr>
              <w:t>2015</w:t>
            </w:r>
          </w:p>
        </w:tc>
        <w:tc>
          <w:tcPr>
            <w:tcW w:w="1667" w:type="pct"/>
            <w:shd w:val="clear" w:color="auto" w:fill="D9D9D9" w:themeFill="background1" w:themeFillShade="D9"/>
          </w:tcPr>
          <w:p w14:paraId="787B2957" w14:textId="77777777" w:rsidR="00E7321B" w:rsidRPr="00CA61E0" w:rsidRDefault="00E7321B" w:rsidP="00F24C69">
            <w:pPr>
              <w:spacing w:before="80" w:after="80"/>
              <w:jc w:val="center"/>
              <w:rPr>
                <w:b/>
                <w:szCs w:val="24"/>
              </w:rPr>
            </w:pPr>
            <w:r>
              <w:rPr>
                <w:b/>
                <w:szCs w:val="24"/>
              </w:rPr>
              <w:t>2016</w:t>
            </w:r>
          </w:p>
        </w:tc>
        <w:tc>
          <w:tcPr>
            <w:tcW w:w="1667" w:type="pct"/>
            <w:shd w:val="clear" w:color="auto" w:fill="D9D9D9" w:themeFill="background1" w:themeFillShade="D9"/>
          </w:tcPr>
          <w:p w14:paraId="27EDDCD4" w14:textId="77777777" w:rsidR="00E7321B" w:rsidRPr="00CA61E0" w:rsidRDefault="00E7321B" w:rsidP="00F24C69">
            <w:pPr>
              <w:spacing w:before="80" w:after="80"/>
              <w:jc w:val="center"/>
              <w:rPr>
                <w:b/>
                <w:szCs w:val="24"/>
              </w:rPr>
            </w:pPr>
            <w:r>
              <w:rPr>
                <w:b/>
                <w:szCs w:val="24"/>
              </w:rPr>
              <w:t>2017</w:t>
            </w:r>
          </w:p>
        </w:tc>
      </w:tr>
      <w:tr w:rsidR="00E7321B" w:rsidRPr="00FD11B9" w14:paraId="7303003E" w14:textId="77777777" w:rsidTr="00F24C69">
        <w:trPr>
          <w:tblHeader/>
        </w:trPr>
        <w:tc>
          <w:tcPr>
            <w:tcW w:w="1666" w:type="pct"/>
            <w:shd w:val="clear" w:color="auto" w:fill="auto"/>
          </w:tcPr>
          <w:p w14:paraId="2E647A84" w14:textId="77777777" w:rsidR="00E7321B" w:rsidRPr="00FD11B9" w:rsidRDefault="00E7321B" w:rsidP="00F24C69">
            <w:pPr>
              <w:spacing w:before="80" w:after="80"/>
              <w:jc w:val="center"/>
              <w:rPr>
                <w:szCs w:val="24"/>
              </w:rPr>
            </w:pPr>
            <w:r>
              <w:rPr>
                <w:szCs w:val="24"/>
              </w:rPr>
              <w:t xml:space="preserve"> 8</w:t>
            </w:r>
          </w:p>
        </w:tc>
        <w:tc>
          <w:tcPr>
            <w:tcW w:w="1667" w:type="pct"/>
            <w:shd w:val="clear" w:color="auto" w:fill="auto"/>
          </w:tcPr>
          <w:p w14:paraId="5FBCD705" w14:textId="77777777" w:rsidR="00E7321B" w:rsidRPr="00FD11B9" w:rsidRDefault="00E7321B" w:rsidP="00F24C69">
            <w:pPr>
              <w:spacing w:before="80" w:after="80"/>
              <w:jc w:val="center"/>
              <w:rPr>
                <w:szCs w:val="24"/>
              </w:rPr>
            </w:pPr>
            <w:r>
              <w:rPr>
                <w:szCs w:val="24"/>
              </w:rPr>
              <w:t>7</w:t>
            </w:r>
          </w:p>
        </w:tc>
        <w:tc>
          <w:tcPr>
            <w:tcW w:w="1667" w:type="pct"/>
            <w:shd w:val="clear" w:color="auto" w:fill="auto"/>
          </w:tcPr>
          <w:p w14:paraId="6A91B614" w14:textId="77777777" w:rsidR="00E7321B" w:rsidRPr="00FD11B9" w:rsidRDefault="00E7321B" w:rsidP="00F24C69">
            <w:pPr>
              <w:spacing w:before="80" w:after="80"/>
              <w:jc w:val="center"/>
              <w:rPr>
                <w:szCs w:val="24"/>
              </w:rPr>
            </w:pPr>
            <w:r>
              <w:rPr>
                <w:szCs w:val="24"/>
              </w:rPr>
              <w:t>--</w:t>
            </w:r>
          </w:p>
        </w:tc>
      </w:tr>
    </w:tbl>
    <w:p w14:paraId="552D48B4" w14:textId="77777777" w:rsidR="00E7321B" w:rsidRDefault="00E7321B" w:rsidP="006D7A08">
      <w:pPr>
        <w:spacing w:after="0" w:line="240" w:lineRule="auto"/>
        <w:ind w:left="360"/>
        <w:rPr>
          <w:rFonts w:cstheme="minorHAnsi"/>
        </w:rPr>
      </w:pPr>
    </w:p>
    <w:p w14:paraId="454AF6BC" w14:textId="6F12C87F" w:rsidR="00E7321B" w:rsidRDefault="00E7321B" w:rsidP="006D7A08">
      <w:pPr>
        <w:spacing w:after="0"/>
        <w:ind w:left="360"/>
        <w:rPr>
          <w:rFonts w:cstheme="minorHAnsi"/>
        </w:rPr>
      </w:pPr>
      <w:r w:rsidRPr="00602F7B">
        <w:rPr>
          <w:rFonts w:cstheme="minorHAnsi"/>
        </w:rPr>
        <w:t>Beginning in 2018, an accountability percentile between 1 and 99 is reported for most schools. This number is an indication of the school's overall performance relative to other schools that serve similar grades, and is calculated using data for all accountability indicators. The 2018 accountability percentile should not be compared to school percentiles calculated in 2015-2017 because they represent different calculations.</w:t>
      </w:r>
      <w:r>
        <w:rPr>
          <w:rFonts w:cstheme="minorHAnsi"/>
        </w:rPr>
        <w:t xml:space="preserve"> </w:t>
      </w:r>
      <w:r w:rsidR="00E734A3">
        <w:rPr>
          <w:rFonts w:cstheme="minorHAnsi"/>
        </w:rPr>
        <w:t>GCVS</w:t>
      </w:r>
      <w:r>
        <w:rPr>
          <w:rFonts w:cstheme="minorHAnsi"/>
        </w:rPr>
        <w:t xml:space="preserve"> did not have sufficient data to calculate growth percentiles for high school grades in 2018, hence the school did not receive an accountability percentile in 2018.</w:t>
      </w:r>
    </w:p>
    <w:p w14:paraId="67E85FDD" w14:textId="77777777" w:rsidR="00E7321B" w:rsidRDefault="00E7321B" w:rsidP="006D7A08">
      <w:pPr>
        <w:spacing w:after="0"/>
        <w:ind w:left="360"/>
        <w:rPr>
          <w:rFonts w:cstheme="minorHAnsi"/>
        </w:rPr>
      </w:pPr>
    </w:p>
    <w:tbl>
      <w:tblPr>
        <w:tblStyle w:val="TableGrid"/>
        <w:tblW w:w="1489" w:type="pct"/>
        <w:tblLook w:val="04A0" w:firstRow="1" w:lastRow="0" w:firstColumn="1" w:lastColumn="0" w:noHBand="0" w:noVBand="1"/>
        <w:tblDescription w:val="Accountability Percentile&#10;2018&#10;Insufficient Data&#10;"/>
      </w:tblPr>
      <w:tblGrid>
        <w:gridCol w:w="2784"/>
      </w:tblGrid>
      <w:tr w:rsidR="00E7321B" w14:paraId="54A86F96" w14:textId="77777777" w:rsidTr="00F24C69">
        <w:trPr>
          <w:tblHeader/>
        </w:trPr>
        <w:tc>
          <w:tcPr>
            <w:tcW w:w="5000" w:type="pct"/>
            <w:shd w:val="clear" w:color="auto" w:fill="BFBFBF" w:themeFill="background1" w:themeFillShade="BF"/>
          </w:tcPr>
          <w:p w14:paraId="58B28BC2" w14:textId="77777777" w:rsidR="00E7321B" w:rsidRDefault="00E7321B" w:rsidP="00F24C69">
            <w:pPr>
              <w:spacing w:before="80" w:after="80"/>
              <w:rPr>
                <w:b/>
                <w:szCs w:val="24"/>
              </w:rPr>
            </w:pPr>
            <w:r>
              <w:rPr>
                <w:b/>
                <w:szCs w:val="24"/>
              </w:rPr>
              <w:t>Accountability Percentile</w:t>
            </w:r>
          </w:p>
        </w:tc>
      </w:tr>
      <w:tr w:rsidR="00E7321B" w14:paraId="5968303D" w14:textId="77777777" w:rsidTr="00F24C69">
        <w:trPr>
          <w:tblHeader/>
        </w:trPr>
        <w:tc>
          <w:tcPr>
            <w:tcW w:w="5000" w:type="pct"/>
            <w:shd w:val="clear" w:color="auto" w:fill="D9D9D9" w:themeFill="background1" w:themeFillShade="D9"/>
          </w:tcPr>
          <w:p w14:paraId="5CCDACBA" w14:textId="77777777" w:rsidR="00E7321B" w:rsidRDefault="00E7321B" w:rsidP="00F24C69">
            <w:pPr>
              <w:spacing w:before="80" w:after="80"/>
              <w:jc w:val="center"/>
              <w:rPr>
                <w:b/>
                <w:szCs w:val="24"/>
              </w:rPr>
            </w:pPr>
            <w:r w:rsidRPr="0086665E">
              <w:rPr>
                <w:b/>
                <w:szCs w:val="24"/>
              </w:rPr>
              <w:t>2018</w:t>
            </w:r>
          </w:p>
        </w:tc>
      </w:tr>
      <w:tr w:rsidR="00E7321B" w14:paraId="257176DD" w14:textId="77777777" w:rsidTr="00F24C69">
        <w:trPr>
          <w:tblHeader/>
        </w:trPr>
        <w:tc>
          <w:tcPr>
            <w:tcW w:w="5000" w:type="pct"/>
          </w:tcPr>
          <w:p w14:paraId="0D0F77BE" w14:textId="77777777" w:rsidR="00E7321B" w:rsidRDefault="00E7321B" w:rsidP="00F24C69">
            <w:pPr>
              <w:spacing w:before="80" w:after="80"/>
              <w:jc w:val="center"/>
              <w:rPr>
                <w:szCs w:val="24"/>
              </w:rPr>
            </w:pPr>
            <w:r>
              <w:rPr>
                <w:szCs w:val="24"/>
              </w:rPr>
              <w:t>Insufficient Data</w:t>
            </w:r>
          </w:p>
        </w:tc>
      </w:tr>
    </w:tbl>
    <w:p w14:paraId="7C2B1BF5" w14:textId="77777777" w:rsidR="00E7321B" w:rsidRPr="00602F7B" w:rsidRDefault="00E7321B" w:rsidP="006D7A08">
      <w:pPr>
        <w:spacing w:after="0"/>
        <w:ind w:left="360"/>
        <w:rPr>
          <w:rFonts w:cstheme="minorHAnsi"/>
        </w:rPr>
      </w:pPr>
    </w:p>
    <w:p w14:paraId="1CDC7AAB" w14:textId="77777777" w:rsidR="00E7321B" w:rsidRPr="00602F7B" w:rsidRDefault="00E7321B" w:rsidP="00E7321B">
      <w:pPr>
        <w:ind w:left="360"/>
        <w:rPr>
          <w:rFonts w:cstheme="minorHAnsi"/>
          <w:i/>
        </w:rPr>
      </w:pPr>
      <w:r w:rsidRPr="00602F7B">
        <w:rPr>
          <w:rFonts w:cstheme="minorHAnsi"/>
          <w:i/>
        </w:rPr>
        <w:t>Next-Generation MCAS Tests</w:t>
      </w:r>
    </w:p>
    <w:p w14:paraId="515AC4EB" w14:textId="77777777" w:rsidR="00E7321B" w:rsidRDefault="00E7321B" w:rsidP="00E7321B">
      <w:pPr>
        <w:ind w:left="360"/>
        <w:rPr>
          <w:rFonts w:cstheme="minorHAnsi"/>
        </w:rPr>
      </w:pPr>
      <w:r w:rsidRPr="00602F7B">
        <w:rPr>
          <w:rFonts w:cstheme="minorHAnsi"/>
        </w:rPr>
        <w:t>Next-Generation MCAS tests were given in English language arts and mathematics in grades 3 through 8 starting in 2017. Scaled scores range from 440 to 560. Students meet expectations in the scaled score range of 500 to 529 and exceed expectations in the scaled score range of 530-560.</w:t>
      </w:r>
    </w:p>
    <w:tbl>
      <w:tblPr>
        <w:tblStyle w:val="TableGrid"/>
        <w:tblW w:w="0" w:type="auto"/>
        <w:tblLook w:val="04A0" w:firstRow="1" w:lastRow="0" w:firstColumn="1" w:lastColumn="0" w:noHBand="0" w:noVBand="1"/>
        <w:tblDescription w:val="Next-Generation MCAS Tests&#10;&#10;2017 Percent of Students Meeting or Exceeding Expectations&#10;Grades 3-8 English Language Arts — School: 29&#10;Grades 3-8 English Language Arts — State: 49&#10;Grades 3-8 Mathematics — School: 20&#10;Grades 3-8 Mathematics — State: 48&#10;&#10;2017 Avg. Scaled Score&#10;Grades 3-8 English Language Arts — School: 489&#10;Grades 3-8 English Language Arts — State: 499&#10;Grades 3-8 Mathematics — School: 483&#10;Grades 3-8 Mathematics — State: 499&#10;&#10;&#10;2018 Percent of Students Meeting or Exceeding Expectations&#10;Grades 3-8 English Language Arts — School: 26&#10;Grades 3-8 English Language Arts — State: 51&#10;Grades 3-8 Mathematics — School: 19&#10;Grades 3-8 Mathematics — State: 48&#10;&#10;2018 Avg. Scaled Score&#10;Grades 3-8 English Language Arts — School: 489&#10;Grades 3-8 English Language Arts — State: 500&#10;Grades 3-8 Mathematics — School: 482&#10;Grades 3-8 Mathematics — State: 498&#10;"/>
      </w:tblPr>
      <w:tblGrid>
        <w:gridCol w:w="1765"/>
        <w:gridCol w:w="1208"/>
        <w:gridCol w:w="1017"/>
        <w:gridCol w:w="851"/>
        <w:gridCol w:w="717"/>
        <w:gridCol w:w="1207"/>
        <w:gridCol w:w="1017"/>
        <w:gridCol w:w="851"/>
        <w:gridCol w:w="717"/>
      </w:tblGrid>
      <w:tr w:rsidR="00E7321B" w:rsidRPr="007F7A52" w14:paraId="4A07F458" w14:textId="77777777" w:rsidTr="00FB1BE1">
        <w:trPr>
          <w:tblHeader/>
        </w:trPr>
        <w:tc>
          <w:tcPr>
            <w:tcW w:w="0" w:type="auto"/>
            <w:gridSpan w:val="9"/>
            <w:shd w:val="clear" w:color="auto" w:fill="BFBFBF" w:themeFill="background1" w:themeFillShade="BF"/>
          </w:tcPr>
          <w:p w14:paraId="3B626D4D" w14:textId="77777777" w:rsidR="00E7321B" w:rsidRPr="007F7A52" w:rsidRDefault="00E7321B" w:rsidP="00F24C69">
            <w:pPr>
              <w:spacing w:before="80" w:after="80"/>
              <w:rPr>
                <w:rFonts w:cstheme="minorHAnsi"/>
                <w:b/>
              </w:rPr>
            </w:pPr>
            <w:r>
              <w:rPr>
                <w:rFonts w:cstheme="minorHAnsi"/>
                <w:b/>
              </w:rPr>
              <w:t>Next-</w:t>
            </w:r>
            <w:r w:rsidRPr="007F7A52">
              <w:rPr>
                <w:rFonts w:cstheme="minorHAnsi"/>
                <w:b/>
              </w:rPr>
              <w:t>Generation MCAS Tests</w:t>
            </w:r>
          </w:p>
        </w:tc>
      </w:tr>
      <w:tr w:rsidR="00E7321B" w:rsidRPr="007F7A52" w14:paraId="5C9253D0" w14:textId="77777777" w:rsidTr="00FB1BE1">
        <w:trPr>
          <w:tblHeader/>
        </w:trPr>
        <w:tc>
          <w:tcPr>
            <w:tcW w:w="0" w:type="auto"/>
            <w:vMerge w:val="restart"/>
            <w:shd w:val="clear" w:color="auto" w:fill="D9D9D9" w:themeFill="background1" w:themeFillShade="D9"/>
            <w:vAlign w:val="bottom"/>
          </w:tcPr>
          <w:p w14:paraId="2E35B7D9" w14:textId="77777777" w:rsidR="00E7321B" w:rsidRPr="007F7A52" w:rsidRDefault="00E7321B" w:rsidP="00F24C69">
            <w:pPr>
              <w:spacing w:before="80" w:after="80"/>
              <w:rPr>
                <w:rFonts w:cstheme="minorHAnsi"/>
                <w:b/>
              </w:rPr>
            </w:pPr>
            <w:r w:rsidRPr="007F7A52">
              <w:rPr>
                <w:rFonts w:cstheme="minorHAnsi"/>
                <w:b/>
              </w:rPr>
              <w:t>Grade and Subject</w:t>
            </w:r>
          </w:p>
        </w:tc>
        <w:tc>
          <w:tcPr>
            <w:tcW w:w="0" w:type="auto"/>
            <w:gridSpan w:val="4"/>
            <w:shd w:val="clear" w:color="auto" w:fill="D9D9D9" w:themeFill="background1" w:themeFillShade="D9"/>
            <w:vAlign w:val="center"/>
          </w:tcPr>
          <w:p w14:paraId="5DDADE8A" w14:textId="77777777" w:rsidR="00E7321B" w:rsidRPr="007F7A52" w:rsidRDefault="00E7321B" w:rsidP="00F24C69">
            <w:pPr>
              <w:spacing w:before="80" w:after="80"/>
              <w:jc w:val="center"/>
              <w:rPr>
                <w:rFonts w:cstheme="minorHAnsi"/>
                <w:b/>
              </w:rPr>
            </w:pPr>
            <w:r w:rsidRPr="007F7A52">
              <w:rPr>
                <w:rFonts w:cstheme="minorHAnsi"/>
                <w:b/>
              </w:rPr>
              <w:t>2017</w:t>
            </w:r>
          </w:p>
        </w:tc>
        <w:tc>
          <w:tcPr>
            <w:tcW w:w="0" w:type="auto"/>
            <w:gridSpan w:val="4"/>
            <w:shd w:val="clear" w:color="auto" w:fill="D9D9D9" w:themeFill="background1" w:themeFillShade="D9"/>
            <w:vAlign w:val="center"/>
          </w:tcPr>
          <w:p w14:paraId="309844C0" w14:textId="77777777" w:rsidR="00E7321B" w:rsidRPr="007F7A52" w:rsidRDefault="00E7321B" w:rsidP="00F24C69">
            <w:pPr>
              <w:spacing w:before="80" w:after="80"/>
              <w:jc w:val="center"/>
              <w:rPr>
                <w:rFonts w:cstheme="minorHAnsi"/>
                <w:b/>
              </w:rPr>
            </w:pPr>
            <w:r w:rsidRPr="007F7A52">
              <w:rPr>
                <w:rFonts w:cstheme="minorHAnsi"/>
                <w:b/>
              </w:rPr>
              <w:t>2018</w:t>
            </w:r>
          </w:p>
        </w:tc>
      </w:tr>
      <w:tr w:rsidR="00E7321B" w:rsidRPr="007F7A52" w14:paraId="4CBEE232" w14:textId="77777777" w:rsidTr="00FB1BE1">
        <w:trPr>
          <w:tblHeader/>
        </w:trPr>
        <w:tc>
          <w:tcPr>
            <w:tcW w:w="0" w:type="auto"/>
            <w:vMerge/>
            <w:shd w:val="clear" w:color="auto" w:fill="D9D9D9" w:themeFill="background1" w:themeFillShade="D9"/>
          </w:tcPr>
          <w:p w14:paraId="74A63923" w14:textId="77777777" w:rsidR="00E7321B" w:rsidRPr="007F7A52" w:rsidRDefault="00E7321B" w:rsidP="00F24C69">
            <w:pPr>
              <w:spacing w:before="80" w:after="80"/>
              <w:rPr>
                <w:rFonts w:cstheme="minorHAnsi"/>
                <w:b/>
              </w:rPr>
            </w:pPr>
          </w:p>
        </w:tc>
        <w:tc>
          <w:tcPr>
            <w:tcW w:w="0" w:type="auto"/>
            <w:gridSpan w:val="2"/>
            <w:shd w:val="clear" w:color="auto" w:fill="D9D9D9" w:themeFill="background1" w:themeFillShade="D9"/>
            <w:vAlign w:val="center"/>
          </w:tcPr>
          <w:p w14:paraId="27EAE71B" w14:textId="77777777" w:rsidR="00E7321B" w:rsidRPr="007F7A52" w:rsidRDefault="00E7321B" w:rsidP="00F24C69">
            <w:pPr>
              <w:spacing w:before="80" w:after="80"/>
              <w:jc w:val="center"/>
              <w:rPr>
                <w:rFonts w:cstheme="minorHAnsi"/>
                <w:b/>
              </w:rPr>
            </w:pPr>
            <w:r>
              <w:rPr>
                <w:rFonts w:cstheme="minorHAnsi"/>
                <w:b/>
              </w:rPr>
              <w:t xml:space="preserve">Percent of Students </w:t>
            </w:r>
            <w:r w:rsidRPr="007F7A52">
              <w:rPr>
                <w:rFonts w:cstheme="minorHAnsi"/>
                <w:b/>
              </w:rPr>
              <w:t>Meeting or Exceeding Expectations</w:t>
            </w:r>
          </w:p>
        </w:tc>
        <w:tc>
          <w:tcPr>
            <w:tcW w:w="0" w:type="auto"/>
            <w:gridSpan w:val="2"/>
            <w:shd w:val="clear" w:color="auto" w:fill="D9D9D9" w:themeFill="background1" w:themeFillShade="D9"/>
            <w:vAlign w:val="center"/>
          </w:tcPr>
          <w:p w14:paraId="79B0C628" w14:textId="77777777" w:rsidR="00E7321B" w:rsidRPr="007F7A52" w:rsidRDefault="00E7321B" w:rsidP="00F24C69">
            <w:pPr>
              <w:spacing w:before="80" w:after="80"/>
              <w:jc w:val="center"/>
              <w:rPr>
                <w:rFonts w:cstheme="minorHAnsi"/>
                <w:b/>
              </w:rPr>
            </w:pPr>
            <w:r w:rsidRPr="007F7A52">
              <w:rPr>
                <w:rFonts w:cstheme="minorHAnsi"/>
                <w:b/>
              </w:rPr>
              <w:t>Avg. Scaled Score</w:t>
            </w:r>
          </w:p>
        </w:tc>
        <w:tc>
          <w:tcPr>
            <w:tcW w:w="0" w:type="auto"/>
            <w:gridSpan w:val="2"/>
            <w:shd w:val="clear" w:color="auto" w:fill="D9D9D9" w:themeFill="background1" w:themeFillShade="D9"/>
            <w:vAlign w:val="center"/>
          </w:tcPr>
          <w:p w14:paraId="0DAED416" w14:textId="77777777" w:rsidR="00E7321B" w:rsidRPr="007F7A52" w:rsidRDefault="00E7321B" w:rsidP="00F24C69">
            <w:pPr>
              <w:spacing w:before="80" w:after="80"/>
              <w:jc w:val="center"/>
              <w:rPr>
                <w:rFonts w:cstheme="minorHAnsi"/>
                <w:b/>
              </w:rPr>
            </w:pPr>
            <w:r>
              <w:rPr>
                <w:rFonts w:cstheme="minorHAnsi"/>
                <w:b/>
              </w:rPr>
              <w:t xml:space="preserve">Percent of Students </w:t>
            </w:r>
            <w:r w:rsidRPr="007F7A52">
              <w:rPr>
                <w:rFonts w:cstheme="minorHAnsi"/>
                <w:b/>
              </w:rPr>
              <w:t>Meeting or Exceeding Expectations</w:t>
            </w:r>
          </w:p>
        </w:tc>
        <w:tc>
          <w:tcPr>
            <w:tcW w:w="0" w:type="auto"/>
            <w:gridSpan w:val="2"/>
            <w:shd w:val="clear" w:color="auto" w:fill="D9D9D9" w:themeFill="background1" w:themeFillShade="D9"/>
            <w:vAlign w:val="center"/>
          </w:tcPr>
          <w:p w14:paraId="070B04AC" w14:textId="77777777" w:rsidR="00E7321B" w:rsidRPr="007F7A52" w:rsidRDefault="00E7321B" w:rsidP="00F24C69">
            <w:pPr>
              <w:spacing w:before="80" w:after="80"/>
              <w:jc w:val="center"/>
              <w:rPr>
                <w:rFonts w:cstheme="minorHAnsi"/>
                <w:b/>
              </w:rPr>
            </w:pPr>
            <w:r w:rsidRPr="007F7A52">
              <w:rPr>
                <w:rFonts w:cstheme="minorHAnsi"/>
                <w:b/>
              </w:rPr>
              <w:t>Avg. Scaled Score</w:t>
            </w:r>
          </w:p>
        </w:tc>
      </w:tr>
      <w:tr w:rsidR="00E7321B" w:rsidRPr="007F7A52" w14:paraId="1AAC3AAA" w14:textId="77777777" w:rsidTr="00FB1BE1">
        <w:trPr>
          <w:tblHeader/>
        </w:trPr>
        <w:tc>
          <w:tcPr>
            <w:tcW w:w="0" w:type="auto"/>
            <w:vMerge/>
            <w:shd w:val="clear" w:color="auto" w:fill="D9D9D9" w:themeFill="background1" w:themeFillShade="D9"/>
          </w:tcPr>
          <w:p w14:paraId="51F87C58" w14:textId="77777777" w:rsidR="00E7321B" w:rsidRPr="007F7A52" w:rsidRDefault="00E7321B" w:rsidP="00F24C69">
            <w:pPr>
              <w:spacing w:before="80" w:after="80"/>
              <w:rPr>
                <w:rFonts w:cstheme="minorHAnsi"/>
                <w:b/>
              </w:rPr>
            </w:pPr>
          </w:p>
        </w:tc>
        <w:tc>
          <w:tcPr>
            <w:tcW w:w="0" w:type="auto"/>
            <w:shd w:val="clear" w:color="auto" w:fill="D9D9D9" w:themeFill="background1" w:themeFillShade="D9"/>
            <w:vAlign w:val="center"/>
          </w:tcPr>
          <w:p w14:paraId="44C71030" w14:textId="77777777" w:rsidR="00E7321B" w:rsidRPr="007F7A52" w:rsidRDefault="00E7321B" w:rsidP="00F24C69">
            <w:pPr>
              <w:spacing w:before="80" w:after="80"/>
              <w:jc w:val="center"/>
              <w:rPr>
                <w:rFonts w:cstheme="minorHAnsi"/>
                <w:b/>
              </w:rPr>
            </w:pPr>
            <w:r w:rsidRPr="007F7A52">
              <w:rPr>
                <w:rFonts w:cstheme="minorHAnsi"/>
                <w:b/>
              </w:rPr>
              <w:t>School</w:t>
            </w:r>
          </w:p>
        </w:tc>
        <w:tc>
          <w:tcPr>
            <w:tcW w:w="0" w:type="auto"/>
            <w:shd w:val="clear" w:color="auto" w:fill="D9D9D9" w:themeFill="background1" w:themeFillShade="D9"/>
            <w:vAlign w:val="center"/>
          </w:tcPr>
          <w:p w14:paraId="23C4E193" w14:textId="77777777" w:rsidR="00E7321B" w:rsidRPr="007F7A52" w:rsidRDefault="00E7321B" w:rsidP="00F24C69">
            <w:pPr>
              <w:spacing w:before="80" w:after="80"/>
              <w:jc w:val="center"/>
              <w:rPr>
                <w:rFonts w:cstheme="minorHAnsi"/>
                <w:b/>
              </w:rPr>
            </w:pPr>
            <w:r w:rsidRPr="007F7A52">
              <w:rPr>
                <w:rFonts w:cstheme="minorHAnsi"/>
                <w:b/>
              </w:rPr>
              <w:t>State</w:t>
            </w:r>
          </w:p>
        </w:tc>
        <w:tc>
          <w:tcPr>
            <w:tcW w:w="0" w:type="auto"/>
            <w:shd w:val="clear" w:color="auto" w:fill="D9D9D9" w:themeFill="background1" w:themeFillShade="D9"/>
            <w:vAlign w:val="center"/>
          </w:tcPr>
          <w:p w14:paraId="530E799A" w14:textId="77777777" w:rsidR="00E7321B" w:rsidRPr="007F7A52" w:rsidRDefault="00E7321B" w:rsidP="00F24C69">
            <w:pPr>
              <w:spacing w:before="80" w:after="80"/>
              <w:jc w:val="center"/>
              <w:rPr>
                <w:rFonts w:cstheme="minorHAnsi"/>
                <w:b/>
              </w:rPr>
            </w:pPr>
            <w:r w:rsidRPr="007F7A52">
              <w:rPr>
                <w:rFonts w:cstheme="minorHAnsi"/>
                <w:b/>
              </w:rPr>
              <w:t>School</w:t>
            </w:r>
          </w:p>
        </w:tc>
        <w:tc>
          <w:tcPr>
            <w:tcW w:w="0" w:type="auto"/>
            <w:shd w:val="clear" w:color="auto" w:fill="D9D9D9" w:themeFill="background1" w:themeFillShade="D9"/>
            <w:vAlign w:val="center"/>
          </w:tcPr>
          <w:p w14:paraId="6D5BE16F" w14:textId="77777777" w:rsidR="00E7321B" w:rsidRPr="007F7A52" w:rsidRDefault="00E7321B" w:rsidP="00F24C69">
            <w:pPr>
              <w:spacing w:before="80" w:after="80"/>
              <w:jc w:val="center"/>
              <w:rPr>
                <w:rFonts w:cstheme="minorHAnsi"/>
                <w:b/>
              </w:rPr>
            </w:pPr>
            <w:r w:rsidRPr="007F7A52">
              <w:rPr>
                <w:rFonts w:cstheme="minorHAnsi"/>
                <w:b/>
              </w:rPr>
              <w:t>State</w:t>
            </w:r>
          </w:p>
        </w:tc>
        <w:tc>
          <w:tcPr>
            <w:tcW w:w="0" w:type="auto"/>
            <w:shd w:val="clear" w:color="auto" w:fill="D9D9D9" w:themeFill="background1" w:themeFillShade="D9"/>
            <w:vAlign w:val="center"/>
          </w:tcPr>
          <w:p w14:paraId="78E44D04" w14:textId="77777777" w:rsidR="00E7321B" w:rsidRPr="007F7A52" w:rsidRDefault="00E7321B" w:rsidP="00F24C69">
            <w:pPr>
              <w:spacing w:before="80" w:after="80"/>
              <w:jc w:val="center"/>
              <w:rPr>
                <w:rFonts w:cstheme="minorHAnsi"/>
                <w:b/>
              </w:rPr>
            </w:pPr>
            <w:r w:rsidRPr="007F7A52">
              <w:rPr>
                <w:rFonts w:cstheme="minorHAnsi"/>
                <w:b/>
              </w:rPr>
              <w:t>School</w:t>
            </w:r>
          </w:p>
        </w:tc>
        <w:tc>
          <w:tcPr>
            <w:tcW w:w="0" w:type="auto"/>
            <w:shd w:val="clear" w:color="auto" w:fill="D9D9D9" w:themeFill="background1" w:themeFillShade="D9"/>
            <w:vAlign w:val="center"/>
          </w:tcPr>
          <w:p w14:paraId="696B8FA8" w14:textId="77777777" w:rsidR="00E7321B" w:rsidRPr="007F7A52" w:rsidRDefault="00E7321B" w:rsidP="00F24C69">
            <w:pPr>
              <w:spacing w:before="80" w:after="80"/>
              <w:jc w:val="center"/>
              <w:rPr>
                <w:rFonts w:cstheme="minorHAnsi"/>
                <w:b/>
              </w:rPr>
            </w:pPr>
            <w:r w:rsidRPr="007F7A52">
              <w:rPr>
                <w:rFonts w:cstheme="minorHAnsi"/>
                <w:b/>
              </w:rPr>
              <w:t>State</w:t>
            </w:r>
          </w:p>
        </w:tc>
        <w:tc>
          <w:tcPr>
            <w:tcW w:w="0" w:type="auto"/>
            <w:shd w:val="clear" w:color="auto" w:fill="D9D9D9" w:themeFill="background1" w:themeFillShade="D9"/>
            <w:vAlign w:val="center"/>
          </w:tcPr>
          <w:p w14:paraId="5E730DF3" w14:textId="77777777" w:rsidR="00E7321B" w:rsidRPr="007F7A52" w:rsidRDefault="00E7321B" w:rsidP="00F24C69">
            <w:pPr>
              <w:spacing w:before="80" w:after="80"/>
              <w:jc w:val="center"/>
              <w:rPr>
                <w:rFonts w:cstheme="minorHAnsi"/>
                <w:b/>
              </w:rPr>
            </w:pPr>
            <w:r w:rsidRPr="007F7A52">
              <w:rPr>
                <w:rFonts w:cstheme="minorHAnsi"/>
                <w:b/>
              </w:rPr>
              <w:t>School</w:t>
            </w:r>
          </w:p>
        </w:tc>
        <w:tc>
          <w:tcPr>
            <w:tcW w:w="0" w:type="auto"/>
            <w:shd w:val="clear" w:color="auto" w:fill="D9D9D9" w:themeFill="background1" w:themeFillShade="D9"/>
            <w:vAlign w:val="center"/>
          </w:tcPr>
          <w:p w14:paraId="7EEB0F05" w14:textId="77777777" w:rsidR="00E7321B" w:rsidRPr="007F7A52" w:rsidRDefault="00E7321B" w:rsidP="00F24C69">
            <w:pPr>
              <w:spacing w:before="80" w:after="80"/>
              <w:jc w:val="center"/>
              <w:rPr>
                <w:rFonts w:cstheme="minorHAnsi"/>
                <w:b/>
              </w:rPr>
            </w:pPr>
            <w:r w:rsidRPr="007F7A52">
              <w:rPr>
                <w:rFonts w:cstheme="minorHAnsi"/>
                <w:b/>
              </w:rPr>
              <w:t>State</w:t>
            </w:r>
          </w:p>
        </w:tc>
      </w:tr>
      <w:tr w:rsidR="00E7321B" w14:paraId="7D03B92B" w14:textId="77777777" w:rsidTr="00F24C69">
        <w:tc>
          <w:tcPr>
            <w:tcW w:w="0" w:type="auto"/>
            <w:shd w:val="clear" w:color="auto" w:fill="D9D9D9" w:themeFill="background1" w:themeFillShade="D9"/>
          </w:tcPr>
          <w:p w14:paraId="5C534B5F" w14:textId="77777777" w:rsidR="00E7321B" w:rsidRPr="007F7A52" w:rsidRDefault="00E7321B" w:rsidP="00F24C69">
            <w:pPr>
              <w:spacing w:before="80" w:after="80"/>
              <w:rPr>
                <w:rFonts w:cstheme="minorHAnsi"/>
                <w:b/>
              </w:rPr>
            </w:pPr>
            <w:r>
              <w:rPr>
                <w:rFonts w:cstheme="minorHAnsi"/>
                <w:b/>
              </w:rPr>
              <w:t>Grades 3</w:t>
            </w:r>
            <w:r w:rsidRPr="007F7A52">
              <w:rPr>
                <w:rFonts w:cstheme="minorHAnsi"/>
                <w:b/>
              </w:rPr>
              <w:t>-8 English Language Arts</w:t>
            </w:r>
          </w:p>
        </w:tc>
        <w:tc>
          <w:tcPr>
            <w:tcW w:w="0" w:type="auto"/>
            <w:vAlign w:val="center"/>
          </w:tcPr>
          <w:p w14:paraId="027F5D86" w14:textId="77777777" w:rsidR="00E7321B" w:rsidRDefault="00E7321B" w:rsidP="00F24C69">
            <w:pPr>
              <w:spacing w:before="80" w:after="80"/>
              <w:jc w:val="center"/>
              <w:rPr>
                <w:rFonts w:cstheme="minorHAnsi"/>
              </w:rPr>
            </w:pPr>
            <w:r>
              <w:rPr>
                <w:rFonts w:cstheme="minorHAnsi"/>
              </w:rPr>
              <w:t>29</w:t>
            </w:r>
          </w:p>
        </w:tc>
        <w:tc>
          <w:tcPr>
            <w:tcW w:w="0" w:type="auto"/>
            <w:vAlign w:val="center"/>
          </w:tcPr>
          <w:p w14:paraId="6B338145" w14:textId="77777777" w:rsidR="00E7321B" w:rsidRDefault="00E7321B" w:rsidP="00F24C69">
            <w:pPr>
              <w:spacing w:before="80" w:after="80"/>
              <w:jc w:val="center"/>
              <w:rPr>
                <w:rFonts w:cstheme="minorHAnsi"/>
              </w:rPr>
            </w:pPr>
            <w:r>
              <w:rPr>
                <w:rFonts w:cstheme="minorHAnsi"/>
              </w:rPr>
              <w:t>49</w:t>
            </w:r>
          </w:p>
        </w:tc>
        <w:tc>
          <w:tcPr>
            <w:tcW w:w="0" w:type="auto"/>
            <w:vAlign w:val="center"/>
          </w:tcPr>
          <w:p w14:paraId="31F318A0" w14:textId="77777777" w:rsidR="00E7321B" w:rsidRDefault="00E7321B" w:rsidP="00F24C69">
            <w:pPr>
              <w:spacing w:before="80" w:after="80"/>
              <w:jc w:val="center"/>
              <w:rPr>
                <w:rFonts w:cstheme="minorHAnsi"/>
              </w:rPr>
            </w:pPr>
            <w:r>
              <w:rPr>
                <w:rFonts w:cstheme="minorHAnsi"/>
              </w:rPr>
              <w:t>489</w:t>
            </w:r>
          </w:p>
        </w:tc>
        <w:tc>
          <w:tcPr>
            <w:tcW w:w="0" w:type="auto"/>
            <w:vAlign w:val="center"/>
          </w:tcPr>
          <w:p w14:paraId="56047389" w14:textId="77777777" w:rsidR="00E7321B" w:rsidRDefault="00E7321B" w:rsidP="00F24C69">
            <w:pPr>
              <w:spacing w:before="80" w:after="80"/>
              <w:jc w:val="center"/>
              <w:rPr>
                <w:rFonts w:cstheme="minorHAnsi"/>
              </w:rPr>
            </w:pPr>
            <w:r>
              <w:rPr>
                <w:rFonts w:cstheme="minorHAnsi"/>
              </w:rPr>
              <w:t>499</w:t>
            </w:r>
          </w:p>
        </w:tc>
        <w:tc>
          <w:tcPr>
            <w:tcW w:w="0" w:type="auto"/>
            <w:vAlign w:val="center"/>
          </w:tcPr>
          <w:p w14:paraId="03D13E91" w14:textId="77777777" w:rsidR="00E7321B" w:rsidRDefault="00E7321B" w:rsidP="00F24C69">
            <w:pPr>
              <w:spacing w:before="80" w:after="80"/>
              <w:jc w:val="center"/>
              <w:rPr>
                <w:rFonts w:cstheme="minorHAnsi"/>
              </w:rPr>
            </w:pPr>
            <w:r>
              <w:rPr>
                <w:rFonts w:cstheme="minorHAnsi"/>
              </w:rPr>
              <w:t>26</w:t>
            </w:r>
          </w:p>
        </w:tc>
        <w:tc>
          <w:tcPr>
            <w:tcW w:w="0" w:type="auto"/>
            <w:vAlign w:val="center"/>
          </w:tcPr>
          <w:p w14:paraId="0D59F474" w14:textId="77777777" w:rsidR="00E7321B" w:rsidRDefault="00E7321B" w:rsidP="00F24C69">
            <w:pPr>
              <w:spacing w:before="80" w:after="80"/>
              <w:jc w:val="center"/>
              <w:rPr>
                <w:rFonts w:cstheme="minorHAnsi"/>
              </w:rPr>
            </w:pPr>
            <w:r>
              <w:rPr>
                <w:rFonts w:cstheme="minorHAnsi"/>
              </w:rPr>
              <w:t>51</w:t>
            </w:r>
          </w:p>
        </w:tc>
        <w:tc>
          <w:tcPr>
            <w:tcW w:w="0" w:type="auto"/>
            <w:vAlign w:val="center"/>
          </w:tcPr>
          <w:p w14:paraId="4F03CD52" w14:textId="77777777" w:rsidR="00E7321B" w:rsidRDefault="00E7321B" w:rsidP="00F24C69">
            <w:pPr>
              <w:spacing w:before="80" w:after="80"/>
              <w:jc w:val="center"/>
              <w:rPr>
                <w:rFonts w:cstheme="minorHAnsi"/>
              </w:rPr>
            </w:pPr>
            <w:r>
              <w:rPr>
                <w:rFonts w:cstheme="minorHAnsi"/>
              </w:rPr>
              <w:t>489</w:t>
            </w:r>
          </w:p>
        </w:tc>
        <w:tc>
          <w:tcPr>
            <w:tcW w:w="0" w:type="auto"/>
            <w:vAlign w:val="center"/>
          </w:tcPr>
          <w:p w14:paraId="5FE8B20E" w14:textId="77777777" w:rsidR="00E7321B" w:rsidRDefault="00E7321B" w:rsidP="00F24C69">
            <w:pPr>
              <w:spacing w:before="80" w:after="80"/>
              <w:jc w:val="center"/>
              <w:rPr>
                <w:rFonts w:cstheme="minorHAnsi"/>
              </w:rPr>
            </w:pPr>
            <w:r>
              <w:rPr>
                <w:rFonts w:cstheme="minorHAnsi"/>
              </w:rPr>
              <w:t>500</w:t>
            </w:r>
          </w:p>
        </w:tc>
      </w:tr>
      <w:tr w:rsidR="00E7321B" w14:paraId="58564BCF" w14:textId="77777777" w:rsidTr="00F24C69">
        <w:tc>
          <w:tcPr>
            <w:tcW w:w="0" w:type="auto"/>
            <w:shd w:val="clear" w:color="auto" w:fill="D9D9D9" w:themeFill="background1" w:themeFillShade="D9"/>
          </w:tcPr>
          <w:p w14:paraId="12E3B104" w14:textId="77777777" w:rsidR="00E7321B" w:rsidRPr="007F7A52" w:rsidRDefault="00E7321B" w:rsidP="00F24C69">
            <w:pPr>
              <w:spacing w:before="80" w:after="80"/>
              <w:rPr>
                <w:rFonts w:cstheme="minorHAnsi"/>
                <w:b/>
              </w:rPr>
            </w:pPr>
            <w:r w:rsidRPr="007F7A52">
              <w:rPr>
                <w:rFonts w:cstheme="minorHAnsi"/>
                <w:b/>
              </w:rPr>
              <w:t xml:space="preserve">Grades </w:t>
            </w:r>
            <w:r>
              <w:rPr>
                <w:rFonts w:cstheme="minorHAnsi"/>
                <w:b/>
              </w:rPr>
              <w:t>3</w:t>
            </w:r>
            <w:r w:rsidRPr="007F7A52">
              <w:rPr>
                <w:rFonts w:cstheme="minorHAnsi"/>
                <w:b/>
              </w:rPr>
              <w:t>-8 Mathematics</w:t>
            </w:r>
          </w:p>
        </w:tc>
        <w:tc>
          <w:tcPr>
            <w:tcW w:w="0" w:type="auto"/>
            <w:vAlign w:val="center"/>
          </w:tcPr>
          <w:p w14:paraId="440AACD0" w14:textId="77777777" w:rsidR="00E7321B" w:rsidRDefault="00E7321B" w:rsidP="00F24C69">
            <w:pPr>
              <w:spacing w:before="80" w:after="80"/>
              <w:jc w:val="center"/>
              <w:rPr>
                <w:rFonts w:cstheme="minorHAnsi"/>
              </w:rPr>
            </w:pPr>
            <w:r>
              <w:rPr>
                <w:rFonts w:cstheme="minorHAnsi"/>
              </w:rPr>
              <w:t>20</w:t>
            </w:r>
          </w:p>
        </w:tc>
        <w:tc>
          <w:tcPr>
            <w:tcW w:w="0" w:type="auto"/>
            <w:vAlign w:val="center"/>
          </w:tcPr>
          <w:p w14:paraId="6894708A" w14:textId="77777777" w:rsidR="00E7321B" w:rsidRDefault="00E7321B" w:rsidP="00F24C69">
            <w:pPr>
              <w:spacing w:before="80" w:after="80"/>
              <w:jc w:val="center"/>
              <w:rPr>
                <w:rFonts w:cstheme="minorHAnsi"/>
              </w:rPr>
            </w:pPr>
            <w:r>
              <w:rPr>
                <w:rFonts w:cstheme="minorHAnsi"/>
              </w:rPr>
              <w:t>48</w:t>
            </w:r>
          </w:p>
        </w:tc>
        <w:tc>
          <w:tcPr>
            <w:tcW w:w="0" w:type="auto"/>
            <w:vAlign w:val="center"/>
          </w:tcPr>
          <w:p w14:paraId="21AE5B31" w14:textId="77777777" w:rsidR="00E7321B" w:rsidRDefault="00E7321B" w:rsidP="00F24C69">
            <w:pPr>
              <w:spacing w:before="80" w:after="80"/>
              <w:jc w:val="center"/>
              <w:rPr>
                <w:rFonts w:cstheme="minorHAnsi"/>
              </w:rPr>
            </w:pPr>
            <w:r>
              <w:rPr>
                <w:rFonts w:cstheme="minorHAnsi"/>
              </w:rPr>
              <w:t>483</w:t>
            </w:r>
          </w:p>
        </w:tc>
        <w:tc>
          <w:tcPr>
            <w:tcW w:w="0" w:type="auto"/>
            <w:vAlign w:val="center"/>
          </w:tcPr>
          <w:p w14:paraId="38ED2059" w14:textId="77777777" w:rsidR="00E7321B" w:rsidRDefault="00E7321B" w:rsidP="00F24C69">
            <w:pPr>
              <w:spacing w:before="80" w:after="80"/>
              <w:jc w:val="center"/>
              <w:rPr>
                <w:rFonts w:cstheme="minorHAnsi"/>
              </w:rPr>
            </w:pPr>
            <w:r>
              <w:rPr>
                <w:rFonts w:cstheme="minorHAnsi"/>
              </w:rPr>
              <w:t>499</w:t>
            </w:r>
          </w:p>
        </w:tc>
        <w:tc>
          <w:tcPr>
            <w:tcW w:w="0" w:type="auto"/>
            <w:vAlign w:val="center"/>
          </w:tcPr>
          <w:p w14:paraId="7BFEBCFC" w14:textId="77777777" w:rsidR="00E7321B" w:rsidRDefault="00E7321B" w:rsidP="00F24C69">
            <w:pPr>
              <w:spacing w:before="80" w:after="80"/>
              <w:jc w:val="center"/>
              <w:rPr>
                <w:rFonts w:cstheme="minorHAnsi"/>
              </w:rPr>
            </w:pPr>
            <w:r>
              <w:rPr>
                <w:rFonts w:cstheme="minorHAnsi"/>
              </w:rPr>
              <w:t>19</w:t>
            </w:r>
          </w:p>
        </w:tc>
        <w:tc>
          <w:tcPr>
            <w:tcW w:w="0" w:type="auto"/>
            <w:vAlign w:val="center"/>
          </w:tcPr>
          <w:p w14:paraId="76A51AC3" w14:textId="77777777" w:rsidR="00E7321B" w:rsidRDefault="00E7321B" w:rsidP="00F24C69">
            <w:pPr>
              <w:spacing w:before="80" w:after="80"/>
              <w:jc w:val="center"/>
              <w:rPr>
                <w:rFonts w:cstheme="minorHAnsi"/>
              </w:rPr>
            </w:pPr>
            <w:r>
              <w:rPr>
                <w:rFonts w:cstheme="minorHAnsi"/>
              </w:rPr>
              <w:t>48</w:t>
            </w:r>
          </w:p>
        </w:tc>
        <w:tc>
          <w:tcPr>
            <w:tcW w:w="0" w:type="auto"/>
            <w:vAlign w:val="center"/>
          </w:tcPr>
          <w:p w14:paraId="37009790" w14:textId="77777777" w:rsidR="00E7321B" w:rsidRDefault="00E7321B" w:rsidP="00F24C69">
            <w:pPr>
              <w:spacing w:before="80" w:after="80"/>
              <w:jc w:val="center"/>
              <w:rPr>
                <w:rFonts w:cstheme="minorHAnsi"/>
              </w:rPr>
            </w:pPr>
            <w:r>
              <w:rPr>
                <w:rFonts w:cstheme="minorHAnsi"/>
              </w:rPr>
              <w:t>482</w:t>
            </w:r>
          </w:p>
        </w:tc>
        <w:tc>
          <w:tcPr>
            <w:tcW w:w="0" w:type="auto"/>
            <w:vAlign w:val="center"/>
          </w:tcPr>
          <w:p w14:paraId="2CC3385E" w14:textId="77777777" w:rsidR="00E7321B" w:rsidRDefault="00E7321B" w:rsidP="00F24C69">
            <w:pPr>
              <w:spacing w:before="80" w:after="80"/>
              <w:jc w:val="center"/>
              <w:rPr>
                <w:rFonts w:cstheme="minorHAnsi"/>
              </w:rPr>
            </w:pPr>
            <w:r>
              <w:rPr>
                <w:rFonts w:cstheme="minorHAnsi"/>
              </w:rPr>
              <w:t>498</w:t>
            </w:r>
          </w:p>
        </w:tc>
      </w:tr>
    </w:tbl>
    <w:p w14:paraId="01A71FFE" w14:textId="77777777" w:rsidR="00E7321B" w:rsidRPr="00F9675D" w:rsidRDefault="00E7321B" w:rsidP="006D7A08">
      <w:pPr>
        <w:spacing w:after="0"/>
        <w:ind w:left="360"/>
        <w:rPr>
          <w:rFonts w:cstheme="minorHAnsi"/>
          <w:b/>
          <w:i/>
        </w:rPr>
      </w:pPr>
    </w:p>
    <w:p w14:paraId="0382F3F2" w14:textId="77777777" w:rsidR="00E7321B" w:rsidRPr="00602F7B" w:rsidRDefault="00E7321B" w:rsidP="00E7321B">
      <w:pPr>
        <w:ind w:left="360"/>
        <w:rPr>
          <w:rFonts w:cstheme="minorHAnsi"/>
          <w:i/>
        </w:rPr>
      </w:pPr>
      <w:r w:rsidRPr="00602F7B">
        <w:rPr>
          <w:rFonts w:cstheme="minorHAnsi"/>
          <w:i/>
        </w:rPr>
        <w:t>Composite Performance Index</w:t>
      </w:r>
    </w:p>
    <w:p w14:paraId="51D545E2" w14:textId="77777777" w:rsidR="00E7321B" w:rsidRDefault="00E7321B" w:rsidP="00E7321B">
      <w:pPr>
        <w:ind w:left="360"/>
        <w:rPr>
          <w:rFonts w:cstheme="minorHAnsi"/>
        </w:rPr>
      </w:pPr>
      <w:r w:rsidRPr="00602F7B">
        <w:rPr>
          <w:rFonts w:cstheme="minorHAnsi"/>
        </w:rPr>
        <w:t>The Composite Performance Index is a 100-point index that serves as a measure of the extent to which all students are progressing toward proficiency. When all students score Proficient or Advanced on the legacy MCAS assessment, the CPI will be 100.</w:t>
      </w:r>
    </w:p>
    <w:p w14:paraId="7DE6D290" w14:textId="77777777" w:rsidR="00E7321B" w:rsidRDefault="00E7321B" w:rsidP="00E7321B">
      <w:pPr>
        <w:ind w:left="360"/>
        <w:rPr>
          <w:rFonts w:cstheme="minorHAnsi"/>
        </w:rPr>
      </w:pPr>
    </w:p>
    <w:tbl>
      <w:tblPr>
        <w:tblStyle w:val="TableGrid"/>
        <w:tblW w:w="5000" w:type="pct"/>
        <w:tblLook w:val="04A0" w:firstRow="1" w:lastRow="0" w:firstColumn="1" w:lastColumn="0" w:noHBand="0" w:noVBand="1"/>
        <w:tblDescription w:val="Composite Performance Index&#10;&#10;2015&#10;Grade 5 Science and Tech/Eng — School: 72.5&#10;Grade 5 Science and Tech/Eng — State: 78.2&#10;Grade 8 Science and Tech/ Eng — School: 64.4&#10;Grade 8 Science and Tech/ Eng — State: 72.4&#10;Grade 10 English Language Arts — School: 93.2&#10;Grade 10 English Language Arts — State: 96.7&#10;Grade 10 Mathematics — School: 80.7&#10;Grade 10 Mathematics — State: 89.9&#10;Grade 10 Science — School: -&#10;Grade 10 Science — State: 88.2&#10;&#10;2016&#10;Grade 5 Science and Tech/Eng — School: 61.0&#10;Grade 5 Science and Tech/Eng — State: 76.4&#10;Grade 8 Science and Tech/ Eng — School: 56.0&#10;Grade 8 Science and Tech/ Eng — State: 71.3&#10;Grade 10 English Language Arts — School: 100&#10;Grade 10 English Language Arts — State: 96.7&#10;Grade 10 Mathematics — School: 80.6&#10;Grade 10 Mathematics — State: 89.7&#10;Grade 10 Science — School: 90.0&#10;Grade 10 Science — State: 89.0&#10;&#10;2017&#10;Grade 5 Science and Tech/Eng — School: 62.8&#10;Grade 5 Science and Tech/Eng — State: 75.3&#10;Grade 8 Science and Tech/ Eng — School: 60.7&#10;Grade 8 Science and Tech/ Eng — State: 70.6&#10;Grade 10 English Language Arts — School: 96.2&#10;Grade 10 English Language Arts — State: 96.5&#10;Grade 10 Mathematics — School: 81.8&#10;Grade 10 Mathematics — State: 89.9&#10;Grade 10 Science — School: 86.8&#10;Grade 10 Science — State: 89.4&#10;&#10;2018&#10;Grade 5 Science and Tech/Eng — School: 54.1&#10;Grade 5 Science and Tech/Eng — State: 76.5&#10;Grade 8 Science and Tech/ Eng — School: 54.5&#10;Grade 8 Science and Tech/ Eng — State: 68.3&#10;Grade 10 English Language Arts — School: 95.6&#10;Grade 10 English Language Arts — State: 96.2&#10;Grade 10 Mathematics — School: 77.6&#10;Grade 10 Mathematics — State: 89.5&#10;Grade 10 Science — School: 60.5&#10;Grade 10 Science — State: 89.3"/>
      </w:tblPr>
      <w:tblGrid>
        <w:gridCol w:w="2900"/>
        <w:gridCol w:w="875"/>
        <w:gridCol w:w="737"/>
        <w:gridCol w:w="875"/>
        <w:gridCol w:w="737"/>
        <w:gridCol w:w="875"/>
        <w:gridCol w:w="737"/>
        <w:gridCol w:w="875"/>
        <w:gridCol w:w="739"/>
      </w:tblGrid>
      <w:tr w:rsidR="00E7321B" w14:paraId="06A5E578" w14:textId="77777777" w:rsidTr="00FB1BE1">
        <w:trPr>
          <w:tblHeader/>
        </w:trPr>
        <w:tc>
          <w:tcPr>
            <w:tcW w:w="5000" w:type="pct"/>
            <w:gridSpan w:val="9"/>
            <w:shd w:val="clear" w:color="auto" w:fill="BFBFBF" w:themeFill="background1" w:themeFillShade="BF"/>
          </w:tcPr>
          <w:p w14:paraId="1B28C8A3" w14:textId="77777777" w:rsidR="00E7321B" w:rsidRPr="007F7A52" w:rsidRDefault="00E7321B" w:rsidP="00F24C69">
            <w:pPr>
              <w:spacing w:before="80" w:after="80"/>
              <w:rPr>
                <w:rFonts w:cstheme="minorHAnsi"/>
                <w:b/>
              </w:rPr>
            </w:pPr>
            <w:r>
              <w:rPr>
                <w:rFonts w:cstheme="minorHAnsi"/>
                <w:b/>
              </w:rPr>
              <w:t>Composite Performance Index</w:t>
            </w:r>
          </w:p>
        </w:tc>
      </w:tr>
      <w:tr w:rsidR="00E7321B" w14:paraId="7428ACD7" w14:textId="77777777" w:rsidTr="00FB1BE1">
        <w:trPr>
          <w:tblHeader/>
        </w:trPr>
        <w:tc>
          <w:tcPr>
            <w:tcW w:w="1551" w:type="pct"/>
            <w:vMerge w:val="restart"/>
            <w:shd w:val="clear" w:color="auto" w:fill="D9D9D9" w:themeFill="background1" w:themeFillShade="D9"/>
            <w:vAlign w:val="bottom"/>
          </w:tcPr>
          <w:p w14:paraId="2560CE50" w14:textId="77777777" w:rsidR="00E7321B" w:rsidRPr="007F7A52" w:rsidRDefault="00E7321B" w:rsidP="00F24C69">
            <w:pPr>
              <w:spacing w:before="80" w:after="80"/>
              <w:rPr>
                <w:rFonts w:cstheme="minorHAnsi"/>
                <w:b/>
              </w:rPr>
            </w:pPr>
            <w:r>
              <w:rPr>
                <w:rFonts w:cstheme="minorHAnsi"/>
                <w:b/>
              </w:rPr>
              <w:t>Grade and Subject</w:t>
            </w:r>
          </w:p>
        </w:tc>
        <w:tc>
          <w:tcPr>
            <w:tcW w:w="862" w:type="pct"/>
            <w:gridSpan w:val="2"/>
            <w:shd w:val="clear" w:color="auto" w:fill="D9D9D9" w:themeFill="background1" w:themeFillShade="D9"/>
            <w:vAlign w:val="center"/>
          </w:tcPr>
          <w:p w14:paraId="0DD7A2DD" w14:textId="77777777" w:rsidR="00E7321B" w:rsidRPr="007F7A52" w:rsidRDefault="00E7321B" w:rsidP="00F24C69">
            <w:pPr>
              <w:spacing w:before="80" w:after="80"/>
              <w:jc w:val="center"/>
              <w:rPr>
                <w:rFonts w:cstheme="minorHAnsi"/>
                <w:b/>
              </w:rPr>
            </w:pPr>
            <w:r>
              <w:rPr>
                <w:rFonts w:cstheme="minorHAnsi"/>
                <w:b/>
              </w:rPr>
              <w:t>2015</w:t>
            </w:r>
          </w:p>
        </w:tc>
        <w:tc>
          <w:tcPr>
            <w:tcW w:w="862" w:type="pct"/>
            <w:gridSpan w:val="2"/>
            <w:shd w:val="clear" w:color="auto" w:fill="D9D9D9" w:themeFill="background1" w:themeFillShade="D9"/>
            <w:vAlign w:val="center"/>
          </w:tcPr>
          <w:p w14:paraId="248FBCEC" w14:textId="77777777" w:rsidR="00E7321B" w:rsidRPr="007F7A52" w:rsidRDefault="00E7321B" w:rsidP="00F24C69">
            <w:pPr>
              <w:spacing w:before="80" w:after="80"/>
              <w:jc w:val="center"/>
              <w:rPr>
                <w:rFonts w:cstheme="minorHAnsi"/>
                <w:b/>
              </w:rPr>
            </w:pPr>
            <w:r>
              <w:rPr>
                <w:rFonts w:cstheme="minorHAnsi"/>
                <w:b/>
              </w:rPr>
              <w:t>2016</w:t>
            </w:r>
          </w:p>
        </w:tc>
        <w:tc>
          <w:tcPr>
            <w:tcW w:w="862" w:type="pct"/>
            <w:gridSpan w:val="2"/>
            <w:shd w:val="clear" w:color="auto" w:fill="D9D9D9" w:themeFill="background1" w:themeFillShade="D9"/>
            <w:vAlign w:val="center"/>
          </w:tcPr>
          <w:p w14:paraId="394F6BE6" w14:textId="77777777" w:rsidR="00E7321B" w:rsidRPr="007F7A52" w:rsidRDefault="00E7321B" w:rsidP="00F24C69">
            <w:pPr>
              <w:spacing w:before="80" w:after="80"/>
              <w:jc w:val="center"/>
              <w:rPr>
                <w:rFonts w:cstheme="minorHAnsi"/>
                <w:b/>
              </w:rPr>
            </w:pPr>
            <w:r>
              <w:rPr>
                <w:rFonts w:cstheme="minorHAnsi"/>
                <w:b/>
              </w:rPr>
              <w:t>2017</w:t>
            </w:r>
          </w:p>
        </w:tc>
        <w:tc>
          <w:tcPr>
            <w:tcW w:w="863" w:type="pct"/>
            <w:gridSpan w:val="2"/>
            <w:shd w:val="clear" w:color="auto" w:fill="D9D9D9" w:themeFill="background1" w:themeFillShade="D9"/>
            <w:vAlign w:val="center"/>
          </w:tcPr>
          <w:p w14:paraId="36EB18F1" w14:textId="77777777" w:rsidR="00E7321B" w:rsidRPr="007F7A52" w:rsidRDefault="00E7321B" w:rsidP="00F24C69">
            <w:pPr>
              <w:spacing w:before="80" w:after="80"/>
              <w:jc w:val="center"/>
              <w:rPr>
                <w:rFonts w:cstheme="minorHAnsi"/>
                <w:b/>
              </w:rPr>
            </w:pPr>
            <w:r>
              <w:rPr>
                <w:rFonts w:cstheme="minorHAnsi"/>
                <w:b/>
              </w:rPr>
              <w:t>2018</w:t>
            </w:r>
          </w:p>
        </w:tc>
      </w:tr>
      <w:tr w:rsidR="00E7321B" w14:paraId="0A5D54A6" w14:textId="77777777" w:rsidTr="00FB1BE1">
        <w:trPr>
          <w:tblHeader/>
        </w:trPr>
        <w:tc>
          <w:tcPr>
            <w:tcW w:w="1551" w:type="pct"/>
            <w:vMerge/>
            <w:shd w:val="clear" w:color="auto" w:fill="D9D9D9" w:themeFill="background1" w:themeFillShade="D9"/>
          </w:tcPr>
          <w:p w14:paraId="577BA565" w14:textId="77777777" w:rsidR="00E7321B" w:rsidRPr="007F7A52" w:rsidRDefault="00E7321B" w:rsidP="00F24C69">
            <w:pPr>
              <w:spacing w:before="80" w:after="80"/>
              <w:rPr>
                <w:rFonts w:cstheme="minorHAnsi"/>
                <w:b/>
              </w:rPr>
            </w:pPr>
          </w:p>
        </w:tc>
        <w:tc>
          <w:tcPr>
            <w:tcW w:w="468" w:type="pct"/>
            <w:shd w:val="clear" w:color="auto" w:fill="D9D9D9" w:themeFill="background1" w:themeFillShade="D9"/>
            <w:vAlign w:val="center"/>
          </w:tcPr>
          <w:p w14:paraId="3D85061B" w14:textId="77777777" w:rsidR="00E7321B" w:rsidRPr="007F7A52" w:rsidRDefault="00E7321B" w:rsidP="00F24C69">
            <w:pPr>
              <w:spacing w:before="80" w:after="80"/>
              <w:jc w:val="center"/>
              <w:rPr>
                <w:rFonts w:cstheme="minorHAnsi"/>
                <w:b/>
              </w:rPr>
            </w:pPr>
            <w:r w:rsidRPr="007F7A52">
              <w:rPr>
                <w:rFonts w:cstheme="minorHAnsi"/>
                <w:b/>
              </w:rPr>
              <w:t>School</w:t>
            </w:r>
          </w:p>
        </w:tc>
        <w:tc>
          <w:tcPr>
            <w:tcW w:w="394" w:type="pct"/>
            <w:shd w:val="clear" w:color="auto" w:fill="D9D9D9" w:themeFill="background1" w:themeFillShade="D9"/>
            <w:vAlign w:val="center"/>
          </w:tcPr>
          <w:p w14:paraId="334821A9" w14:textId="77777777" w:rsidR="00E7321B" w:rsidRPr="007F7A52" w:rsidRDefault="00E7321B" w:rsidP="00F24C69">
            <w:pPr>
              <w:spacing w:before="80" w:after="80"/>
              <w:jc w:val="center"/>
              <w:rPr>
                <w:rFonts w:cstheme="minorHAnsi"/>
                <w:b/>
              </w:rPr>
            </w:pPr>
            <w:r w:rsidRPr="007F7A52">
              <w:rPr>
                <w:rFonts w:cstheme="minorHAnsi"/>
                <w:b/>
              </w:rPr>
              <w:t>State</w:t>
            </w:r>
          </w:p>
        </w:tc>
        <w:tc>
          <w:tcPr>
            <w:tcW w:w="468" w:type="pct"/>
            <w:shd w:val="clear" w:color="auto" w:fill="D9D9D9" w:themeFill="background1" w:themeFillShade="D9"/>
            <w:vAlign w:val="center"/>
          </w:tcPr>
          <w:p w14:paraId="714020CA" w14:textId="77777777" w:rsidR="00E7321B" w:rsidRPr="007F7A52" w:rsidRDefault="00E7321B" w:rsidP="00F24C69">
            <w:pPr>
              <w:spacing w:before="80" w:after="80"/>
              <w:jc w:val="center"/>
              <w:rPr>
                <w:rFonts w:cstheme="minorHAnsi"/>
                <w:b/>
              </w:rPr>
            </w:pPr>
            <w:r w:rsidRPr="007F7A52">
              <w:rPr>
                <w:rFonts w:cstheme="minorHAnsi"/>
                <w:b/>
              </w:rPr>
              <w:t>School</w:t>
            </w:r>
          </w:p>
        </w:tc>
        <w:tc>
          <w:tcPr>
            <w:tcW w:w="394" w:type="pct"/>
            <w:shd w:val="clear" w:color="auto" w:fill="D9D9D9" w:themeFill="background1" w:themeFillShade="D9"/>
            <w:vAlign w:val="center"/>
          </w:tcPr>
          <w:p w14:paraId="4436E1C4" w14:textId="77777777" w:rsidR="00E7321B" w:rsidRPr="007F7A52" w:rsidRDefault="00E7321B" w:rsidP="00F24C69">
            <w:pPr>
              <w:spacing w:before="80" w:after="80"/>
              <w:jc w:val="center"/>
              <w:rPr>
                <w:rFonts w:cstheme="minorHAnsi"/>
                <w:b/>
              </w:rPr>
            </w:pPr>
            <w:r w:rsidRPr="007F7A52">
              <w:rPr>
                <w:rFonts w:cstheme="minorHAnsi"/>
                <w:b/>
              </w:rPr>
              <w:t>State</w:t>
            </w:r>
          </w:p>
        </w:tc>
        <w:tc>
          <w:tcPr>
            <w:tcW w:w="468" w:type="pct"/>
            <w:shd w:val="clear" w:color="auto" w:fill="D9D9D9" w:themeFill="background1" w:themeFillShade="D9"/>
            <w:vAlign w:val="center"/>
          </w:tcPr>
          <w:p w14:paraId="087FE3C3" w14:textId="77777777" w:rsidR="00E7321B" w:rsidRPr="007F7A52" w:rsidRDefault="00E7321B" w:rsidP="00F24C69">
            <w:pPr>
              <w:spacing w:before="80" w:after="80"/>
              <w:jc w:val="center"/>
              <w:rPr>
                <w:rFonts w:cstheme="minorHAnsi"/>
                <w:b/>
              </w:rPr>
            </w:pPr>
            <w:r w:rsidRPr="007F7A52">
              <w:rPr>
                <w:rFonts w:cstheme="minorHAnsi"/>
                <w:b/>
              </w:rPr>
              <w:t>School</w:t>
            </w:r>
          </w:p>
        </w:tc>
        <w:tc>
          <w:tcPr>
            <w:tcW w:w="394" w:type="pct"/>
            <w:shd w:val="clear" w:color="auto" w:fill="D9D9D9" w:themeFill="background1" w:themeFillShade="D9"/>
            <w:vAlign w:val="center"/>
          </w:tcPr>
          <w:p w14:paraId="2D51753A" w14:textId="77777777" w:rsidR="00E7321B" w:rsidRPr="007F7A52" w:rsidRDefault="00E7321B" w:rsidP="00F24C69">
            <w:pPr>
              <w:spacing w:before="80" w:after="80"/>
              <w:jc w:val="center"/>
              <w:rPr>
                <w:rFonts w:cstheme="minorHAnsi"/>
                <w:b/>
              </w:rPr>
            </w:pPr>
            <w:r w:rsidRPr="007F7A52">
              <w:rPr>
                <w:rFonts w:cstheme="minorHAnsi"/>
                <w:b/>
              </w:rPr>
              <w:t>State</w:t>
            </w:r>
          </w:p>
        </w:tc>
        <w:tc>
          <w:tcPr>
            <w:tcW w:w="468" w:type="pct"/>
            <w:shd w:val="clear" w:color="auto" w:fill="D9D9D9" w:themeFill="background1" w:themeFillShade="D9"/>
            <w:vAlign w:val="center"/>
          </w:tcPr>
          <w:p w14:paraId="290AED31" w14:textId="77777777" w:rsidR="00E7321B" w:rsidRPr="007F7A52" w:rsidRDefault="00E7321B" w:rsidP="00F24C69">
            <w:pPr>
              <w:spacing w:before="80" w:after="80"/>
              <w:jc w:val="center"/>
              <w:rPr>
                <w:rFonts w:cstheme="minorHAnsi"/>
                <w:b/>
              </w:rPr>
            </w:pPr>
            <w:r w:rsidRPr="007F7A52">
              <w:rPr>
                <w:rFonts w:cstheme="minorHAnsi"/>
                <w:b/>
              </w:rPr>
              <w:t>School</w:t>
            </w:r>
          </w:p>
        </w:tc>
        <w:tc>
          <w:tcPr>
            <w:tcW w:w="395" w:type="pct"/>
            <w:shd w:val="clear" w:color="auto" w:fill="D9D9D9" w:themeFill="background1" w:themeFillShade="D9"/>
            <w:vAlign w:val="center"/>
          </w:tcPr>
          <w:p w14:paraId="233A3058" w14:textId="77777777" w:rsidR="00E7321B" w:rsidRPr="007F7A52" w:rsidRDefault="00E7321B" w:rsidP="00F24C69">
            <w:pPr>
              <w:spacing w:before="80" w:after="80"/>
              <w:jc w:val="center"/>
              <w:rPr>
                <w:rFonts w:cstheme="minorHAnsi"/>
                <w:b/>
              </w:rPr>
            </w:pPr>
            <w:r w:rsidRPr="007F7A52">
              <w:rPr>
                <w:rFonts w:cstheme="minorHAnsi"/>
                <w:b/>
              </w:rPr>
              <w:t>State</w:t>
            </w:r>
          </w:p>
        </w:tc>
      </w:tr>
      <w:tr w:rsidR="00E7321B" w14:paraId="30054AB2" w14:textId="77777777" w:rsidTr="00F24C69">
        <w:tc>
          <w:tcPr>
            <w:tcW w:w="1551" w:type="pct"/>
            <w:shd w:val="clear" w:color="auto" w:fill="D9D9D9" w:themeFill="background1" w:themeFillShade="D9"/>
          </w:tcPr>
          <w:p w14:paraId="39850C04" w14:textId="77777777" w:rsidR="00E7321B" w:rsidRDefault="00E7321B" w:rsidP="00F24C69">
            <w:pPr>
              <w:spacing w:before="80" w:after="80"/>
              <w:rPr>
                <w:rFonts w:cstheme="minorHAnsi"/>
                <w:b/>
              </w:rPr>
            </w:pPr>
            <w:r>
              <w:rPr>
                <w:rFonts w:cstheme="minorHAnsi"/>
                <w:b/>
              </w:rPr>
              <w:t>Grade 5 Science and Tech/Eng</w:t>
            </w:r>
          </w:p>
        </w:tc>
        <w:tc>
          <w:tcPr>
            <w:tcW w:w="468" w:type="pct"/>
            <w:vAlign w:val="center"/>
          </w:tcPr>
          <w:p w14:paraId="402AD9A2" w14:textId="77777777" w:rsidR="00E7321B" w:rsidRDefault="00E7321B" w:rsidP="00F24C69">
            <w:pPr>
              <w:spacing w:before="80" w:after="80"/>
              <w:jc w:val="center"/>
              <w:rPr>
                <w:rFonts w:cstheme="minorHAnsi"/>
              </w:rPr>
            </w:pPr>
            <w:r>
              <w:rPr>
                <w:rFonts w:cstheme="minorHAnsi"/>
              </w:rPr>
              <w:t>72.5</w:t>
            </w:r>
          </w:p>
        </w:tc>
        <w:tc>
          <w:tcPr>
            <w:tcW w:w="394" w:type="pct"/>
            <w:vAlign w:val="center"/>
          </w:tcPr>
          <w:p w14:paraId="46EBF012" w14:textId="77777777" w:rsidR="00E7321B" w:rsidRDefault="00E7321B" w:rsidP="00F24C69">
            <w:pPr>
              <w:spacing w:before="80" w:after="80"/>
              <w:jc w:val="center"/>
              <w:rPr>
                <w:rFonts w:cstheme="minorHAnsi"/>
              </w:rPr>
            </w:pPr>
            <w:r>
              <w:rPr>
                <w:rFonts w:cstheme="minorHAnsi"/>
              </w:rPr>
              <w:t>78.2</w:t>
            </w:r>
          </w:p>
        </w:tc>
        <w:tc>
          <w:tcPr>
            <w:tcW w:w="468" w:type="pct"/>
            <w:vAlign w:val="center"/>
          </w:tcPr>
          <w:p w14:paraId="6465C2AC" w14:textId="77777777" w:rsidR="00E7321B" w:rsidRDefault="00E7321B" w:rsidP="00F24C69">
            <w:pPr>
              <w:spacing w:before="80" w:after="80"/>
              <w:jc w:val="center"/>
              <w:rPr>
                <w:rFonts w:cstheme="minorHAnsi"/>
              </w:rPr>
            </w:pPr>
            <w:r>
              <w:rPr>
                <w:rFonts w:cstheme="minorHAnsi"/>
              </w:rPr>
              <w:t>61.0</w:t>
            </w:r>
          </w:p>
        </w:tc>
        <w:tc>
          <w:tcPr>
            <w:tcW w:w="394" w:type="pct"/>
            <w:vAlign w:val="center"/>
          </w:tcPr>
          <w:p w14:paraId="2EEA1C0C" w14:textId="77777777" w:rsidR="00E7321B" w:rsidRDefault="00E7321B" w:rsidP="00F24C69">
            <w:pPr>
              <w:spacing w:before="80" w:after="80"/>
              <w:jc w:val="center"/>
              <w:rPr>
                <w:rFonts w:cstheme="minorHAnsi"/>
              </w:rPr>
            </w:pPr>
            <w:r>
              <w:rPr>
                <w:rFonts w:cstheme="minorHAnsi"/>
              </w:rPr>
              <w:t>76.4</w:t>
            </w:r>
          </w:p>
        </w:tc>
        <w:tc>
          <w:tcPr>
            <w:tcW w:w="468" w:type="pct"/>
            <w:vAlign w:val="center"/>
          </w:tcPr>
          <w:p w14:paraId="6642D0D9" w14:textId="77777777" w:rsidR="00E7321B" w:rsidRDefault="00E7321B" w:rsidP="00F24C69">
            <w:pPr>
              <w:spacing w:before="80" w:after="80"/>
              <w:jc w:val="center"/>
              <w:rPr>
                <w:rFonts w:cstheme="minorHAnsi"/>
              </w:rPr>
            </w:pPr>
            <w:r>
              <w:rPr>
                <w:rFonts w:cstheme="minorHAnsi"/>
              </w:rPr>
              <w:t>62.8</w:t>
            </w:r>
          </w:p>
        </w:tc>
        <w:tc>
          <w:tcPr>
            <w:tcW w:w="394" w:type="pct"/>
            <w:vAlign w:val="center"/>
          </w:tcPr>
          <w:p w14:paraId="2C530287" w14:textId="77777777" w:rsidR="00E7321B" w:rsidRDefault="00E7321B" w:rsidP="00F24C69">
            <w:pPr>
              <w:spacing w:before="80" w:after="80"/>
              <w:jc w:val="center"/>
              <w:rPr>
                <w:rFonts w:cstheme="minorHAnsi"/>
              </w:rPr>
            </w:pPr>
            <w:r>
              <w:rPr>
                <w:rFonts w:cstheme="minorHAnsi"/>
              </w:rPr>
              <w:t>75.3</w:t>
            </w:r>
          </w:p>
        </w:tc>
        <w:tc>
          <w:tcPr>
            <w:tcW w:w="468" w:type="pct"/>
            <w:vAlign w:val="center"/>
          </w:tcPr>
          <w:p w14:paraId="0794CBE3" w14:textId="77777777" w:rsidR="00E7321B" w:rsidRDefault="00E7321B" w:rsidP="00F24C69">
            <w:pPr>
              <w:spacing w:before="80" w:after="80"/>
              <w:jc w:val="center"/>
              <w:rPr>
                <w:rFonts w:cstheme="minorHAnsi"/>
              </w:rPr>
            </w:pPr>
            <w:r>
              <w:rPr>
                <w:rFonts w:cstheme="minorHAnsi"/>
              </w:rPr>
              <w:t>54.1</w:t>
            </w:r>
          </w:p>
        </w:tc>
        <w:tc>
          <w:tcPr>
            <w:tcW w:w="395" w:type="pct"/>
            <w:vAlign w:val="center"/>
          </w:tcPr>
          <w:p w14:paraId="725E8AF2" w14:textId="77777777" w:rsidR="00E7321B" w:rsidRDefault="00E7321B" w:rsidP="00F24C69">
            <w:pPr>
              <w:spacing w:before="80" w:after="80"/>
              <w:jc w:val="center"/>
              <w:rPr>
                <w:rFonts w:cstheme="minorHAnsi"/>
              </w:rPr>
            </w:pPr>
            <w:r>
              <w:rPr>
                <w:rFonts w:cstheme="minorHAnsi"/>
              </w:rPr>
              <w:t>76.5</w:t>
            </w:r>
          </w:p>
        </w:tc>
      </w:tr>
      <w:tr w:rsidR="00E7321B" w14:paraId="5B10F31C" w14:textId="77777777" w:rsidTr="00F24C69">
        <w:tc>
          <w:tcPr>
            <w:tcW w:w="1551" w:type="pct"/>
            <w:shd w:val="clear" w:color="auto" w:fill="D9D9D9" w:themeFill="background1" w:themeFillShade="D9"/>
          </w:tcPr>
          <w:p w14:paraId="560F4DFA" w14:textId="77777777" w:rsidR="00E7321B" w:rsidRDefault="00E7321B" w:rsidP="00F24C69">
            <w:pPr>
              <w:spacing w:before="80" w:after="80"/>
              <w:rPr>
                <w:rFonts w:cstheme="minorHAnsi"/>
                <w:b/>
              </w:rPr>
            </w:pPr>
            <w:r>
              <w:rPr>
                <w:rFonts w:cstheme="minorHAnsi"/>
                <w:b/>
              </w:rPr>
              <w:t>Grade 8 Science and Tech/ Eng</w:t>
            </w:r>
          </w:p>
        </w:tc>
        <w:tc>
          <w:tcPr>
            <w:tcW w:w="468" w:type="pct"/>
            <w:vAlign w:val="center"/>
          </w:tcPr>
          <w:p w14:paraId="242F5C52" w14:textId="77777777" w:rsidR="00E7321B" w:rsidRDefault="00E7321B" w:rsidP="00F24C69">
            <w:pPr>
              <w:spacing w:before="80" w:after="80"/>
              <w:jc w:val="center"/>
              <w:rPr>
                <w:rFonts w:cstheme="minorHAnsi"/>
              </w:rPr>
            </w:pPr>
            <w:r>
              <w:rPr>
                <w:rFonts w:cstheme="minorHAnsi"/>
              </w:rPr>
              <w:t>64.4</w:t>
            </w:r>
          </w:p>
        </w:tc>
        <w:tc>
          <w:tcPr>
            <w:tcW w:w="394" w:type="pct"/>
            <w:vAlign w:val="center"/>
          </w:tcPr>
          <w:p w14:paraId="47F569DD" w14:textId="77777777" w:rsidR="00E7321B" w:rsidRDefault="00E7321B" w:rsidP="00F24C69">
            <w:pPr>
              <w:spacing w:before="80" w:after="80"/>
              <w:jc w:val="center"/>
              <w:rPr>
                <w:rFonts w:cstheme="minorHAnsi"/>
              </w:rPr>
            </w:pPr>
            <w:r>
              <w:rPr>
                <w:rFonts w:cstheme="minorHAnsi"/>
              </w:rPr>
              <w:t>72.4</w:t>
            </w:r>
          </w:p>
        </w:tc>
        <w:tc>
          <w:tcPr>
            <w:tcW w:w="468" w:type="pct"/>
            <w:vAlign w:val="center"/>
          </w:tcPr>
          <w:p w14:paraId="2CEB2658" w14:textId="77777777" w:rsidR="00E7321B" w:rsidRDefault="00E7321B" w:rsidP="00F24C69">
            <w:pPr>
              <w:spacing w:before="80" w:after="80"/>
              <w:jc w:val="center"/>
              <w:rPr>
                <w:rFonts w:cstheme="minorHAnsi"/>
              </w:rPr>
            </w:pPr>
            <w:r>
              <w:rPr>
                <w:rFonts w:cstheme="minorHAnsi"/>
              </w:rPr>
              <w:t>56.0</w:t>
            </w:r>
          </w:p>
        </w:tc>
        <w:tc>
          <w:tcPr>
            <w:tcW w:w="394" w:type="pct"/>
            <w:vAlign w:val="center"/>
          </w:tcPr>
          <w:p w14:paraId="542AB664" w14:textId="77777777" w:rsidR="00E7321B" w:rsidRDefault="00E7321B" w:rsidP="00F24C69">
            <w:pPr>
              <w:spacing w:before="80" w:after="80"/>
              <w:jc w:val="center"/>
              <w:rPr>
                <w:rFonts w:cstheme="minorHAnsi"/>
              </w:rPr>
            </w:pPr>
            <w:r>
              <w:rPr>
                <w:rFonts w:cstheme="minorHAnsi"/>
              </w:rPr>
              <w:t>71.3</w:t>
            </w:r>
          </w:p>
        </w:tc>
        <w:tc>
          <w:tcPr>
            <w:tcW w:w="468" w:type="pct"/>
            <w:vAlign w:val="center"/>
          </w:tcPr>
          <w:p w14:paraId="05A3EB8E" w14:textId="77777777" w:rsidR="00E7321B" w:rsidRDefault="00E7321B" w:rsidP="00F24C69">
            <w:pPr>
              <w:spacing w:before="80" w:after="80"/>
              <w:jc w:val="center"/>
              <w:rPr>
                <w:rFonts w:cstheme="minorHAnsi"/>
              </w:rPr>
            </w:pPr>
            <w:r>
              <w:rPr>
                <w:rFonts w:cstheme="minorHAnsi"/>
              </w:rPr>
              <w:t>60.7</w:t>
            </w:r>
          </w:p>
        </w:tc>
        <w:tc>
          <w:tcPr>
            <w:tcW w:w="394" w:type="pct"/>
            <w:vAlign w:val="center"/>
          </w:tcPr>
          <w:p w14:paraId="7C905629" w14:textId="77777777" w:rsidR="00E7321B" w:rsidRDefault="00E7321B" w:rsidP="00F24C69">
            <w:pPr>
              <w:spacing w:before="80" w:after="80"/>
              <w:jc w:val="center"/>
              <w:rPr>
                <w:rFonts w:cstheme="minorHAnsi"/>
              </w:rPr>
            </w:pPr>
            <w:r>
              <w:rPr>
                <w:rFonts w:cstheme="minorHAnsi"/>
              </w:rPr>
              <w:t>70.6</w:t>
            </w:r>
          </w:p>
        </w:tc>
        <w:tc>
          <w:tcPr>
            <w:tcW w:w="468" w:type="pct"/>
            <w:vAlign w:val="center"/>
          </w:tcPr>
          <w:p w14:paraId="48467036" w14:textId="77777777" w:rsidR="00E7321B" w:rsidRDefault="00E7321B" w:rsidP="00F24C69">
            <w:pPr>
              <w:spacing w:before="80" w:after="80"/>
              <w:jc w:val="center"/>
              <w:rPr>
                <w:rFonts w:cstheme="minorHAnsi"/>
              </w:rPr>
            </w:pPr>
            <w:r>
              <w:rPr>
                <w:rFonts w:cstheme="minorHAnsi"/>
              </w:rPr>
              <w:t>54.5</w:t>
            </w:r>
          </w:p>
        </w:tc>
        <w:tc>
          <w:tcPr>
            <w:tcW w:w="395" w:type="pct"/>
            <w:vAlign w:val="center"/>
          </w:tcPr>
          <w:p w14:paraId="514B9145" w14:textId="77777777" w:rsidR="00E7321B" w:rsidRDefault="00E7321B" w:rsidP="00F24C69">
            <w:pPr>
              <w:spacing w:before="80" w:after="80"/>
              <w:jc w:val="center"/>
              <w:rPr>
                <w:rFonts w:cstheme="minorHAnsi"/>
              </w:rPr>
            </w:pPr>
            <w:r>
              <w:rPr>
                <w:rFonts w:cstheme="minorHAnsi"/>
              </w:rPr>
              <w:t>68.3</w:t>
            </w:r>
          </w:p>
        </w:tc>
      </w:tr>
      <w:tr w:rsidR="00E7321B" w14:paraId="16FB55A0" w14:textId="77777777" w:rsidTr="00F24C69">
        <w:tc>
          <w:tcPr>
            <w:tcW w:w="1551" w:type="pct"/>
            <w:shd w:val="clear" w:color="auto" w:fill="D9D9D9" w:themeFill="background1" w:themeFillShade="D9"/>
          </w:tcPr>
          <w:p w14:paraId="344B5A5B" w14:textId="77777777" w:rsidR="00E7321B" w:rsidRDefault="00E7321B" w:rsidP="00F24C69">
            <w:pPr>
              <w:spacing w:before="80" w:after="80"/>
              <w:rPr>
                <w:rFonts w:cstheme="minorHAnsi"/>
                <w:b/>
              </w:rPr>
            </w:pPr>
            <w:r>
              <w:rPr>
                <w:rFonts w:cstheme="minorHAnsi"/>
                <w:b/>
              </w:rPr>
              <w:t>Grade 10 English Language Arts</w:t>
            </w:r>
          </w:p>
        </w:tc>
        <w:tc>
          <w:tcPr>
            <w:tcW w:w="468" w:type="pct"/>
            <w:vAlign w:val="center"/>
          </w:tcPr>
          <w:p w14:paraId="49D61F16" w14:textId="77777777" w:rsidR="00E7321B" w:rsidRDefault="00E7321B" w:rsidP="00F24C69">
            <w:pPr>
              <w:spacing w:before="80" w:after="80"/>
              <w:jc w:val="center"/>
              <w:rPr>
                <w:rFonts w:cstheme="minorHAnsi"/>
              </w:rPr>
            </w:pPr>
            <w:r>
              <w:rPr>
                <w:rFonts w:cstheme="minorHAnsi"/>
              </w:rPr>
              <w:t>93.2</w:t>
            </w:r>
          </w:p>
        </w:tc>
        <w:tc>
          <w:tcPr>
            <w:tcW w:w="394" w:type="pct"/>
            <w:vAlign w:val="center"/>
          </w:tcPr>
          <w:p w14:paraId="36737A84" w14:textId="77777777" w:rsidR="00E7321B" w:rsidRDefault="00E7321B" w:rsidP="00F24C69">
            <w:pPr>
              <w:spacing w:before="80" w:after="80"/>
              <w:jc w:val="center"/>
              <w:rPr>
                <w:rFonts w:cstheme="minorHAnsi"/>
              </w:rPr>
            </w:pPr>
            <w:r>
              <w:rPr>
                <w:rFonts w:cstheme="minorHAnsi"/>
              </w:rPr>
              <w:t>96.7</w:t>
            </w:r>
          </w:p>
        </w:tc>
        <w:tc>
          <w:tcPr>
            <w:tcW w:w="468" w:type="pct"/>
            <w:vAlign w:val="center"/>
          </w:tcPr>
          <w:p w14:paraId="072FE689" w14:textId="77777777" w:rsidR="00E7321B" w:rsidRDefault="00E7321B" w:rsidP="00F24C69">
            <w:pPr>
              <w:spacing w:before="80" w:after="80"/>
              <w:jc w:val="center"/>
              <w:rPr>
                <w:rFonts w:cstheme="minorHAnsi"/>
              </w:rPr>
            </w:pPr>
            <w:r>
              <w:rPr>
                <w:rFonts w:cstheme="minorHAnsi"/>
              </w:rPr>
              <w:t>100</w:t>
            </w:r>
          </w:p>
        </w:tc>
        <w:tc>
          <w:tcPr>
            <w:tcW w:w="394" w:type="pct"/>
            <w:vAlign w:val="center"/>
          </w:tcPr>
          <w:p w14:paraId="53ABBB4F" w14:textId="77777777" w:rsidR="00E7321B" w:rsidRDefault="00E7321B" w:rsidP="00F24C69">
            <w:pPr>
              <w:spacing w:before="80" w:after="80"/>
              <w:jc w:val="center"/>
              <w:rPr>
                <w:rFonts w:cstheme="minorHAnsi"/>
              </w:rPr>
            </w:pPr>
            <w:r>
              <w:rPr>
                <w:rFonts w:cstheme="minorHAnsi"/>
              </w:rPr>
              <w:t>96.7</w:t>
            </w:r>
          </w:p>
        </w:tc>
        <w:tc>
          <w:tcPr>
            <w:tcW w:w="468" w:type="pct"/>
            <w:vAlign w:val="center"/>
          </w:tcPr>
          <w:p w14:paraId="7E3D9F9C" w14:textId="77777777" w:rsidR="00E7321B" w:rsidRDefault="00E7321B" w:rsidP="00F24C69">
            <w:pPr>
              <w:spacing w:before="80" w:after="80"/>
              <w:jc w:val="center"/>
              <w:rPr>
                <w:rFonts w:cstheme="minorHAnsi"/>
              </w:rPr>
            </w:pPr>
            <w:r>
              <w:rPr>
                <w:rFonts w:cstheme="minorHAnsi"/>
              </w:rPr>
              <w:t>96.2</w:t>
            </w:r>
          </w:p>
        </w:tc>
        <w:tc>
          <w:tcPr>
            <w:tcW w:w="394" w:type="pct"/>
            <w:vAlign w:val="center"/>
          </w:tcPr>
          <w:p w14:paraId="1D2122AE" w14:textId="77777777" w:rsidR="00E7321B" w:rsidRDefault="00E7321B" w:rsidP="00F24C69">
            <w:pPr>
              <w:spacing w:before="80" w:after="80"/>
              <w:jc w:val="center"/>
              <w:rPr>
                <w:rFonts w:cstheme="minorHAnsi"/>
              </w:rPr>
            </w:pPr>
            <w:r>
              <w:rPr>
                <w:rFonts w:cstheme="minorHAnsi"/>
              </w:rPr>
              <w:t>96.5</w:t>
            </w:r>
          </w:p>
        </w:tc>
        <w:tc>
          <w:tcPr>
            <w:tcW w:w="468" w:type="pct"/>
            <w:vAlign w:val="center"/>
          </w:tcPr>
          <w:p w14:paraId="1B3C1C32" w14:textId="77777777" w:rsidR="00E7321B" w:rsidRDefault="00E7321B" w:rsidP="00F24C69">
            <w:pPr>
              <w:spacing w:before="80" w:after="80"/>
              <w:jc w:val="center"/>
              <w:rPr>
                <w:rFonts w:cstheme="minorHAnsi"/>
              </w:rPr>
            </w:pPr>
            <w:r>
              <w:rPr>
                <w:rFonts w:cstheme="minorHAnsi"/>
              </w:rPr>
              <w:t>95.6</w:t>
            </w:r>
          </w:p>
        </w:tc>
        <w:tc>
          <w:tcPr>
            <w:tcW w:w="395" w:type="pct"/>
            <w:vAlign w:val="center"/>
          </w:tcPr>
          <w:p w14:paraId="6C12595E" w14:textId="77777777" w:rsidR="00E7321B" w:rsidRDefault="00E7321B" w:rsidP="00F24C69">
            <w:pPr>
              <w:spacing w:before="80" w:after="80"/>
              <w:jc w:val="center"/>
              <w:rPr>
                <w:rFonts w:cstheme="minorHAnsi"/>
              </w:rPr>
            </w:pPr>
            <w:r>
              <w:rPr>
                <w:rFonts w:cstheme="minorHAnsi"/>
              </w:rPr>
              <w:t>96.2</w:t>
            </w:r>
          </w:p>
        </w:tc>
      </w:tr>
      <w:tr w:rsidR="00E7321B" w14:paraId="3ADE79C0" w14:textId="77777777" w:rsidTr="00F24C69">
        <w:tc>
          <w:tcPr>
            <w:tcW w:w="1551" w:type="pct"/>
            <w:shd w:val="clear" w:color="auto" w:fill="D9D9D9" w:themeFill="background1" w:themeFillShade="D9"/>
          </w:tcPr>
          <w:p w14:paraId="431092F2" w14:textId="77777777" w:rsidR="00E7321B" w:rsidRPr="007F7A52" w:rsidRDefault="00E7321B" w:rsidP="00F24C69">
            <w:pPr>
              <w:spacing w:before="80" w:after="80"/>
              <w:rPr>
                <w:rFonts w:cstheme="minorHAnsi"/>
                <w:b/>
              </w:rPr>
            </w:pPr>
            <w:r>
              <w:rPr>
                <w:rFonts w:cstheme="minorHAnsi"/>
                <w:b/>
              </w:rPr>
              <w:t>Grade 10 Mathematics</w:t>
            </w:r>
          </w:p>
        </w:tc>
        <w:tc>
          <w:tcPr>
            <w:tcW w:w="468" w:type="pct"/>
            <w:vAlign w:val="center"/>
          </w:tcPr>
          <w:p w14:paraId="6DE2341D" w14:textId="77777777" w:rsidR="00E7321B" w:rsidRDefault="00E7321B" w:rsidP="00F24C69">
            <w:pPr>
              <w:spacing w:before="80" w:after="80"/>
              <w:jc w:val="center"/>
              <w:rPr>
                <w:rFonts w:cstheme="minorHAnsi"/>
              </w:rPr>
            </w:pPr>
            <w:r>
              <w:rPr>
                <w:rFonts w:cstheme="minorHAnsi"/>
              </w:rPr>
              <w:t xml:space="preserve">80.7 </w:t>
            </w:r>
          </w:p>
        </w:tc>
        <w:tc>
          <w:tcPr>
            <w:tcW w:w="394" w:type="pct"/>
            <w:vAlign w:val="center"/>
          </w:tcPr>
          <w:p w14:paraId="19F63373" w14:textId="77777777" w:rsidR="00E7321B" w:rsidRDefault="00E7321B" w:rsidP="00F24C69">
            <w:pPr>
              <w:spacing w:before="80" w:after="80"/>
              <w:jc w:val="center"/>
              <w:rPr>
                <w:rFonts w:cstheme="minorHAnsi"/>
              </w:rPr>
            </w:pPr>
            <w:r>
              <w:rPr>
                <w:rFonts w:cstheme="minorHAnsi"/>
              </w:rPr>
              <w:t xml:space="preserve">  89.9</w:t>
            </w:r>
          </w:p>
        </w:tc>
        <w:tc>
          <w:tcPr>
            <w:tcW w:w="468" w:type="pct"/>
            <w:vAlign w:val="center"/>
          </w:tcPr>
          <w:p w14:paraId="15208072" w14:textId="77777777" w:rsidR="00E7321B" w:rsidRDefault="00E7321B" w:rsidP="00F24C69">
            <w:pPr>
              <w:spacing w:before="80" w:after="80"/>
              <w:jc w:val="center"/>
              <w:rPr>
                <w:rFonts w:cstheme="minorHAnsi"/>
              </w:rPr>
            </w:pPr>
            <w:r>
              <w:rPr>
                <w:rFonts w:cstheme="minorHAnsi"/>
              </w:rPr>
              <w:t xml:space="preserve"> 80.6</w:t>
            </w:r>
          </w:p>
        </w:tc>
        <w:tc>
          <w:tcPr>
            <w:tcW w:w="394" w:type="pct"/>
            <w:vAlign w:val="center"/>
          </w:tcPr>
          <w:p w14:paraId="1AEC5BB3" w14:textId="77777777" w:rsidR="00E7321B" w:rsidRDefault="00E7321B" w:rsidP="00F24C69">
            <w:pPr>
              <w:spacing w:before="80" w:after="80"/>
              <w:jc w:val="center"/>
              <w:rPr>
                <w:rFonts w:cstheme="minorHAnsi"/>
              </w:rPr>
            </w:pPr>
            <w:r>
              <w:rPr>
                <w:rFonts w:cstheme="minorHAnsi"/>
              </w:rPr>
              <w:t xml:space="preserve">89.7 </w:t>
            </w:r>
          </w:p>
        </w:tc>
        <w:tc>
          <w:tcPr>
            <w:tcW w:w="468" w:type="pct"/>
            <w:vAlign w:val="center"/>
          </w:tcPr>
          <w:p w14:paraId="7886A409" w14:textId="77777777" w:rsidR="00E7321B" w:rsidRDefault="00E7321B" w:rsidP="00F24C69">
            <w:pPr>
              <w:spacing w:before="80" w:after="80"/>
              <w:jc w:val="center"/>
              <w:rPr>
                <w:rFonts w:cstheme="minorHAnsi"/>
              </w:rPr>
            </w:pPr>
            <w:r>
              <w:rPr>
                <w:rFonts w:cstheme="minorHAnsi"/>
              </w:rPr>
              <w:t xml:space="preserve">81.8 </w:t>
            </w:r>
          </w:p>
        </w:tc>
        <w:tc>
          <w:tcPr>
            <w:tcW w:w="394" w:type="pct"/>
            <w:vAlign w:val="center"/>
          </w:tcPr>
          <w:p w14:paraId="604FEE72" w14:textId="77777777" w:rsidR="00E7321B" w:rsidRDefault="00E7321B" w:rsidP="00F24C69">
            <w:pPr>
              <w:spacing w:before="80" w:after="80"/>
              <w:jc w:val="center"/>
              <w:rPr>
                <w:rFonts w:cstheme="minorHAnsi"/>
              </w:rPr>
            </w:pPr>
            <w:r>
              <w:rPr>
                <w:rFonts w:cstheme="minorHAnsi"/>
              </w:rPr>
              <w:t xml:space="preserve">89.9 </w:t>
            </w:r>
          </w:p>
        </w:tc>
        <w:tc>
          <w:tcPr>
            <w:tcW w:w="468" w:type="pct"/>
            <w:vAlign w:val="center"/>
          </w:tcPr>
          <w:p w14:paraId="757B6AF2" w14:textId="77777777" w:rsidR="00E7321B" w:rsidRDefault="00E7321B" w:rsidP="00F24C69">
            <w:pPr>
              <w:spacing w:before="80" w:after="80"/>
              <w:jc w:val="center"/>
              <w:rPr>
                <w:rFonts w:cstheme="minorHAnsi"/>
              </w:rPr>
            </w:pPr>
            <w:r>
              <w:rPr>
                <w:rFonts w:cstheme="minorHAnsi"/>
              </w:rPr>
              <w:t xml:space="preserve"> 77.6</w:t>
            </w:r>
          </w:p>
        </w:tc>
        <w:tc>
          <w:tcPr>
            <w:tcW w:w="395" w:type="pct"/>
            <w:vAlign w:val="center"/>
          </w:tcPr>
          <w:p w14:paraId="1AC2B675" w14:textId="77777777" w:rsidR="00E7321B" w:rsidRDefault="00E7321B" w:rsidP="00F24C69">
            <w:pPr>
              <w:spacing w:before="80" w:after="80"/>
              <w:jc w:val="center"/>
              <w:rPr>
                <w:rFonts w:cstheme="minorHAnsi"/>
              </w:rPr>
            </w:pPr>
            <w:r>
              <w:rPr>
                <w:rFonts w:cstheme="minorHAnsi"/>
              </w:rPr>
              <w:t xml:space="preserve"> 89.5</w:t>
            </w:r>
          </w:p>
        </w:tc>
      </w:tr>
      <w:tr w:rsidR="00E7321B" w14:paraId="5B9F2E97" w14:textId="77777777" w:rsidTr="00F24C69">
        <w:tc>
          <w:tcPr>
            <w:tcW w:w="1551" w:type="pct"/>
            <w:shd w:val="clear" w:color="auto" w:fill="D9D9D9" w:themeFill="background1" w:themeFillShade="D9"/>
          </w:tcPr>
          <w:p w14:paraId="03F18D06" w14:textId="77777777" w:rsidR="00E7321B" w:rsidRPr="007F7A52" w:rsidRDefault="00E7321B" w:rsidP="00F24C69">
            <w:pPr>
              <w:spacing w:before="80" w:after="80"/>
              <w:rPr>
                <w:rFonts w:cstheme="minorHAnsi"/>
                <w:b/>
              </w:rPr>
            </w:pPr>
            <w:r>
              <w:rPr>
                <w:rFonts w:cstheme="minorHAnsi"/>
                <w:b/>
              </w:rPr>
              <w:t>Grade 10 Science</w:t>
            </w:r>
          </w:p>
        </w:tc>
        <w:tc>
          <w:tcPr>
            <w:tcW w:w="468" w:type="pct"/>
            <w:vAlign w:val="center"/>
          </w:tcPr>
          <w:p w14:paraId="64BBE396" w14:textId="77777777" w:rsidR="00E7321B" w:rsidRDefault="00E7321B" w:rsidP="00F24C69">
            <w:pPr>
              <w:spacing w:before="80" w:after="80"/>
              <w:jc w:val="center"/>
              <w:rPr>
                <w:rFonts w:cstheme="minorHAnsi"/>
              </w:rPr>
            </w:pPr>
            <w:r>
              <w:rPr>
                <w:rFonts w:cstheme="minorHAnsi"/>
              </w:rPr>
              <w:t xml:space="preserve"> -</w:t>
            </w:r>
          </w:p>
        </w:tc>
        <w:tc>
          <w:tcPr>
            <w:tcW w:w="394" w:type="pct"/>
            <w:vAlign w:val="center"/>
          </w:tcPr>
          <w:p w14:paraId="1716EB7A" w14:textId="77777777" w:rsidR="00E7321B" w:rsidRDefault="00E7321B" w:rsidP="00F24C69">
            <w:pPr>
              <w:spacing w:before="80" w:after="80"/>
              <w:jc w:val="center"/>
              <w:rPr>
                <w:rFonts w:cstheme="minorHAnsi"/>
              </w:rPr>
            </w:pPr>
            <w:r>
              <w:rPr>
                <w:rFonts w:cstheme="minorHAnsi"/>
              </w:rPr>
              <w:t xml:space="preserve"> 88.2</w:t>
            </w:r>
          </w:p>
        </w:tc>
        <w:tc>
          <w:tcPr>
            <w:tcW w:w="468" w:type="pct"/>
            <w:vAlign w:val="center"/>
          </w:tcPr>
          <w:p w14:paraId="65547611" w14:textId="77777777" w:rsidR="00E7321B" w:rsidRDefault="00E7321B" w:rsidP="00F24C69">
            <w:pPr>
              <w:spacing w:before="80" w:after="80"/>
              <w:jc w:val="center"/>
              <w:rPr>
                <w:rFonts w:cstheme="minorHAnsi"/>
              </w:rPr>
            </w:pPr>
            <w:r>
              <w:rPr>
                <w:rFonts w:cstheme="minorHAnsi"/>
              </w:rPr>
              <w:t xml:space="preserve"> 90.0</w:t>
            </w:r>
          </w:p>
        </w:tc>
        <w:tc>
          <w:tcPr>
            <w:tcW w:w="394" w:type="pct"/>
            <w:vAlign w:val="center"/>
          </w:tcPr>
          <w:p w14:paraId="744266B4" w14:textId="77777777" w:rsidR="00E7321B" w:rsidRDefault="00E7321B" w:rsidP="00F24C69">
            <w:pPr>
              <w:spacing w:before="80" w:after="80"/>
              <w:jc w:val="center"/>
              <w:rPr>
                <w:rFonts w:cstheme="minorHAnsi"/>
              </w:rPr>
            </w:pPr>
            <w:r>
              <w:rPr>
                <w:rFonts w:cstheme="minorHAnsi"/>
              </w:rPr>
              <w:t xml:space="preserve">89.0 </w:t>
            </w:r>
          </w:p>
        </w:tc>
        <w:tc>
          <w:tcPr>
            <w:tcW w:w="468" w:type="pct"/>
            <w:vAlign w:val="center"/>
          </w:tcPr>
          <w:p w14:paraId="326B0340" w14:textId="77777777" w:rsidR="00E7321B" w:rsidRDefault="00E7321B" w:rsidP="00F24C69">
            <w:pPr>
              <w:spacing w:before="80" w:after="80"/>
              <w:jc w:val="center"/>
              <w:rPr>
                <w:rFonts w:cstheme="minorHAnsi"/>
              </w:rPr>
            </w:pPr>
            <w:r>
              <w:rPr>
                <w:rFonts w:cstheme="minorHAnsi"/>
              </w:rPr>
              <w:t xml:space="preserve"> 86.8</w:t>
            </w:r>
          </w:p>
        </w:tc>
        <w:tc>
          <w:tcPr>
            <w:tcW w:w="394" w:type="pct"/>
            <w:vAlign w:val="center"/>
          </w:tcPr>
          <w:p w14:paraId="4E686B77" w14:textId="77777777" w:rsidR="00E7321B" w:rsidRDefault="00E7321B" w:rsidP="00F24C69">
            <w:pPr>
              <w:spacing w:before="80" w:after="80"/>
              <w:jc w:val="center"/>
              <w:rPr>
                <w:rFonts w:cstheme="minorHAnsi"/>
              </w:rPr>
            </w:pPr>
            <w:r>
              <w:rPr>
                <w:rFonts w:cstheme="minorHAnsi"/>
              </w:rPr>
              <w:t xml:space="preserve"> 89.4</w:t>
            </w:r>
          </w:p>
        </w:tc>
        <w:tc>
          <w:tcPr>
            <w:tcW w:w="468" w:type="pct"/>
            <w:vAlign w:val="center"/>
          </w:tcPr>
          <w:p w14:paraId="16EF9D6F" w14:textId="77777777" w:rsidR="00E7321B" w:rsidRDefault="00E7321B" w:rsidP="00F24C69">
            <w:pPr>
              <w:spacing w:before="80" w:after="80"/>
              <w:jc w:val="center"/>
              <w:rPr>
                <w:rFonts w:cstheme="minorHAnsi"/>
              </w:rPr>
            </w:pPr>
            <w:r>
              <w:rPr>
                <w:rFonts w:cstheme="minorHAnsi"/>
              </w:rPr>
              <w:t xml:space="preserve"> 60.5</w:t>
            </w:r>
          </w:p>
        </w:tc>
        <w:tc>
          <w:tcPr>
            <w:tcW w:w="395" w:type="pct"/>
            <w:vAlign w:val="center"/>
          </w:tcPr>
          <w:p w14:paraId="01775FB4" w14:textId="77777777" w:rsidR="00E7321B" w:rsidRDefault="00E7321B" w:rsidP="00F24C69">
            <w:pPr>
              <w:spacing w:before="80" w:after="80"/>
              <w:jc w:val="center"/>
              <w:rPr>
                <w:rFonts w:cstheme="minorHAnsi"/>
              </w:rPr>
            </w:pPr>
            <w:r>
              <w:rPr>
                <w:rFonts w:cstheme="minorHAnsi"/>
              </w:rPr>
              <w:t xml:space="preserve">89.3 </w:t>
            </w:r>
          </w:p>
        </w:tc>
      </w:tr>
    </w:tbl>
    <w:p w14:paraId="04CB4B86" w14:textId="77777777" w:rsidR="00E7321B" w:rsidRDefault="00E7321B" w:rsidP="00E7321B">
      <w:pPr>
        <w:ind w:left="360"/>
        <w:rPr>
          <w:rFonts w:cstheme="minorHAnsi"/>
        </w:rPr>
      </w:pPr>
    </w:p>
    <w:p w14:paraId="061D0B81" w14:textId="77777777" w:rsidR="00E7321B" w:rsidRPr="00602F7B" w:rsidRDefault="00E7321B" w:rsidP="00E7321B">
      <w:pPr>
        <w:ind w:left="360"/>
        <w:rPr>
          <w:rFonts w:cstheme="minorHAnsi"/>
        </w:rPr>
      </w:pPr>
    </w:p>
    <w:p w14:paraId="234F13B4" w14:textId="77777777" w:rsidR="00E7321B" w:rsidRPr="00602F7B" w:rsidRDefault="00E7321B" w:rsidP="00E7321B">
      <w:pPr>
        <w:ind w:left="360"/>
        <w:rPr>
          <w:rFonts w:cstheme="minorHAnsi"/>
          <w:i/>
        </w:rPr>
      </w:pPr>
      <w:r w:rsidRPr="00602F7B">
        <w:rPr>
          <w:rFonts w:cstheme="minorHAnsi"/>
          <w:i/>
        </w:rPr>
        <w:t>Student Growth Percentile</w:t>
      </w:r>
    </w:p>
    <w:p w14:paraId="2BB3B0F1" w14:textId="77777777" w:rsidR="00E7321B" w:rsidRDefault="00E7321B" w:rsidP="00E7321B">
      <w:pPr>
        <w:ind w:left="360"/>
        <w:rPr>
          <w:rFonts w:cstheme="minorHAnsi"/>
        </w:rPr>
      </w:pPr>
      <w:r w:rsidRPr="00602F7B">
        <w:rPr>
          <w:rFonts w:cstheme="minorHAnsi"/>
        </w:rPr>
        <w:t>The Department uses Student Growth Percentiles (SGPs) to demonstrate progress in student achievement each year. SGPs are generated based on student performance on statewide assessments, including MCAS and/or PARCC in 2015 and 2016 and the Next-Generation MCAS in 2017 and 2018. In 2015 and 2016, transitional SGP was calculated based on PARCC and prior MCAS scores. In 2018, DESE began including average SGP in all assessment and accountability reports instead of median SGP. In general, SGPs in the range of 1-39 are associated with lower growth, SGPs in the range of 40-60 are associated with moderate growth, and SGPs in the range of 61-99 are associated with higher growth.</w:t>
      </w:r>
    </w:p>
    <w:p w14:paraId="2797CB25" w14:textId="77777777" w:rsidR="00E7321B" w:rsidRDefault="00E7321B" w:rsidP="00E7321B">
      <w:pPr>
        <w:ind w:left="360"/>
        <w:rPr>
          <w:rFonts w:cstheme="minorHAnsi"/>
        </w:rPr>
      </w:pPr>
    </w:p>
    <w:tbl>
      <w:tblPr>
        <w:tblStyle w:val="TableGrid3"/>
        <w:tblW w:w="5000" w:type="pct"/>
        <w:tblLook w:val="04A0" w:firstRow="1" w:lastRow="0" w:firstColumn="1" w:lastColumn="0" w:noHBand="0" w:noVBand="1"/>
        <w:tblCaption w:val="Economically Disadvantaged (Percent Enrolled)"/>
      </w:tblPr>
      <w:tblGrid>
        <w:gridCol w:w="3968"/>
        <w:gridCol w:w="1045"/>
        <w:gridCol w:w="1045"/>
        <w:gridCol w:w="1618"/>
        <w:gridCol w:w="1674"/>
      </w:tblGrid>
      <w:tr w:rsidR="00E7321B" w:rsidRPr="00E40B28" w14:paraId="43D81D9C" w14:textId="77777777" w:rsidTr="00F24C69">
        <w:trPr>
          <w:tblHeader/>
        </w:trPr>
        <w:tc>
          <w:tcPr>
            <w:tcW w:w="5000" w:type="pct"/>
            <w:gridSpan w:val="5"/>
            <w:shd w:val="clear" w:color="auto" w:fill="BFBFBF" w:themeFill="background1" w:themeFillShade="BF"/>
          </w:tcPr>
          <w:p w14:paraId="055909C2" w14:textId="77777777" w:rsidR="00E7321B" w:rsidRPr="00E40B28" w:rsidRDefault="00E7321B" w:rsidP="00F24C69">
            <w:pPr>
              <w:spacing w:before="80" w:after="80"/>
              <w:rPr>
                <w:b/>
                <w:szCs w:val="24"/>
              </w:rPr>
            </w:pPr>
            <w:r>
              <w:rPr>
                <w:b/>
                <w:szCs w:val="24"/>
              </w:rPr>
              <w:lastRenderedPageBreak/>
              <w:t>Student Growth Percentile</w:t>
            </w:r>
          </w:p>
        </w:tc>
      </w:tr>
      <w:tr w:rsidR="00E7321B" w:rsidRPr="00E40B28" w14:paraId="1B0EE6C9" w14:textId="77777777" w:rsidTr="00F24C69">
        <w:trPr>
          <w:tblHeader/>
        </w:trPr>
        <w:tc>
          <w:tcPr>
            <w:tcW w:w="2122" w:type="pct"/>
            <w:vMerge w:val="restart"/>
            <w:shd w:val="clear" w:color="auto" w:fill="D9D9D9" w:themeFill="background1" w:themeFillShade="D9"/>
            <w:vAlign w:val="bottom"/>
          </w:tcPr>
          <w:p w14:paraId="54F4C41C" w14:textId="77777777" w:rsidR="00E7321B" w:rsidRPr="001F3BE2" w:rsidRDefault="00E7321B" w:rsidP="00F24C69">
            <w:pPr>
              <w:spacing w:before="80" w:after="80"/>
              <w:rPr>
                <w:b/>
                <w:szCs w:val="24"/>
              </w:rPr>
            </w:pPr>
            <w:r w:rsidRPr="001F3BE2">
              <w:rPr>
                <w:b/>
                <w:szCs w:val="24"/>
              </w:rPr>
              <w:t>Grade and Subject</w:t>
            </w:r>
          </w:p>
        </w:tc>
        <w:tc>
          <w:tcPr>
            <w:tcW w:w="1117" w:type="pct"/>
            <w:gridSpan w:val="2"/>
            <w:tcBorders>
              <w:bottom w:val="single" w:sz="4" w:space="0" w:color="auto"/>
            </w:tcBorders>
            <w:shd w:val="clear" w:color="auto" w:fill="D9D9D9" w:themeFill="background1" w:themeFillShade="D9"/>
          </w:tcPr>
          <w:p w14:paraId="4D14493A" w14:textId="77777777" w:rsidR="00E7321B" w:rsidRPr="00E40B28" w:rsidRDefault="00E7321B" w:rsidP="00F24C69">
            <w:pPr>
              <w:spacing w:before="80" w:after="80"/>
              <w:jc w:val="center"/>
              <w:rPr>
                <w:b/>
                <w:szCs w:val="24"/>
              </w:rPr>
            </w:pPr>
            <w:r>
              <w:rPr>
                <w:b/>
                <w:szCs w:val="24"/>
              </w:rPr>
              <w:t>PARCC</w:t>
            </w:r>
          </w:p>
        </w:tc>
        <w:tc>
          <w:tcPr>
            <w:tcW w:w="1761" w:type="pct"/>
            <w:gridSpan w:val="2"/>
            <w:tcBorders>
              <w:bottom w:val="single" w:sz="4" w:space="0" w:color="auto"/>
            </w:tcBorders>
            <w:shd w:val="clear" w:color="auto" w:fill="D9D9D9" w:themeFill="background1" w:themeFillShade="D9"/>
          </w:tcPr>
          <w:p w14:paraId="1E4A14DB" w14:textId="77777777" w:rsidR="00E7321B" w:rsidRPr="00E40B28" w:rsidRDefault="00E7321B" w:rsidP="00F24C69">
            <w:pPr>
              <w:spacing w:before="80" w:after="80"/>
              <w:jc w:val="center"/>
              <w:rPr>
                <w:b/>
                <w:szCs w:val="24"/>
              </w:rPr>
            </w:pPr>
            <w:r>
              <w:rPr>
                <w:b/>
                <w:szCs w:val="24"/>
              </w:rPr>
              <w:t>Next-Generation MCAS</w:t>
            </w:r>
          </w:p>
        </w:tc>
      </w:tr>
      <w:tr w:rsidR="00E7321B" w:rsidRPr="00E40B28" w14:paraId="79627031" w14:textId="77777777" w:rsidTr="00F24C69">
        <w:trPr>
          <w:tblHeader/>
        </w:trPr>
        <w:tc>
          <w:tcPr>
            <w:tcW w:w="2122" w:type="pct"/>
            <w:vMerge/>
            <w:shd w:val="clear" w:color="auto" w:fill="D9D9D9" w:themeFill="background1" w:themeFillShade="D9"/>
          </w:tcPr>
          <w:p w14:paraId="25B85C9A" w14:textId="77777777" w:rsidR="00E7321B" w:rsidRPr="00E40B28" w:rsidRDefault="00E7321B" w:rsidP="00F24C69">
            <w:pPr>
              <w:spacing w:before="80" w:after="80"/>
              <w:rPr>
                <w:szCs w:val="24"/>
              </w:rPr>
            </w:pPr>
          </w:p>
        </w:tc>
        <w:tc>
          <w:tcPr>
            <w:tcW w:w="1117" w:type="pct"/>
            <w:gridSpan w:val="2"/>
            <w:tcBorders>
              <w:bottom w:val="single" w:sz="4" w:space="0" w:color="auto"/>
            </w:tcBorders>
            <w:shd w:val="clear" w:color="auto" w:fill="D9D9D9" w:themeFill="background1" w:themeFillShade="D9"/>
          </w:tcPr>
          <w:p w14:paraId="2CC54089" w14:textId="77777777" w:rsidR="00E7321B" w:rsidRPr="00E40B28" w:rsidRDefault="00E7321B" w:rsidP="00F24C69">
            <w:pPr>
              <w:spacing w:before="80" w:after="80"/>
              <w:jc w:val="center"/>
              <w:rPr>
                <w:b/>
                <w:szCs w:val="24"/>
              </w:rPr>
            </w:pPr>
            <w:r>
              <w:rPr>
                <w:b/>
                <w:szCs w:val="24"/>
              </w:rPr>
              <w:t>Transitional SGP</w:t>
            </w:r>
          </w:p>
        </w:tc>
        <w:tc>
          <w:tcPr>
            <w:tcW w:w="865" w:type="pct"/>
            <w:tcBorders>
              <w:bottom w:val="single" w:sz="4" w:space="0" w:color="auto"/>
            </w:tcBorders>
            <w:shd w:val="clear" w:color="auto" w:fill="D9D9D9" w:themeFill="background1" w:themeFillShade="D9"/>
          </w:tcPr>
          <w:p w14:paraId="26499147" w14:textId="77777777" w:rsidR="00E7321B" w:rsidRPr="00E40B28" w:rsidRDefault="00E7321B" w:rsidP="00F24C69">
            <w:pPr>
              <w:spacing w:before="80" w:after="80"/>
              <w:jc w:val="center"/>
              <w:rPr>
                <w:b/>
                <w:szCs w:val="24"/>
              </w:rPr>
            </w:pPr>
            <w:r>
              <w:rPr>
                <w:b/>
                <w:szCs w:val="24"/>
              </w:rPr>
              <w:t>Median SGP</w:t>
            </w:r>
          </w:p>
        </w:tc>
        <w:tc>
          <w:tcPr>
            <w:tcW w:w="897" w:type="pct"/>
            <w:tcBorders>
              <w:bottom w:val="single" w:sz="4" w:space="0" w:color="auto"/>
            </w:tcBorders>
            <w:shd w:val="clear" w:color="auto" w:fill="D9D9D9" w:themeFill="background1" w:themeFillShade="D9"/>
          </w:tcPr>
          <w:p w14:paraId="6F570B89" w14:textId="77777777" w:rsidR="00E7321B" w:rsidRPr="00E40B28" w:rsidRDefault="00E7321B" w:rsidP="00F24C69">
            <w:pPr>
              <w:spacing w:before="80" w:after="80"/>
              <w:jc w:val="center"/>
              <w:rPr>
                <w:b/>
                <w:szCs w:val="24"/>
              </w:rPr>
            </w:pPr>
            <w:r>
              <w:rPr>
                <w:b/>
                <w:szCs w:val="24"/>
              </w:rPr>
              <w:t>Average SGP</w:t>
            </w:r>
          </w:p>
        </w:tc>
      </w:tr>
      <w:tr w:rsidR="00E7321B" w:rsidRPr="00E40B28" w14:paraId="226945AA" w14:textId="77777777" w:rsidTr="00F24C69">
        <w:trPr>
          <w:tblHeader/>
        </w:trPr>
        <w:tc>
          <w:tcPr>
            <w:tcW w:w="2122" w:type="pct"/>
            <w:vMerge/>
            <w:shd w:val="clear" w:color="auto" w:fill="D9D9D9" w:themeFill="background1" w:themeFillShade="D9"/>
          </w:tcPr>
          <w:p w14:paraId="5076F785" w14:textId="77777777" w:rsidR="00E7321B" w:rsidRPr="00E40B28" w:rsidRDefault="00E7321B" w:rsidP="00F24C69">
            <w:pPr>
              <w:spacing w:before="80" w:after="80"/>
              <w:rPr>
                <w:szCs w:val="24"/>
              </w:rPr>
            </w:pPr>
          </w:p>
        </w:tc>
        <w:tc>
          <w:tcPr>
            <w:tcW w:w="559" w:type="pct"/>
            <w:tcBorders>
              <w:bottom w:val="single" w:sz="4" w:space="0" w:color="auto"/>
            </w:tcBorders>
            <w:shd w:val="clear" w:color="auto" w:fill="D9D9D9" w:themeFill="background1" w:themeFillShade="D9"/>
          </w:tcPr>
          <w:p w14:paraId="7F027C8F" w14:textId="77777777" w:rsidR="00E7321B" w:rsidRPr="00E40B28" w:rsidRDefault="00E7321B" w:rsidP="00F24C69">
            <w:pPr>
              <w:spacing w:before="80" w:after="80"/>
              <w:jc w:val="center"/>
              <w:rPr>
                <w:b/>
                <w:szCs w:val="24"/>
              </w:rPr>
            </w:pPr>
            <w:r>
              <w:rPr>
                <w:b/>
                <w:szCs w:val="24"/>
              </w:rPr>
              <w:t>2015</w:t>
            </w:r>
          </w:p>
        </w:tc>
        <w:tc>
          <w:tcPr>
            <w:tcW w:w="559" w:type="pct"/>
            <w:tcBorders>
              <w:bottom w:val="single" w:sz="4" w:space="0" w:color="auto"/>
            </w:tcBorders>
            <w:shd w:val="clear" w:color="auto" w:fill="D9D9D9" w:themeFill="background1" w:themeFillShade="D9"/>
          </w:tcPr>
          <w:p w14:paraId="1D717296" w14:textId="77777777" w:rsidR="00E7321B" w:rsidRPr="00E40B28" w:rsidRDefault="00E7321B" w:rsidP="00F24C69">
            <w:pPr>
              <w:spacing w:before="80" w:after="80"/>
              <w:jc w:val="center"/>
              <w:rPr>
                <w:b/>
                <w:szCs w:val="24"/>
              </w:rPr>
            </w:pPr>
            <w:r>
              <w:rPr>
                <w:b/>
                <w:szCs w:val="24"/>
              </w:rPr>
              <w:t>2016</w:t>
            </w:r>
          </w:p>
        </w:tc>
        <w:tc>
          <w:tcPr>
            <w:tcW w:w="865" w:type="pct"/>
            <w:tcBorders>
              <w:bottom w:val="single" w:sz="4" w:space="0" w:color="auto"/>
            </w:tcBorders>
            <w:shd w:val="clear" w:color="auto" w:fill="D9D9D9" w:themeFill="background1" w:themeFillShade="D9"/>
          </w:tcPr>
          <w:p w14:paraId="2445A90E" w14:textId="77777777" w:rsidR="00E7321B" w:rsidRPr="00E40B28" w:rsidRDefault="00E7321B" w:rsidP="00F24C69">
            <w:pPr>
              <w:spacing w:before="80" w:after="80"/>
              <w:jc w:val="center"/>
              <w:rPr>
                <w:b/>
                <w:szCs w:val="24"/>
              </w:rPr>
            </w:pPr>
            <w:r>
              <w:rPr>
                <w:b/>
                <w:szCs w:val="24"/>
              </w:rPr>
              <w:t>2017</w:t>
            </w:r>
          </w:p>
        </w:tc>
        <w:tc>
          <w:tcPr>
            <w:tcW w:w="897" w:type="pct"/>
            <w:tcBorders>
              <w:bottom w:val="single" w:sz="4" w:space="0" w:color="auto"/>
            </w:tcBorders>
            <w:shd w:val="clear" w:color="auto" w:fill="D9D9D9" w:themeFill="background1" w:themeFillShade="D9"/>
          </w:tcPr>
          <w:p w14:paraId="1F733948" w14:textId="77777777" w:rsidR="00E7321B" w:rsidRPr="00E40B28" w:rsidRDefault="00E7321B" w:rsidP="00F24C69">
            <w:pPr>
              <w:spacing w:before="80" w:after="80"/>
              <w:jc w:val="center"/>
              <w:rPr>
                <w:b/>
                <w:szCs w:val="24"/>
              </w:rPr>
            </w:pPr>
            <w:r>
              <w:rPr>
                <w:b/>
                <w:szCs w:val="24"/>
              </w:rPr>
              <w:t>2018</w:t>
            </w:r>
          </w:p>
        </w:tc>
      </w:tr>
      <w:tr w:rsidR="00E7321B" w:rsidRPr="00E40B28" w14:paraId="05FD414D" w14:textId="77777777" w:rsidTr="00F24C69">
        <w:trPr>
          <w:tblHeader/>
        </w:trPr>
        <w:tc>
          <w:tcPr>
            <w:tcW w:w="2122" w:type="pct"/>
            <w:shd w:val="clear" w:color="auto" w:fill="D9D9D9" w:themeFill="background1" w:themeFillShade="D9"/>
          </w:tcPr>
          <w:p w14:paraId="3BA261AD" w14:textId="77777777" w:rsidR="00E7321B" w:rsidRPr="00E40B28" w:rsidRDefault="00E7321B" w:rsidP="00F24C69">
            <w:pPr>
              <w:spacing w:before="80" w:after="80"/>
              <w:rPr>
                <w:b/>
                <w:szCs w:val="24"/>
              </w:rPr>
            </w:pPr>
            <w:r>
              <w:rPr>
                <w:b/>
                <w:szCs w:val="24"/>
              </w:rPr>
              <w:t xml:space="preserve">Grades </w:t>
            </w:r>
            <w:r w:rsidRPr="0095576F">
              <w:rPr>
                <w:b/>
                <w:szCs w:val="24"/>
              </w:rPr>
              <w:t>3</w:t>
            </w:r>
            <w:r>
              <w:rPr>
                <w:b/>
                <w:szCs w:val="24"/>
              </w:rPr>
              <w:t>-8 English Language Arts</w:t>
            </w:r>
          </w:p>
        </w:tc>
        <w:tc>
          <w:tcPr>
            <w:tcW w:w="559" w:type="pct"/>
            <w:shd w:val="clear" w:color="auto" w:fill="auto"/>
            <w:vAlign w:val="center"/>
          </w:tcPr>
          <w:p w14:paraId="5F89F84C" w14:textId="77777777" w:rsidR="00E7321B" w:rsidRPr="00E40B28" w:rsidRDefault="00E7321B" w:rsidP="00F24C69">
            <w:pPr>
              <w:spacing w:before="80" w:after="80"/>
              <w:jc w:val="center"/>
              <w:rPr>
                <w:szCs w:val="24"/>
              </w:rPr>
            </w:pPr>
            <w:r>
              <w:t xml:space="preserve">40.0 </w:t>
            </w:r>
          </w:p>
        </w:tc>
        <w:tc>
          <w:tcPr>
            <w:tcW w:w="559" w:type="pct"/>
            <w:shd w:val="clear" w:color="auto" w:fill="auto"/>
            <w:vAlign w:val="center"/>
          </w:tcPr>
          <w:p w14:paraId="4B075C44" w14:textId="77777777" w:rsidR="00E7321B" w:rsidRPr="00E40B28" w:rsidRDefault="00E7321B" w:rsidP="00F24C69">
            <w:pPr>
              <w:spacing w:before="80" w:after="80"/>
              <w:jc w:val="center"/>
              <w:rPr>
                <w:szCs w:val="24"/>
              </w:rPr>
            </w:pPr>
            <w:r>
              <w:t>41.5</w:t>
            </w:r>
          </w:p>
        </w:tc>
        <w:tc>
          <w:tcPr>
            <w:tcW w:w="865" w:type="pct"/>
            <w:shd w:val="clear" w:color="auto" w:fill="auto"/>
            <w:vAlign w:val="center"/>
          </w:tcPr>
          <w:p w14:paraId="746B82AD" w14:textId="77777777" w:rsidR="00E7321B" w:rsidRPr="00E40B28" w:rsidRDefault="00E7321B" w:rsidP="00F24C69">
            <w:pPr>
              <w:spacing w:before="80" w:after="80"/>
              <w:jc w:val="center"/>
              <w:rPr>
                <w:szCs w:val="24"/>
              </w:rPr>
            </w:pPr>
            <w:r>
              <w:t xml:space="preserve">37.0 </w:t>
            </w:r>
          </w:p>
        </w:tc>
        <w:tc>
          <w:tcPr>
            <w:tcW w:w="897" w:type="pct"/>
            <w:shd w:val="clear" w:color="auto" w:fill="auto"/>
            <w:vAlign w:val="center"/>
          </w:tcPr>
          <w:p w14:paraId="5B812F37" w14:textId="77777777" w:rsidR="00E7321B" w:rsidRPr="00E40B28" w:rsidRDefault="00E7321B" w:rsidP="00F24C69">
            <w:pPr>
              <w:spacing w:before="80" w:after="80"/>
              <w:jc w:val="center"/>
              <w:rPr>
                <w:szCs w:val="24"/>
              </w:rPr>
            </w:pPr>
            <w:r>
              <w:t xml:space="preserve"> 43.2</w:t>
            </w:r>
          </w:p>
        </w:tc>
      </w:tr>
      <w:tr w:rsidR="00E7321B" w:rsidRPr="00E40B28" w14:paraId="47C20517" w14:textId="77777777" w:rsidTr="00F24C69">
        <w:trPr>
          <w:tblHeader/>
        </w:trPr>
        <w:tc>
          <w:tcPr>
            <w:tcW w:w="2122" w:type="pct"/>
            <w:shd w:val="clear" w:color="auto" w:fill="D9D9D9" w:themeFill="background1" w:themeFillShade="D9"/>
          </w:tcPr>
          <w:p w14:paraId="5FBEE529" w14:textId="77777777" w:rsidR="00E7321B" w:rsidRPr="00E40B28" w:rsidRDefault="00E7321B" w:rsidP="00F24C69">
            <w:pPr>
              <w:spacing w:before="80" w:after="80"/>
              <w:rPr>
                <w:b/>
                <w:szCs w:val="24"/>
              </w:rPr>
            </w:pPr>
            <w:r>
              <w:rPr>
                <w:b/>
                <w:szCs w:val="24"/>
              </w:rPr>
              <w:t xml:space="preserve">Grades </w:t>
            </w:r>
            <w:r w:rsidRPr="0095576F">
              <w:rPr>
                <w:b/>
                <w:szCs w:val="24"/>
              </w:rPr>
              <w:t>3</w:t>
            </w:r>
            <w:r>
              <w:rPr>
                <w:b/>
                <w:szCs w:val="24"/>
              </w:rPr>
              <w:t>-8 Mathematics</w:t>
            </w:r>
          </w:p>
        </w:tc>
        <w:tc>
          <w:tcPr>
            <w:tcW w:w="559" w:type="pct"/>
            <w:vAlign w:val="center"/>
          </w:tcPr>
          <w:p w14:paraId="396A4CF5" w14:textId="77777777" w:rsidR="00E7321B" w:rsidRPr="00E40B28" w:rsidRDefault="00E7321B" w:rsidP="00F24C69">
            <w:pPr>
              <w:spacing w:before="80" w:after="80"/>
              <w:jc w:val="center"/>
              <w:rPr>
                <w:szCs w:val="24"/>
              </w:rPr>
            </w:pPr>
            <w:r>
              <w:t xml:space="preserve">45.0 </w:t>
            </w:r>
          </w:p>
        </w:tc>
        <w:tc>
          <w:tcPr>
            <w:tcW w:w="559" w:type="pct"/>
            <w:vAlign w:val="center"/>
          </w:tcPr>
          <w:p w14:paraId="3E171E88" w14:textId="77777777" w:rsidR="00E7321B" w:rsidRPr="00E40B28" w:rsidRDefault="00E7321B" w:rsidP="00F24C69">
            <w:pPr>
              <w:spacing w:before="80" w:after="80"/>
              <w:jc w:val="center"/>
              <w:rPr>
                <w:szCs w:val="24"/>
              </w:rPr>
            </w:pPr>
            <w:r>
              <w:t>35.0</w:t>
            </w:r>
          </w:p>
        </w:tc>
        <w:tc>
          <w:tcPr>
            <w:tcW w:w="865" w:type="pct"/>
            <w:vAlign w:val="center"/>
          </w:tcPr>
          <w:p w14:paraId="17FB24D8" w14:textId="77777777" w:rsidR="00E7321B" w:rsidRPr="00E40B28" w:rsidRDefault="00E7321B" w:rsidP="00F24C69">
            <w:pPr>
              <w:spacing w:before="80" w:after="80"/>
              <w:jc w:val="center"/>
              <w:rPr>
                <w:szCs w:val="24"/>
              </w:rPr>
            </w:pPr>
            <w:r>
              <w:t xml:space="preserve">31.5 </w:t>
            </w:r>
          </w:p>
        </w:tc>
        <w:tc>
          <w:tcPr>
            <w:tcW w:w="897" w:type="pct"/>
            <w:vAlign w:val="center"/>
          </w:tcPr>
          <w:p w14:paraId="18C1395B" w14:textId="77777777" w:rsidR="00E7321B" w:rsidRPr="00E40B28" w:rsidRDefault="00E7321B" w:rsidP="00F24C69">
            <w:pPr>
              <w:spacing w:before="80" w:after="80"/>
              <w:jc w:val="center"/>
              <w:rPr>
                <w:szCs w:val="24"/>
              </w:rPr>
            </w:pPr>
            <w:r>
              <w:t xml:space="preserve"> 42.9</w:t>
            </w:r>
          </w:p>
        </w:tc>
      </w:tr>
      <w:tr w:rsidR="00E7321B" w:rsidRPr="00E40B28" w14:paraId="28428BEA" w14:textId="77777777" w:rsidTr="00F24C69">
        <w:trPr>
          <w:tblHeader/>
        </w:trPr>
        <w:tc>
          <w:tcPr>
            <w:tcW w:w="2122" w:type="pct"/>
            <w:vMerge w:val="restart"/>
            <w:shd w:val="clear" w:color="auto" w:fill="D9D9D9" w:themeFill="background1" w:themeFillShade="D9"/>
            <w:vAlign w:val="bottom"/>
          </w:tcPr>
          <w:p w14:paraId="794A238F" w14:textId="77777777" w:rsidR="00E7321B" w:rsidRPr="001F3BE2" w:rsidRDefault="00E7321B" w:rsidP="00F24C69">
            <w:pPr>
              <w:spacing w:before="80" w:after="80"/>
              <w:rPr>
                <w:b/>
                <w:szCs w:val="24"/>
              </w:rPr>
            </w:pPr>
            <w:r w:rsidRPr="001F3BE2">
              <w:rPr>
                <w:b/>
                <w:szCs w:val="24"/>
              </w:rPr>
              <w:t>Grade and Subject</w:t>
            </w:r>
          </w:p>
        </w:tc>
        <w:tc>
          <w:tcPr>
            <w:tcW w:w="2878" w:type="pct"/>
            <w:gridSpan w:val="4"/>
            <w:tcBorders>
              <w:bottom w:val="single" w:sz="4" w:space="0" w:color="auto"/>
            </w:tcBorders>
            <w:shd w:val="clear" w:color="auto" w:fill="D9D9D9" w:themeFill="background1" w:themeFillShade="D9"/>
          </w:tcPr>
          <w:p w14:paraId="2C432DD8" w14:textId="77777777" w:rsidR="00E7321B" w:rsidRPr="00E40B28" w:rsidRDefault="00E7321B" w:rsidP="00F24C69">
            <w:pPr>
              <w:spacing w:before="80" w:after="80"/>
              <w:jc w:val="center"/>
              <w:rPr>
                <w:b/>
                <w:szCs w:val="24"/>
              </w:rPr>
            </w:pPr>
            <w:r>
              <w:rPr>
                <w:b/>
                <w:szCs w:val="24"/>
              </w:rPr>
              <w:t>MCAS</w:t>
            </w:r>
          </w:p>
        </w:tc>
      </w:tr>
      <w:tr w:rsidR="00E7321B" w:rsidRPr="00E40B28" w14:paraId="234726A1" w14:textId="77777777" w:rsidTr="00F24C69">
        <w:trPr>
          <w:tblHeader/>
        </w:trPr>
        <w:tc>
          <w:tcPr>
            <w:tcW w:w="2122" w:type="pct"/>
            <w:vMerge/>
            <w:shd w:val="clear" w:color="auto" w:fill="D9D9D9" w:themeFill="background1" w:themeFillShade="D9"/>
          </w:tcPr>
          <w:p w14:paraId="1BFE5EAF" w14:textId="77777777" w:rsidR="00E7321B" w:rsidRPr="00E40B28" w:rsidRDefault="00E7321B" w:rsidP="00F24C69">
            <w:pPr>
              <w:spacing w:before="80" w:after="80"/>
              <w:rPr>
                <w:szCs w:val="24"/>
              </w:rPr>
            </w:pPr>
          </w:p>
        </w:tc>
        <w:tc>
          <w:tcPr>
            <w:tcW w:w="1982" w:type="pct"/>
            <w:gridSpan w:val="3"/>
            <w:tcBorders>
              <w:bottom w:val="single" w:sz="4" w:space="0" w:color="auto"/>
            </w:tcBorders>
            <w:shd w:val="clear" w:color="auto" w:fill="D9D9D9" w:themeFill="background1" w:themeFillShade="D9"/>
          </w:tcPr>
          <w:p w14:paraId="08832EC7" w14:textId="77777777" w:rsidR="00E7321B" w:rsidRPr="00E40B28" w:rsidRDefault="00E7321B" w:rsidP="00F24C69">
            <w:pPr>
              <w:spacing w:before="80" w:after="80"/>
              <w:jc w:val="center"/>
              <w:rPr>
                <w:b/>
                <w:szCs w:val="24"/>
              </w:rPr>
            </w:pPr>
            <w:r>
              <w:rPr>
                <w:b/>
                <w:szCs w:val="24"/>
              </w:rPr>
              <w:t>Median SGP</w:t>
            </w:r>
          </w:p>
        </w:tc>
        <w:tc>
          <w:tcPr>
            <w:tcW w:w="897" w:type="pct"/>
            <w:tcBorders>
              <w:bottom w:val="single" w:sz="4" w:space="0" w:color="auto"/>
            </w:tcBorders>
            <w:shd w:val="clear" w:color="auto" w:fill="D9D9D9" w:themeFill="background1" w:themeFillShade="D9"/>
          </w:tcPr>
          <w:p w14:paraId="2BA63B8C" w14:textId="77777777" w:rsidR="00E7321B" w:rsidRPr="00E40B28" w:rsidRDefault="00E7321B" w:rsidP="00F24C69">
            <w:pPr>
              <w:spacing w:before="80" w:after="80"/>
              <w:jc w:val="center"/>
              <w:rPr>
                <w:b/>
                <w:szCs w:val="24"/>
              </w:rPr>
            </w:pPr>
            <w:r>
              <w:rPr>
                <w:b/>
                <w:szCs w:val="24"/>
              </w:rPr>
              <w:t>Average SGP</w:t>
            </w:r>
          </w:p>
        </w:tc>
      </w:tr>
      <w:tr w:rsidR="00E7321B" w:rsidRPr="00E40B28" w14:paraId="4CA22900" w14:textId="77777777" w:rsidTr="00F24C69">
        <w:trPr>
          <w:tblHeader/>
        </w:trPr>
        <w:tc>
          <w:tcPr>
            <w:tcW w:w="2122" w:type="pct"/>
            <w:vMerge/>
            <w:shd w:val="clear" w:color="auto" w:fill="D9D9D9" w:themeFill="background1" w:themeFillShade="D9"/>
          </w:tcPr>
          <w:p w14:paraId="7BA1ADE0" w14:textId="77777777" w:rsidR="00E7321B" w:rsidRPr="00E40B28" w:rsidRDefault="00E7321B" w:rsidP="00F24C69">
            <w:pPr>
              <w:spacing w:before="80" w:after="80"/>
              <w:rPr>
                <w:szCs w:val="24"/>
              </w:rPr>
            </w:pPr>
          </w:p>
        </w:tc>
        <w:tc>
          <w:tcPr>
            <w:tcW w:w="559" w:type="pct"/>
            <w:tcBorders>
              <w:bottom w:val="single" w:sz="4" w:space="0" w:color="auto"/>
            </w:tcBorders>
            <w:shd w:val="clear" w:color="auto" w:fill="D9D9D9" w:themeFill="background1" w:themeFillShade="D9"/>
          </w:tcPr>
          <w:p w14:paraId="04985DD8" w14:textId="77777777" w:rsidR="00E7321B" w:rsidRPr="00E40B28" w:rsidRDefault="00E7321B" w:rsidP="00F24C69">
            <w:pPr>
              <w:spacing w:before="80" w:after="80"/>
              <w:jc w:val="center"/>
              <w:rPr>
                <w:b/>
                <w:szCs w:val="24"/>
              </w:rPr>
            </w:pPr>
            <w:r>
              <w:rPr>
                <w:b/>
                <w:szCs w:val="24"/>
              </w:rPr>
              <w:t>2015</w:t>
            </w:r>
          </w:p>
        </w:tc>
        <w:tc>
          <w:tcPr>
            <w:tcW w:w="559" w:type="pct"/>
            <w:tcBorders>
              <w:bottom w:val="single" w:sz="4" w:space="0" w:color="auto"/>
            </w:tcBorders>
            <w:shd w:val="clear" w:color="auto" w:fill="D9D9D9" w:themeFill="background1" w:themeFillShade="D9"/>
          </w:tcPr>
          <w:p w14:paraId="6454D77F" w14:textId="77777777" w:rsidR="00E7321B" w:rsidRPr="00E40B28" w:rsidRDefault="00E7321B" w:rsidP="00F24C69">
            <w:pPr>
              <w:spacing w:before="80" w:after="80"/>
              <w:jc w:val="center"/>
              <w:rPr>
                <w:b/>
                <w:szCs w:val="24"/>
              </w:rPr>
            </w:pPr>
            <w:r>
              <w:rPr>
                <w:b/>
                <w:szCs w:val="24"/>
              </w:rPr>
              <w:t>2016</w:t>
            </w:r>
          </w:p>
        </w:tc>
        <w:tc>
          <w:tcPr>
            <w:tcW w:w="865" w:type="pct"/>
            <w:tcBorders>
              <w:bottom w:val="single" w:sz="4" w:space="0" w:color="auto"/>
            </w:tcBorders>
            <w:shd w:val="clear" w:color="auto" w:fill="D9D9D9" w:themeFill="background1" w:themeFillShade="D9"/>
          </w:tcPr>
          <w:p w14:paraId="25DC0D89" w14:textId="77777777" w:rsidR="00E7321B" w:rsidRPr="00E40B28" w:rsidRDefault="00E7321B" w:rsidP="00F24C69">
            <w:pPr>
              <w:spacing w:before="80" w:after="80"/>
              <w:jc w:val="center"/>
              <w:rPr>
                <w:b/>
                <w:szCs w:val="24"/>
              </w:rPr>
            </w:pPr>
            <w:r>
              <w:rPr>
                <w:b/>
                <w:szCs w:val="24"/>
              </w:rPr>
              <w:t>2017</w:t>
            </w:r>
          </w:p>
        </w:tc>
        <w:tc>
          <w:tcPr>
            <w:tcW w:w="897" w:type="pct"/>
            <w:tcBorders>
              <w:bottom w:val="single" w:sz="4" w:space="0" w:color="auto"/>
            </w:tcBorders>
            <w:shd w:val="clear" w:color="auto" w:fill="D9D9D9" w:themeFill="background1" w:themeFillShade="D9"/>
          </w:tcPr>
          <w:p w14:paraId="060017EA" w14:textId="77777777" w:rsidR="00E7321B" w:rsidRPr="00E40B28" w:rsidRDefault="00E7321B" w:rsidP="00F24C69">
            <w:pPr>
              <w:spacing w:before="80" w:after="80"/>
              <w:jc w:val="center"/>
              <w:rPr>
                <w:b/>
                <w:szCs w:val="24"/>
              </w:rPr>
            </w:pPr>
            <w:r>
              <w:rPr>
                <w:b/>
                <w:szCs w:val="24"/>
              </w:rPr>
              <w:t>2018</w:t>
            </w:r>
          </w:p>
        </w:tc>
      </w:tr>
      <w:tr w:rsidR="00E7321B" w:rsidRPr="00E40B28" w14:paraId="1BF42EFA" w14:textId="77777777" w:rsidTr="00F24C69">
        <w:trPr>
          <w:tblHeader/>
        </w:trPr>
        <w:tc>
          <w:tcPr>
            <w:tcW w:w="2122" w:type="pct"/>
            <w:shd w:val="clear" w:color="auto" w:fill="D9D9D9" w:themeFill="background1" w:themeFillShade="D9"/>
          </w:tcPr>
          <w:p w14:paraId="040BB94C" w14:textId="77777777" w:rsidR="00E7321B" w:rsidRPr="00E40B28" w:rsidRDefault="00E7321B" w:rsidP="00F24C69">
            <w:pPr>
              <w:spacing w:before="80" w:after="80"/>
              <w:rPr>
                <w:b/>
                <w:szCs w:val="24"/>
              </w:rPr>
            </w:pPr>
            <w:r>
              <w:rPr>
                <w:b/>
                <w:szCs w:val="24"/>
              </w:rPr>
              <w:t>Grade 10 English Language Arts</w:t>
            </w:r>
          </w:p>
        </w:tc>
        <w:tc>
          <w:tcPr>
            <w:tcW w:w="559" w:type="pct"/>
            <w:shd w:val="clear" w:color="auto" w:fill="auto"/>
            <w:vAlign w:val="center"/>
          </w:tcPr>
          <w:p w14:paraId="50D05959" w14:textId="77777777" w:rsidR="00E7321B" w:rsidRPr="00E40B28" w:rsidRDefault="00E7321B" w:rsidP="00F24C69">
            <w:pPr>
              <w:spacing w:before="80" w:after="80"/>
              <w:jc w:val="center"/>
              <w:rPr>
                <w:szCs w:val="24"/>
              </w:rPr>
            </w:pPr>
            <w:r>
              <w:t xml:space="preserve">- </w:t>
            </w:r>
          </w:p>
        </w:tc>
        <w:tc>
          <w:tcPr>
            <w:tcW w:w="559" w:type="pct"/>
            <w:shd w:val="clear" w:color="auto" w:fill="auto"/>
            <w:vAlign w:val="center"/>
          </w:tcPr>
          <w:p w14:paraId="640082C5" w14:textId="77777777" w:rsidR="00E7321B" w:rsidRPr="00E40B28" w:rsidRDefault="00E7321B" w:rsidP="00F24C69">
            <w:pPr>
              <w:spacing w:before="80" w:after="80"/>
              <w:jc w:val="center"/>
              <w:rPr>
                <w:szCs w:val="24"/>
              </w:rPr>
            </w:pPr>
            <w:r>
              <w:t xml:space="preserve"> 59.5</w:t>
            </w:r>
          </w:p>
        </w:tc>
        <w:tc>
          <w:tcPr>
            <w:tcW w:w="865" w:type="pct"/>
            <w:shd w:val="clear" w:color="auto" w:fill="auto"/>
            <w:vAlign w:val="center"/>
          </w:tcPr>
          <w:p w14:paraId="02A5BECC" w14:textId="77777777" w:rsidR="00E7321B" w:rsidRPr="00E40B28" w:rsidRDefault="00E7321B" w:rsidP="00F24C69">
            <w:pPr>
              <w:spacing w:before="80" w:after="80"/>
              <w:jc w:val="center"/>
              <w:rPr>
                <w:szCs w:val="24"/>
              </w:rPr>
            </w:pPr>
            <w:r>
              <w:t xml:space="preserve">35.0 </w:t>
            </w:r>
          </w:p>
        </w:tc>
        <w:tc>
          <w:tcPr>
            <w:tcW w:w="897" w:type="pct"/>
            <w:shd w:val="clear" w:color="auto" w:fill="auto"/>
            <w:vAlign w:val="center"/>
          </w:tcPr>
          <w:p w14:paraId="2B955BEC" w14:textId="77777777" w:rsidR="00E7321B" w:rsidRPr="00E40B28" w:rsidRDefault="00E7321B" w:rsidP="00F24C69">
            <w:pPr>
              <w:spacing w:before="80" w:after="80"/>
              <w:jc w:val="center"/>
              <w:rPr>
                <w:szCs w:val="24"/>
              </w:rPr>
            </w:pPr>
            <w:r>
              <w:t xml:space="preserve"> 47.2</w:t>
            </w:r>
          </w:p>
        </w:tc>
      </w:tr>
      <w:tr w:rsidR="00E7321B" w:rsidRPr="00E40B28" w14:paraId="3B386E7F" w14:textId="77777777" w:rsidTr="00F24C69">
        <w:trPr>
          <w:tblHeader/>
        </w:trPr>
        <w:tc>
          <w:tcPr>
            <w:tcW w:w="2122" w:type="pct"/>
            <w:shd w:val="clear" w:color="auto" w:fill="D9D9D9" w:themeFill="background1" w:themeFillShade="D9"/>
          </w:tcPr>
          <w:p w14:paraId="01BAE6D2" w14:textId="77777777" w:rsidR="00E7321B" w:rsidRPr="00E40B28" w:rsidRDefault="00E7321B" w:rsidP="00F24C69">
            <w:pPr>
              <w:spacing w:before="80" w:after="80"/>
              <w:rPr>
                <w:b/>
                <w:szCs w:val="24"/>
              </w:rPr>
            </w:pPr>
            <w:r>
              <w:rPr>
                <w:b/>
                <w:szCs w:val="24"/>
              </w:rPr>
              <w:t>Grade 10 Mathematics</w:t>
            </w:r>
          </w:p>
        </w:tc>
        <w:tc>
          <w:tcPr>
            <w:tcW w:w="559" w:type="pct"/>
            <w:vAlign w:val="center"/>
          </w:tcPr>
          <w:p w14:paraId="7A35AA07" w14:textId="77777777" w:rsidR="00E7321B" w:rsidRPr="00E40B28" w:rsidRDefault="00E7321B" w:rsidP="00F24C69">
            <w:pPr>
              <w:spacing w:before="80" w:after="80"/>
              <w:jc w:val="center"/>
              <w:rPr>
                <w:szCs w:val="24"/>
              </w:rPr>
            </w:pPr>
            <w:r>
              <w:t xml:space="preserve"> -</w:t>
            </w:r>
          </w:p>
        </w:tc>
        <w:tc>
          <w:tcPr>
            <w:tcW w:w="559" w:type="pct"/>
            <w:vAlign w:val="center"/>
          </w:tcPr>
          <w:p w14:paraId="77C8C108" w14:textId="77777777" w:rsidR="00E7321B" w:rsidRPr="00E40B28" w:rsidRDefault="00E7321B" w:rsidP="00F24C69">
            <w:pPr>
              <w:spacing w:before="80" w:after="80"/>
              <w:jc w:val="center"/>
              <w:rPr>
                <w:szCs w:val="24"/>
              </w:rPr>
            </w:pPr>
            <w:r>
              <w:t xml:space="preserve"> 47.0</w:t>
            </w:r>
          </w:p>
        </w:tc>
        <w:tc>
          <w:tcPr>
            <w:tcW w:w="865" w:type="pct"/>
            <w:vAlign w:val="center"/>
          </w:tcPr>
          <w:p w14:paraId="6BA255CD" w14:textId="77777777" w:rsidR="00E7321B" w:rsidRPr="00E40B28" w:rsidRDefault="00E7321B" w:rsidP="00F24C69">
            <w:pPr>
              <w:spacing w:before="80" w:after="80"/>
              <w:jc w:val="center"/>
              <w:rPr>
                <w:szCs w:val="24"/>
              </w:rPr>
            </w:pPr>
            <w:r>
              <w:t xml:space="preserve"> 34.0</w:t>
            </w:r>
          </w:p>
        </w:tc>
        <w:tc>
          <w:tcPr>
            <w:tcW w:w="897" w:type="pct"/>
            <w:vAlign w:val="center"/>
          </w:tcPr>
          <w:p w14:paraId="4DC28A17" w14:textId="77777777" w:rsidR="00E7321B" w:rsidRPr="00E40B28" w:rsidRDefault="00E7321B" w:rsidP="00F24C69">
            <w:pPr>
              <w:spacing w:before="80" w:after="80"/>
              <w:jc w:val="center"/>
              <w:rPr>
                <w:szCs w:val="24"/>
              </w:rPr>
            </w:pPr>
            <w:r>
              <w:t xml:space="preserve">33.4 </w:t>
            </w:r>
          </w:p>
        </w:tc>
      </w:tr>
    </w:tbl>
    <w:p w14:paraId="7EF3C551" w14:textId="77777777" w:rsidR="00E7321B" w:rsidRPr="00602F7B" w:rsidRDefault="00E7321B" w:rsidP="00E7321B">
      <w:pPr>
        <w:ind w:left="360"/>
        <w:rPr>
          <w:rFonts w:cstheme="minorHAnsi"/>
        </w:rPr>
      </w:pPr>
    </w:p>
    <w:p w14:paraId="68E5A3B1" w14:textId="77777777" w:rsidR="00E7321B" w:rsidRPr="00602F7B" w:rsidRDefault="00E7321B" w:rsidP="00E7321B">
      <w:pPr>
        <w:ind w:left="360"/>
        <w:rPr>
          <w:rFonts w:cstheme="minorHAnsi"/>
          <w:i/>
        </w:rPr>
      </w:pPr>
      <w:r w:rsidRPr="00602F7B">
        <w:rPr>
          <w:rFonts w:cstheme="minorHAnsi"/>
          <w:i/>
        </w:rPr>
        <w:t>Graduation and Dropout Rates</w:t>
      </w:r>
    </w:p>
    <w:p w14:paraId="4CC5B376" w14:textId="77777777" w:rsidR="00E7321B" w:rsidRDefault="00E7321B" w:rsidP="00E7321B">
      <w:pPr>
        <w:ind w:left="360"/>
        <w:rPr>
          <w:rFonts w:cstheme="minorHAnsi"/>
        </w:rPr>
      </w:pPr>
      <w:r w:rsidRPr="00602F7B">
        <w:rPr>
          <w:rFonts w:cstheme="minorHAnsi"/>
        </w:rPr>
        <w:t xml:space="preserve">The 4-year graduation rate is the percentage of students in an annual cohort who graduate with a regular high school diploma within 4 years. </w:t>
      </w:r>
    </w:p>
    <w:p w14:paraId="5782A0DD" w14:textId="77777777" w:rsidR="00E7321B" w:rsidRPr="00602F7B" w:rsidRDefault="00E7321B" w:rsidP="00E7321B">
      <w:pPr>
        <w:ind w:left="360"/>
        <w:rPr>
          <w:rFonts w:cstheme="minorHAnsi"/>
        </w:rPr>
      </w:pPr>
    </w:p>
    <w:tbl>
      <w:tblPr>
        <w:tblStyle w:val="TableGrid"/>
        <w:tblW w:w="5000" w:type="pct"/>
        <w:tblLook w:val="04A0" w:firstRow="1" w:lastRow="0" w:firstColumn="1" w:lastColumn="0" w:noHBand="0" w:noVBand="1"/>
        <w:tblCaption w:val="In-School Suspension (Percentage)"/>
      </w:tblPr>
      <w:tblGrid>
        <w:gridCol w:w="3992"/>
        <w:gridCol w:w="1339"/>
        <w:gridCol w:w="1339"/>
        <w:gridCol w:w="1339"/>
        <w:gridCol w:w="1341"/>
      </w:tblGrid>
      <w:tr w:rsidR="00E7321B" w:rsidRPr="00602F7B" w14:paraId="4AEF044B" w14:textId="77777777" w:rsidTr="00F24C69">
        <w:trPr>
          <w:tblHeader/>
        </w:trPr>
        <w:tc>
          <w:tcPr>
            <w:tcW w:w="2135" w:type="pct"/>
          </w:tcPr>
          <w:p w14:paraId="496226CF" w14:textId="77777777" w:rsidR="00E7321B" w:rsidRPr="00602F7B" w:rsidRDefault="00E7321B" w:rsidP="00F24C69">
            <w:pPr>
              <w:spacing w:before="80" w:after="80"/>
              <w:ind w:left="360"/>
            </w:pPr>
          </w:p>
        </w:tc>
        <w:tc>
          <w:tcPr>
            <w:tcW w:w="716" w:type="pct"/>
            <w:tcBorders>
              <w:bottom w:val="single" w:sz="4" w:space="0" w:color="auto"/>
            </w:tcBorders>
            <w:shd w:val="clear" w:color="auto" w:fill="D9D9D9" w:themeFill="background1" w:themeFillShade="D9"/>
          </w:tcPr>
          <w:p w14:paraId="5577BBF3" w14:textId="77777777" w:rsidR="00E7321B" w:rsidRPr="00602F7B" w:rsidRDefault="00E7321B" w:rsidP="00F24C69">
            <w:pPr>
              <w:spacing w:before="80" w:after="80"/>
              <w:ind w:left="360"/>
              <w:jc w:val="center"/>
              <w:rPr>
                <w:b/>
              </w:rPr>
            </w:pPr>
            <w:r w:rsidRPr="00602F7B">
              <w:rPr>
                <w:b/>
              </w:rPr>
              <w:t>2014 cohort</w:t>
            </w:r>
          </w:p>
        </w:tc>
        <w:tc>
          <w:tcPr>
            <w:tcW w:w="716" w:type="pct"/>
            <w:tcBorders>
              <w:bottom w:val="single" w:sz="4" w:space="0" w:color="auto"/>
            </w:tcBorders>
            <w:shd w:val="clear" w:color="auto" w:fill="D9D9D9" w:themeFill="background1" w:themeFillShade="D9"/>
          </w:tcPr>
          <w:p w14:paraId="6D723091" w14:textId="77777777" w:rsidR="00E7321B" w:rsidRPr="00602F7B" w:rsidRDefault="00E7321B" w:rsidP="00F24C69">
            <w:pPr>
              <w:spacing w:before="80" w:after="80"/>
              <w:ind w:left="360"/>
              <w:jc w:val="center"/>
              <w:rPr>
                <w:b/>
              </w:rPr>
            </w:pPr>
            <w:r w:rsidRPr="00602F7B">
              <w:rPr>
                <w:b/>
              </w:rPr>
              <w:t>2015 cohort</w:t>
            </w:r>
          </w:p>
        </w:tc>
        <w:tc>
          <w:tcPr>
            <w:tcW w:w="716" w:type="pct"/>
            <w:tcBorders>
              <w:bottom w:val="single" w:sz="4" w:space="0" w:color="auto"/>
            </w:tcBorders>
            <w:shd w:val="clear" w:color="auto" w:fill="D9D9D9" w:themeFill="background1" w:themeFillShade="D9"/>
          </w:tcPr>
          <w:p w14:paraId="50BE1BF7" w14:textId="77777777" w:rsidR="00E7321B" w:rsidRPr="00602F7B" w:rsidRDefault="00E7321B" w:rsidP="00F24C69">
            <w:pPr>
              <w:spacing w:before="80" w:after="80"/>
              <w:ind w:left="360"/>
              <w:jc w:val="center"/>
              <w:rPr>
                <w:b/>
              </w:rPr>
            </w:pPr>
            <w:r w:rsidRPr="00602F7B">
              <w:rPr>
                <w:b/>
              </w:rPr>
              <w:t>2016 cohort</w:t>
            </w:r>
          </w:p>
        </w:tc>
        <w:tc>
          <w:tcPr>
            <w:tcW w:w="717" w:type="pct"/>
            <w:tcBorders>
              <w:bottom w:val="single" w:sz="4" w:space="0" w:color="auto"/>
            </w:tcBorders>
            <w:shd w:val="clear" w:color="auto" w:fill="D9D9D9" w:themeFill="background1" w:themeFillShade="D9"/>
          </w:tcPr>
          <w:p w14:paraId="2843C526" w14:textId="77777777" w:rsidR="00E7321B" w:rsidRPr="00602F7B" w:rsidRDefault="00E7321B" w:rsidP="00F24C69">
            <w:pPr>
              <w:spacing w:before="80" w:after="80"/>
              <w:ind w:left="360"/>
              <w:jc w:val="center"/>
              <w:rPr>
                <w:b/>
              </w:rPr>
            </w:pPr>
            <w:r w:rsidRPr="00602F7B">
              <w:rPr>
                <w:b/>
              </w:rPr>
              <w:t>2017 cohort</w:t>
            </w:r>
          </w:p>
        </w:tc>
      </w:tr>
      <w:tr w:rsidR="00E7321B" w:rsidRPr="00602F7B" w14:paraId="60D3F23C" w14:textId="77777777" w:rsidTr="00F24C69">
        <w:trPr>
          <w:tblHeader/>
        </w:trPr>
        <w:tc>
          <w:tcPr>
            <w:tcW w:w="2135" w:type="pct"/>
            <w:shd w:val="clear" w:color="auto" w:fill="D9D9D9" w:themeFill="background1" w:themeFillShade="D9"/>
          </w:tcPr>
          <w:p w14:paraId="4E8481A5" w14:textId="3B560F17" w:rsidR="00E7321B" w:rsidRPr="00602F7B" w:rsidRDefault="00E734A3" w:rsidP="00F24C69">
            <w:pPr>
              <w:spacing w:before="80" w:after="80"/>
              <w:ind w:left="360"/>
              <w:rPr>
                <w:b/>
              </w:rPr>
            </w:pPr>
            <w:r>
              <w:rPr>
                <w:b/>
              </w:rPr>
              <w:t>GCVS</w:t>
            </w:r>
          </w:p>
        </w:tc>
        <w:tc>
          <w:tcPr>
            <w:tcW w:w="716" w:type="pct"/>
            <w:shd w:val="clear" w:color="auto" w:fill="auto"/>
            <w:vAlign w:val="center"/>
          </w:tcPr>
          <w:p w14:paraId="4C6E6CF5" w14:textId="77777777" w:rsidR="00E7321B" w:rsidRPr="00602F7B" w:rsidRDefault="00E7321B" w:rsidP="00F24C69">
            <w:pPr>
              <w:spacing w:before="80" w:after="80"/>
              <w:ind w:left="360"/>
              <w:jc w:val="center"/>
            </w:pPr>
            <w:r>
              <w:rPr>
                <w:rFonts w:ascii="Tahoma" w:hAnsi="Tahoma" w:cs="Tahoma"/>
                <w:color w:val="FFFFFF"/>
                <w:sz w:val="20"/>
                <w:szCs w:val="20"/>
              </w:rPr>
              <w:t>#N/A</w:t>
            </w:r>
          </w:p>
        </w:tc>
        <w:tc>
          <w:tcPr>
            <w:tcW w:w="716" w:type="pct"/>
            <w:shd w:val="clear" w:color="auto" w:fill="auto"/>
            <w:vAlign w:val="center"/>
          </w:tcPr>
          <w:p w14:paraId="4356E0ED" w14:textId="77777777" w:rsidR="00E7321B" w:rsidRPr="00602F7B" w:rsidRDefault="00E7321B" w:rsidP="00F24C69">
            <w:pPr>
              <w:spacing w:before="80" w:after="80"/>
              <w:ind w:left="360"/>
              <w:jc w:val="center"/>
            </w:pPr>
            <w:r>
              <w:rPr>
                <w:rFonts w:ascii="Tahoma" w:hAnsi="Tahoma" w:cs="Tahoma"/>
                <w:color w:val="000000"/>
                <w:sz w:val="20"/>
                <w:szCs w:val="20"/>
              </w:rPr>
              <w:t>22.2</w:t>
            </w:r>
          </w:p>
        </w:tc>
        <w:tc>
          <w:tcPr>
            <w:tcW w:w="716" w:type="pct"/>
            <w:shd w:val="clear" w:color="auto" w:fill="auto"/>
            <w:vAlign w:val="center"/>
          </w:tcPr>
          <w:p w14:paraId="76FFA97A" w14:textId="77777777" w:rsidR="00E7321B" w:rsidRPr="00602F7B" w:rsidRDefault="00E7321B" w:rsidP="00F24C69">
            <w:pPr>
              <w:spacing w:before="80" w:after="80"/>
              <w:ind w:left="360"/>
              <w:jc w:val="center"/>
            </w:pPr>
            <w:r>
              <w:rPr>
                <w:rFonts w:ascii="Tahoma" w:hAnsi="Tahoma" w:cs="Tahoma"/>
                <w:color w:val="000000"/>
                <w:sz w:val="20"/>
                <w:szCs w:val="20"/>
              </w:rPr>
              <w:t>40.0</w:t>
            </w:r>
          </w:p>
        </w:tc>
        <w:tc>
          <w:tcPr>
            <w:tcW w:w="717" w:type="pct"/>
            <w:shd w:val="clear" w:color="auto" w:fill="auto"/>
            <w:vAlign w:val="center"/>
          </w:tcPr>
          <w:p w14:paraId="4915B52A" w14:textId="77777777" w:rsidR="00E7321B" w:rsidRPr="00602F7B" w:rsidRDefault="00E7321B" w:rsidP="00F24C69">
            <w:pPr>
              <w:spacing w:before="80" w:after="80"/>
              <w:ind w:left="360"/>
              <w:jc w:val="center"/>
            </w:pPr>
            <w:r>
              <w:rPr>
                <w:rFonts w:ascii="Tahoma" w:hAnsi="Tahoma" w:cs="Tahoma"/>
                <w:color w:val="000000"/>
                <w:sz w:val="20"/>
                <w:szCs w:val="20"/>
              </w:rPr>
              <w:t>31.6</w:t>
            </w:r>
          </w:p>
        </w:tc>
      </w:tr>
      <w:tr w:rsidR="00E7321B" w:rsidRPr="00602F7B" w14:paraId="259769B6" w14:textId="77777777" w:rsidTr="00F24C69">
        <w:trPr>
          <w:tblHeader/>
        </w:trPr>
        <w:tc>
          <w:tcPr>
            <w:tcW w:w="2135" w:type="pct"/>
            <w:shd w:val="clear" w:color="auto" w:fill="D9D9D9" w:themeFill="background1" w:themeFillShade="D9"/>
          </w:tcPr>
          <w:p w14:paraId="3E00C9CE" w14:textId="77777777" w:rsidR="00E7321B" w:rsidRPr="00602F7B" w:rsidRDefault="00E7321B" w:rsidP="00F24C69">
            <w:pPr>
              <w:spacing w:before="80" w:after="80"/>
              <w:ind w:left="360"/>
              <w:rPr>
                <w:b/>
              </w:rPr>
            </w:pPr>
            <w:r w:rsidRPr="00602F7B">
              <w:rPr>
                <w:b/>
              </w:rPr>
              <w:t>Statewide</w:t>
            </w:r>
          </w:p>
        </w:tc>
        <w:tc>
          <w:tcPr>
            <w:tcW w:w="716" w:type="pct"/>
            <w:vAlign w:val="center"/>
          </w:tcPr>
          <w:p w14:paraId="3F4AADCA" w14:textId="77777777" w:rsidR="00E7321B" w:rsidRPr="00602F7B" w:rsidRDefault="00E7321B" w:rsidP="00F24C69">
            <w:pPr>
              <w:spacing w:before="80" w:after="80"/>
              <w:ind w:left="360"/>
              <w:jc w:val="center"/>
            </w:pPr>
            <w:r>
              <w:rPr>
                <w:rFonts w:ascii="Tahoma" w:hAnsi="Tahoma" w:cs="Tahoma"/>
                <w:color w:val="000000"/>
                <w:sz w:val="20"/>
                <w:szCs w:val="20"/>
              </w:rPr>
              <w:t xml:space="preserve">    86.1</w:t>
            </w:r>
          </w:p>
        </w:tc>
        <w:tc>
          <w:tcPr>
            <w:tcW w:w="716" w:type="pct"/>
            <w:vAlign w:val="center"/>
          </w:tcPr>
          <w:p w14:paraId="2EFA02F0" w14:textId="77777777" w:rsidR="00E7321B" w:rsidRPr="00602F7B" w:rsidRDefault="00E7321B" w:rsidP="00F24C69">
            <w:pPr>
              <w:spacing w:before="80" w:after="80"/>
              <w:ind w:left="360"/>
              <w:jc w:val="center"/>
            </w:pPr>
            <w:r>
              <w:rPr>
                <w:rFonts w:ascii="Tahoma" w:hAnsi="Tahoma" w:cs="Tahoma"/>
                <w:color w:val="000000"/>
                <w:sz w:val="20"/>
                <w:szCs w:val="20"/>
              </w:rPr>
              <w:t>87.3</w:t>
            </w:r>
          </w:p>
        </w:tc>
        <w:tc>
          <w:tcPr>
            <w:tcW w:w="716" w:type="pct"/>
            <w:vAlign w:val="center"/>
          </w:tcPr>
          <w:p w14:paraId="484F81E3" w14:textId="77777777" w:rsidR="00E7321B" w:rsidRPr="00602F7B" w:rsidRDefault="00E7321B" w:rsidP="00F24C69">
            <w:pPr>
              <w:spacing w:before="80" w:after="80"/>
              <w:ind w:left="360"/>
              <w:jc w:val="center"/>
            </w:pPr>
            <w:r>
              <w:rPr>
                <w:rFonts w:ascii="Tahoma" w:hAnsi="Tahoma" w:cs="Tahoma"/>
                <w:color w:val="000000"/>
                <w:sz w:val="20"/>
                <w:szCs w:val="20"/>
              </w:rPr>
              <w:t>87.5</w:t>
            </w:r>
          </w:p>
        </w:tc>
        <w:tc>
          <w:tcPr>
            <w:tcW w:w="717" w:type="pct"/>
            <w:vAlign w:val="center"/>
          </w:tcPr>
          <w:p w14:paraId="2D36ACFE" w14:textId="77777777" w:rsidR="00E7321B" w:rsidRPr="00602F7B" w:rsidRDefault="00E7321B" w:rsidP="00F24C69">
            <w:pPr>
              <w:spacing w:before="80" w:after="80"/>
              <w:ind w:left="360"/>
              <w:jc w:val="center"/>
            </w:pPr>
            <w:r>
              <w:rPr>
                <w:rFonts w:ascii="Tahoma" w:hAnsi="Tahoma" w:cs="Tahoma"/>
                <w:color w:val="000000"/>
                <w:sz w:val="20"/>
                <w:szCs w:val="20"/>
              </w:rPr>
              <w:t>88.3</w:t>
            </w:r>
          </w:p>
        </w:tc>
      </w:tr>
    </w:tbl>
    <w:p w14:paraId="3CBF3200" w14:textId="77777777" w:rsidR="00E7321B" w:rsidRDefault="00E7321B" w:rsidP="00E7321B">
      <w:pPr>
        <w:ind w:left="360"/>
        <w:rPr>
          <w:rFonts w:cstheme="minorHAnsi"/>
        </w:rPr>
      </w:pPr>
    </w:p>
    <w:p w14:paraId="0DEDFD66" w14:textId="77777777" w:rsidR="00E7321B" w:rsidRDefault="00E7321B" w:rsidP="00E7321B">
      <w:pPr>
        <w:ind w:left="360"/>
        <w:rPr>
          <w:rFonts w:cstheme="minorHAnsi"/>
        </w:rPr>
      </w:pPr>
      <w:r w:rsidRPr="00602F7B">
        <w:rPr>
          <w:rFonts w:cstheme="minorHAnsi"/>
        </w:rPr>
        <w:t>The 5-year graduation rate is the percentage of students in an annual cohort who graduate with a regular high school diploma within 5 years. Data for the 2016 cohort is the most recent available because it includes students in that cohort who graduated as late as 2017.</w:t>
      </w:r>
    </w:p>
    <w:p w14:paraId="7E1EEBE5" w14:textId="77777777" w:rsidR="00E7321B" w:rsidRDefault="00E7321B" w:rsidP="00E7321B">
      <w:pPr>
        <w:ind w:left="360"/>
        <w:rPr>
          <w:rFonts w:cstheme="minorHAnsi"/>
        </w:rPr>
      </w:pPr>
    </w:p>
    <w:tbl>
      <w:tblPr>
        <w:tblStyle w:val="TableGrid"/>
        <w:tblW w:w="4283" w:type="pct"/>
        <w:tblLook w:val="04A0" w:firstRow="1" w:lastRow="0" w:firstColumn="1" w:lastColumn="0" w:noHBand="0" w:noVBand="1"/>
        <w:tblDescription w:val="5-Year Graduation Rate (Percent Graduated)&#10;&#10;2014 cohort Statewide: 88.5&#10;&#10;2015 cohort GCVS: 59.3&#10;2015 cohort Statewide: 89.4&#10;&#10;2016 cohort GCVS: 46.7&#10;2016 cohort Statewide: 89.8"/>
      </w:tblPr>
      <w:tblGrid>
        <w:gridCol w:w="3992"/>
        <w:gridCol w:w="1339"/>
        <w:gridCol w:w="1339"/>
        <w:gridCol w:w="1339"/>
      </w:tblGrid>
      <w:tr w:rsidR="00E7321B" w:rsidRPr="00CA61E0" w14:paraId="31655570" w14:textId="77777777" w:rsidTr="00F24C69">
        <w:trPr>
          <w:tblHeader/>
        </w:trPr>
        <w:tc>
          <w:tcPr>
            <w:tcW w:w="5000" w:type="pct"/>
            <w:gridSpan w:val="4"/>
            <w:shd w:val="clear" w:color="auto" w:fill="BFBFBF" w:themeFill="background1" w:themeFillShade="BF"/>
          </w:tcPr>
          <w:p w14:paraId="034CB917" w14:textId="77777777" w:rsidR="00E7321B" w:rsidRPr="00CA61E0" w:rsidRDefault="00E7321B" w:rsidP="00F24C69">
            <w:pPr>
              <w:spacing w:before="80" w:after="80"/>
              <w:rPr>
                <w:b/>
                <w:szCs w:val="24"/>
              </w:rPr>
            </w:pPr>
            <w:r>
              <w:rPr>
                <w:b/>
                <w:szCs w:val="24"/>
              </w:rPr>
              <w:t>5-Year Graduation Rate (Percent Graduated)</w:t>
            </w:r>
          </w:p>
        </w:tc>
      </w:tr>
      <w:tr w:rsidR="00E7321B" w:rsidRPr="00CA61E0" w14:paraId="706CD554" w14:textId="77777777" w:rsidTr="00F24C69">
        <w:trPr>
          <w:tblHeader/>
        </w:trPr>
        <w:tc>
          <w:tcPr>
            <w:tcW w:w="2492" w:type="pct"/>
          </w:tcPr>
          <w:p w14:paraId="178B785E" w14:textId="77777777" w:rsidR="00E7321B" w:rsidRDefault="00E7321B" w:rsidP="00F24C69">
            <w:pPr>
              <w:spacing w:before="80" w:after="80"/>
              <w:rPr>
                <w:szCs w:val="24"/>
              </w:rPr>
            </w:pPr>
          </w:p>
        </w:tc>
        <w:tc>
          <w:tcPr>
            <w:tcW w:w="836" w:type="pct"/>
            <w:tcBorders>
              <w:bottom w:val="single" w:sz="4" w:space="0" w:color="auto"/>
            </w:tcBorders>
            <w:shd w:val="clear" w:color="auto" w:fill="D9D9D9" w:themeFill="background1" w:themeFillShade="D9"/>
          </w:tcPr>
          <w:p w14:paraId="5C956DFC" w14:textId="77777777" w:rsidR="00E7321B" w:rsidRPr="00CA61E0" w:rsidRDefault="00E7321B" w:rsidP="00F24C69">
            <w:pPr>
              <w:spacing w:before="80" w:after="80"/>
              <w:jc w:val="center"/>
              <w:rPr>
                <w:b/>
                <w:szCs w:val="24"/>
              </w:rPr>
            </w:pPr>
            <w:r>
              <w:rPr>
                <w:b/>
                <w:szCs w:val="24"/>
              </w:rPr>
              <w:t>2014 cohort</w:t>
            </w:r>
          </w:p>
        </w:tc>
        <w:tc>
          <w:tcPr>
            <w:tcW w:w="836" w:type="pct"/>
            <w:tcBorders>
              <w:bottom w:val="single" w:sz="4" w:space="0" w:color="auto"/>
            </w:tcBorders>
            <w:shd w:val="clear" w:color="auto" w:fill="D9D9D9" w:themeFill="background1" w:themeFillShade="D9"/>
          </w:tcPr>
          <w:p w14:paraId="6BA95375" w14:textId="77777777" w:rsidR="00E7321B" w:rsidRPr="00CA61E0" w:rsidRDefault="00E7321B" w:rsidP="00F24C69">
            <w:pPr>
              <w:spacing w:before="80" w:after="80"/>
              <w:jc w:val="center"/>
              <w:rPr>
                <w:b/>
                <w:szCs w:val="24"/>
              </w:rPr>
            </w:pPr>
            <w:r>
              <w:rPr>
                <w:b/>
                <w:szCs w:val="24"/>
              </w:rPr>
              <w:t>2015 cohort</w:t>
            </w:r>
          </w:p>
        </w:tc>
        <w:tc>
          <w:tcPr>
            <w:tcW w:w="836" w:type="pct"/>
            <w:tcBorders>
              <w:bottom w:val="single" w:sz="4" w:space="0" w:color="auto"/>
            </w:tcBorders>
            <w:shd w:val="clear" w:color="auto" w:fill="D9D9D9" w:themeFill="background1" w:themeFillShade="D9"/>
          </w:tcPr>
          <w:p w14:paraId="59F39375" w14:textId="77777777" w:rsidR="00E7321B" w:rsidRPr="00CA61E0" w:rsidRDefault="00E7321B" w:rsidP="00F24C69">
            <w:pPr>
              <w:spacing w:before="80" w:after="80"/>
              <w:jc w:val="center"/>
              <w:rPr>
                <w:b/>
                <w:szCs w:val="24"/>
              </w:rPr>
            </w:pPr>
            <w:r>
              <w:rPr>
                <w:b/>
                <w:szCs w:val="24"/>
              </w:rPr>
              <w:t>2016 cohort</w:t>
            </w:r>
          </w:p>
        </w:tc>
      </w:tr>
      <w:tr w:rsidR="00E7321B" w:rsidRPr="00E10990" w14:paraId="4E416CE9" w14:textId="77777777" w:rsidTr="00F24C69">
        <w:trPr>
          <w:tblHeader/>
        </w:trPr>
        <w:tc>
          <w:tcPr>
            <w:tcW w:w="2492" w:type="pct"/>
            <w:shd w:val="clear" w:color="auto" w:fill="D9D9D9" w:themeFill="background1" w:themeFillShade="D9"/>
          </w:tcPr>
          <w:p w14:paraId="1A40F1F3" w14:textId="4A00F322" w:rsidR="00E7321B" w:rsidRPr="00CA61E0" w:rsidRDefault="00E734A3" w:rsidP="00F24C69">
            <w:pPr>
              <w:spacing w:before="80" w:after="80"/>
              <w:rPr>
                <w:b/>
                <w:szCs w:val="24"/>
              </w:rPr>
            </w:pPr>
            <w:r>
              <w:rPr>
                <w:b/>
                <w:szCs w:val="24"/>
              </w:rPr>
              <w:t>GCVS</w:t>
            </w:r>
          </w:p>
        </w:tc>
        <w:tc>
          <w:tcPr>
            <w:tcW w:w="836" w:type="pct"/>
            <w:shd w:val="clear" w:color="auto" w:fill="auto"/>
            <w:vAlign w:val="center"/>
          </w:tcPr>
          <w:p w14:paraId="488EC9A0" w14:textId="77777777" w:rsidR="00E7321B" w:rsidRPr="00E10990" w:rsidRDefault="00E7321B" w:rsidP="00F24C69">
            <w:pPr>
              <w:spacing w:before="80" w:after="80"/>
              <w:jc w:val="center"/>
              <w:rPr>
                <w:szCs w:val="24"/>
              </w:rPr>
            </w:pPr>
            <w:r>
              <w:rPr>
                <w:rFonts w:ascii="Tahoma" w:hAnsi="Tahoma" w:cs="Tahoma"/>
                <w:color w:val="FFFFFF"/>
                <w:sz w:val="20"/>
                <w:szCs w:val="20"/>
              </w:rPr>
              <w:t>#N/A</w:t>
            </w:r>
          </w:p>
        </w:tc>
        <w:tc>
          <w:tcPr>
            <w:tcW w:w="836" w:type="pct"/>
            <w:shd w:val="clear" w:color="auto" w:fill="auto"/>
            <w:vAlign w:val="center"/>
          </w:tcPr>
          <w:p w14:paraId="28D9CA81" w14:textId="77777777" w:rsidR="00E7321B" w:rsidRPr="00E10990" w:rsidRDefault="00E7321B" w:rsidP="00F24C69">
            <w:pPr>
              <w:spacing w:before="80" w:after="80"/>
              <w:jc w:val="center"/>
              <w:rPr>
                <w:szCs w:val="24"/>
              </w:rPr>
            </w:pPr>
            <w:r>
              <w:rPr>
                <w:rFonts w:ascii="Tahoma" w:hAnsi="Tahoma" w:cs="Tahoma"/>
                <w:color w:val="000000"/>
                <w:sz w:val="20"/>
                <w:szCs w:val="20"/>
              </w:rPr>
              <w:t>59.3</w:t>
            </w:r>
          </w:p>
        </w:tc>
        <w:tc>
          <w:tcPr>
            <w:tcW w:w="836" w:type="pct"/>
            <w:shd w:val="clear" w:color="auto" w:fill="auto"/>
            <w:vAlign w:val="center"/>
          </w:tcPr>
          <w:p w14:paraId="463A865D" w14:textId="77777777" w:rsidR="00E7321B" w:rsidRPr="00E10990" w:rsidRDefault="00E7321B" w:rsidP="00F24C69">
            <w:pPr>
              <w:spacing w:before="80" w:after="80"/>
              <w:jc w:val="center"/>
              <w:rPr>
                <w:szCs w:val="24"/>
              </w:rPr>
            </w:pPr>
            <w:r>
              <w:rPr>
                <w:rFonts w:ascii="Tahoma" w:hAnsi="Tahoma" w:cs="Tahoma"/>
                <w:color w:val="000000"/>
                <w:sz w:val="20"/>
                <w:szCs w:val="20"/>
              </w:rPr>
              <w:t>46.7</w:t>
            </w:r>
          </w:p>
        </w:tc>
      </w:tr>
      <w:tr w:rsidR="00E7321B" w:rsidRPr="00E10990" w14:paraId="6171D482" w14:textId="77777777" w:rsidTr="00F24C69">
        <w:trPr>
          <w:tblHeader/>
        </w:trPr>
        <w:tc>
          <w:tcPr>
            <w:tcW w:w="2492" w:type="pct"/>
            <w:shd w:val="clear" w:color="auto" w:fill="D9D9D9" w:themeFill="background1" w:themeFillShade="D9"/>
          </w:tcPr>
          <w:p w14:paraId="3EFBF94A" w14:textId="77777777" w:rsidR="00E7321B" w:rsidRPr="00CA61E0" w:rsidRDefault="00E7321B" w:rsidP="00F24C69">
            <w:pPr>
              <w:spacing w:before="80" w:after="80"/>
              <w:rPr>
                <w:b/>
                <w:szCs w:val="24"/>
              </w:rPr>
            </w:pPr>
            <w:r>
              <w:rPr>
                <w:b/>
                <w:szCs w:val="24"/>
              </w:rPr>
              <w:t>Statewide</w:t>
            </w:r>
          </w:p>
        </w:tc>
        <w:tc>
          <w:tcPr>
            <w:tcW w:w="836" w:type="pct"/>
            <w:vAlign w:val="center"/>
          </w:tcPr>
          <w:p w14:paraId="63977322" w14:textId="77777777" w:rsidR="00E7321B" w:rsidRPr="00E10990" w:rsidRDefault="00E7321B" w:rsidP="00F24C69">
            <w:pPr>
              <w:spacing w:before="80" w:after="80"/>
              <w:jc w:val="center"/>
              <w:rPr>
                <w:szCs w:val="24"/>
              </w:rPr>
            </w:pPr>
            <w:r>
              <w:rPr>
                <w:rFonts w:ascii="Tahoma" w:hAnsi="Tahoma" w:cs="Tahoma"/>
                <w:color w:val="000000"/>
                <w:sz w:val="20"/>
                <w:szCs w:val="20"/>
              </w:rPr>
              <w:t>88.5</w:t>
            </w:r>
          </w:p>
        </w:tc>
        <w:tc>
          <w:tcPr>
            <w:tcW w:w="836" w:type="pct"/>
            <w:vAlign w:val="center"/>
          </w:tcPr>
          <w:p w14:paraId="4428C4BB" w14:textId="77777777" w:rsidR="00E7321B" w:rsidRPr="00E10990" w:rsidRDefault="00E7321B" w:rsidP="00F24C69">
            <w:pPr>
              <w:spacing w:before="80" w:after="80"/>
              <w:jc w:val="center"/>
              <w:rPr>
                <w:szCs w:val="24"/>
              </w:rPr>
            </w:pPr>
            <w:r>
              <w:rPr>
                <w:rFonts w:ascii="Tahoma" w:hAnsi="Tahoma" w:cs="Tahoma"/>
                <w:color w:val="000000"/>
                <w:sz w:val="20"/>
                <w:szCs w:val="20"/>
              </w:rPr>
              <w:t>89.4</w:t>
            </w:r>
          </w:p>
        </w:tc>
        <w:tc>
          <w:tcPr>
            <w:tcW w:w="836" w:type="pct"/>
            <w:vAlign w:val="center"/>
          </w:tcPr>
          <w:p w14:paraId="6B100A8E" w14:textId="77777777" w:rsidR="00E7321B" w:rsidRPr="00E10990" w:rsidRDefault="00E7321B" w:rsidP="00F24C69">
            <w:pPr>
              <w:spacing w:before="80" w:after="80"/>
              <w:jc w:val="center"/>
              <w:rPr>
                <w:szCs w:val="24"/>
              </w:rPr>
            </w:pPr>
            <w:r>
              <w:rPr>
                <w:rFonts w:ascii="Tahoma" w:hAnsi="Tahoma" w:cs="Tahoma"/>
                <w:color w:val="000000"/>
                <w:sz w:val="20"/>
                <w:szCs w:val="20"/>
              </w:rPr>
              <w:t>89.8</w:t>
            </w:r>
          </w:p>
        </w:tc>
      </w:tr>
    </w:tbl>
    <w:p w14:paraId="66F260DB" w14:textId="77777777" w:rsidR="00E7321B" w:rsidRDefault="00E7321B" w:rsidP="00E7321B">
      <w:pPr>
        <w:ind w:left="360"/>
        <w:rPr>
          <w:rFonts w:cstheme="minorHAnsi"/>
        </w:rPr>
      </w:pPr>
    </w:p>
    <w:p w14:paraId="7B7AA565" w14:textId="77777777" w:rsidR="00E7321B" w:rsidRPr="00602F7B" w:rsidRDefault="00E7321B" w:rsidP="00E7321B">
      <w:pPr>
        <w:ind w:left="360"/>
        <w:rPr>
          <w:rFonts w:cstheme="minorHAnsi"/>
        </w:rPr>
      </w:pPr>
      <w:r w:rsidRPr="00602F7B">
        <w:rPr>
          <w:rFonts w:cstheme="minorHAnsi"/>
        </w:rPr>
        <w:t>Dropout rates are reported for high school students who drop out of high school.</w:t>
      </w:r>
    </w:p>
    <w:p w14:paraId="2B280CDA" w14:textId="77777777" w:rsidR="00E7321B" w:rsidRDefault="00E7321B" w:rsidP="00E7321B">
      <w:pPr>
        <w:ind w:left="360"/>
      </w:pPr>
    </w:p>
    <w:tbl>
      <w:tblPr>
        <w:tblStyle w:val="TableGrid"/>
        <w:tblW w:w="5000" w:type="pct"/>
        <w:tblLook w:val="04A0" w:firstRow="1" w:lastRow="0" w:firstColumn="1" w:lastColumn="0" w:noHBand="0" w:noVBand="1"/>
        <w:tblDescription w:val="Dropout Rate (Percent Dropout)&#10;2014 GVCS: 11.2&#10;2014 Statewide: 2.0&#10;&#10;2015 GVCS: 9.6&#10;2015 Statewide: 1.9&#10;&#10;2016 GVCS: 28.7&#10;2016 Statewide: 1.9&#10;&#10;2017 GVCS: 24.9&#10;2017 Statewide: 1.8"/>
      </w:tblPr>
      <w:tblGrid>
        <w:gridCol w:w="3992"/>
        <w:gridCol w:w="1339"/>
        <w:gridCol w:w="1339"/>
        <w:gridCol w:w="1339"/>
        <w:gridCol w:w="1341"/>
      </w:tblGrid>
      <w:tr w:rsidR="00E7321B" w:rsidRPr="00CA61E0" w14:paraId="21FF3AD3" w14:textId="77777777" w:rsidTr="00F24C69">
        <w:trPr>
          <w:tblHeader/>
        </w:trPr>
        <w:tc>
          <w:tcPr>
            <w:tcW w:w="5000" w:type="pct"/>
            <w:gridSpan w:val="5"/>
            <w:shd w:val="clear" w:color="auto" w:fill="BFBFBF" w:themeFill="background1" w:themeFillShade="BF"/>
          </w:tcPr>
          <w:p w14:paraId="3A81D618" w14:textId="77777777" w:rsidR="00E7321B" w:rsidRPr="00CA61E0" w:rsidRDefault="00E7321B" w:rsidP="00F24C69">
            <w:pPr>
              <w:spacing w:before="80" w:after="80"/>
              <w:rPr>
                <w:b/>
                <w:szCs w:val="24"/>
              </w:rPr>
            </w:pPr>
            <w:r>
              <w:rPr>
                <w:b/>
                <w:szCs w:val="24"/>
              </w:rPr>
              <w:t>Dropout Rate (Percent Dropout)</w:t>
            </w:r>
          </w:p>
        </w:tc>
      </w:tr>
      <w:tr w:rsidR="00E7321B" w:rsidRPr="00CA61E0" w14:paraId="4FDF3543" w14:textId="77777777" w:rsidTr="00F24C69">
        <w:trPr>
          <w:tblHeader/>
        </w:trPr>
        <w:tc>
          <w:tcPr>
            <w:tcW w:w="2135" w:type="pct"/>
          </w:tcPr>
          <w:p w14:paraId="57807DE7" w14:textId="77777777" w:rsidR="00E7321B" w:rsidRDefault="00E7321B" w:rsidP="00F24C69">
            <w:pPr>
              <w:spacing w:before="80" w:after="80"/>
              <w:rPr>
                <w:szCs w:val="24"/>
              </w:rPr>
            </w:pPr>
          </w:p>
        </w:tc>
        <w:tc>
          <w:tcPr>
            <w:tcW w:w="716" w:type="pct"/>
            <w:tcBorders>
              <w:bottom w:val="single" w:sz="4" w:space="0" w:color="auto"/>
            </w:tcBorders>
            <w:shd w:val="clear" w:color="auto" w:fill="D9D9D9" w:themeFill="background1" w:themeFillShade="D9"/>
          </w:tcPr>
          <w:p w14:paraId="776AEB2B" w14:textId="77777777" w:rsidR="00E7321B" w:rsidRPr="00CA61E0" w:rsidRDefault="00E7321B" w:rsidP="00F24C69">
            <w:pPr>
              <w:spacing w:before="80" w:after="80"/>
              <w:jc w:val="center"/>
              <w:rPr>
                <w:b/>
                <w:szCs w:val="24"/>
              </w:rPr>
            </w:pPr>
            <w:r>
              <w:rPr>
                <w:b/>
                <w:szCs w:val="24"/>
              </w:rPr>
              <w:t>2014</w:t>
            </w:r>
          </w:p>
        </w:tc>
        <w:tc>
          <w:tcPr>
            <w:tcW w:w="716" w:type="pct"/>
            <w:tcBorders>
              <w:bottom w:val="single" w:sz="4" w:space="0" w:color="auto"/>
            </w:tcBorders>
            <w:shd w:val="clear" w:color="auto" w:fill="D9D9D9" w:themeFill="background1" w:themeFillShade="D9"/>
          </w:tcPr>
          <w:p w14:paraId="5BCCD22C" w14:textId="77777777" w:rsidR="00E7321B" w:rsidRPr="00CA61E0" w:rsidRDefault="00E7321B" w:rsidP="00F24C69">
            <w:pPr>
              <w:spacing w:before="80" w:after="80"/>
              <w:jc w:val="center"/>
              <w:rPr>
                <w:b/>
                <w:szCs w:val="24"/>
              </w:rPr>
            </w:pPr>
            <w:r>
              <w:rPr>
                <w:b/>
                <w:szCs w:val="24"/>
              </w:rPr>
              <w:t>2015</w:t>
            </w:r>
          </w:p>
        </w:tc>
        <w:tc>
          <w:tcPr>
            <w:tcW w:w="716" w:type="pct"/>
            <w:tcBorders>
              <w:bottom w:val="single" w:sz="4" w:space="0" w:color="auto"/>
            </w:tcBorders>
            <w:shd w:val="clear" w:color="auto" w:fill="D9D9D9" w:themeFill="background1" w:themeFillShade="D9"/>
          </w:tcPr>
          <w:p w14:paraId="5BA7BE12" w14:textId="77777777" w:rsidR="00E7321B" w:rsidRPr="00CA61E0" w:rsidRDefault="00E7321B" w:rsidP="00F24C69">
            <w:pPr>
              <w:spacing w:before="80" w:after="80"/>
              <w:jc w:val="center"/>
              <w:rPr>
                <w:b/>
                <w:szCs w:val="24"/>
              </w:rPr>
            </w:pPr>
            <w:r>
              <w:rPr>
                <w:b/>
                <w:szCs w:val="24"/>
              </w:rPr>
              <w:t>2016</w:t>
            </w:r>
          </w:p>
        </w:tc>
        <w:tc>
          <w:tcPr>
            <w:tcW w:w="717" w:type="pct"/>
            <w:tcBorders>
              <w:bottom w:val="single" w:sz="4" w:space="0" w:color="auto"/>
            </w:tcBorders>
            <w:shd w:val="clear" w:color="auto" w:fill="D9D9D9" w:themeFill="background1" w:themeFillShade="D9"/>
          </w:tcPr>
          <w:p w14:paraId="4D339B72" w14:textId="77777777" w:rsidR="00E7321B" w:rsidRPr="00CA61E0" w:rsidRDefault="00E7321B" w:rsidP="00F24C69">
            <w:pPr>
              <w:spacing w:before="80" w:after="80"/>
              <w:jc w:val="center"/>
              <w:rPr>
                <w:b/>
                <w:szCs w:val="24"/>
              </w:rPr>
            </w:pPr>
            <w:r>
              <w:rPr>
                <w:b/>
                <w:szCs w:val="24"/>
              </w:rPr>
              <w:t>2017</w:t>
            </w:r>
          </w:p>
        </w:tc>
      </w:tr>
      <w:tr w:rsidR="00E7321B" w:rsidRPr="00E10990" w14:paraId="4D3FDA0F" w14:textId="77777777" w:rsidTr="00F24C69">
        <w:trPr>
          <w:tblHeader/>
        </w:trPr>
        <w:tc>
          <w:tcPr>
            <w:tcW w:w="2135" w:type="pct"/>
            <w:shd w:val="clear" w:color="auto" w:fill="D9D9D9" w:themeFill="background1" w:themeFillShade="D9"/>
          </w:tcPr>
          <w:p w14:paraId="410B24CE" w14:textId="592A91A1" w:rsidR="00E7321B" w:rsidRPr="00CA61E0" w:rsidRDefault="00E7321B" w:rsidP="00F24C69">
            <w:pPr>
              <w:spacing w:before="80" w:after="80"/>
              <w:rPr>
                <w:b/>
                <w:szCs w:val="24"/>
              </w:rPr>
            </w:pPr>
            <w:r>
              <w:rPr>
                <w:b/>
                <w:szCs w:val="24"/>
              </w:rPr>
              <w:t>GVCS</w:t>
            </w:r>
          </w:p>
        </w:tc>
        <w:tc>
          <w:tcPr>
            <w:tcW w:w="716" w:type="pct"/>
            <w:shd w:val="clear" w:color="auto" w:fill="auto"/>
            <w:vAlign w:val="center"/>
          </w:tcPr>
          <w:p w14:paraId="638FC807" w14:textId="77777777" w:rsidR="00E7321B" w:rsidRPr="00E10990" w:rsidRDefault="00E7321B" w:rsidP="00F24C69">
            <w:pPr>
              <w:spacing w:before="80" w:after="80"/>
              <w:jc w:val="center"/>
              <w:rPr>
                <w:szCs w:val="24"/>
              </w:rPr>
            </w:pPr>
            <w:r>
              <w:rPr>
                <w:rFonts w:ascii="Tahoma" w:hAnsi="Tahoma" w:cs="Tahoma"/>
                <w:color w:val="000000"/>
                <w:sz w:val="20"/>
                <w:szCs w:val="20"/>
              </w:rPr>
              <w:t xml:space="preserve">  11.2</w:t>
            </w:r>
          </w:p>
        </w:tc>
        <w:tc>
          <w:tcPr>
            <w:tcW w:w="716" w:type="pct"/>
            <w:shd w:val="clear" w:color="auto" w:fill="auto"/>
            <w:vAlign w:val="center"/>
          </w:tcPr>
          <w:p w14:paraId="1DF9A28A" w14:textId="77777777" w:rsidR="00E7321B" w:rsidRPr="00E10990" w:rsidRDefault="00E7321B" w:rsidP="00F24C69">
            <w:pPr>
              <w:spacing w:before="80" w:after="80"/>
              <w:jc w:val="center"/>
              <w:rPr>
                <w:szCs w:val="24"/>
              </w:rPr>
            </w:pPr>
            <w:r>
              <w:rPr>
                <w:rFonts w:ascii="Tahoma" w:hAnsi="Tahoma" w:cs="Tahoma"/>
                <w:color w:val="000000"/>
                <w:sz w:val="20"/>
                <w:szCs w:val="20"/>
              </w:rPr>
              <w:t>9.6</w:t>
            </w:r>
          </w:p>
        </w:tc>
        <w:tc>
          <w:tcPr>
            <w:tcW w:w="716" w:type="pct"/>
            <w:shd w:val="clear" w:color="auto" w:fill="auto"/>
            <w:vAlign w:val="center"/>
          </w:tcPr>
          <w:p w14:paraId="0CDD547D" w14:textId="77777777" w:rsidR="00E7321B" w:rsidRPr="00E10990" w:rsidRDefault="00E7321B" w:rsidP="00F24C69">
            <w:pPr>
              <w:spacing w:before="80" w:after="80"/>
              <w:jc w:val="center"/>
              <w:rPr>
                <w:szCs w:val="24"/>
              </w:rPr>
            </w:pPr>
            <w:r>
              <w:rPr>
                <w:rFonts w:ascii="Tahoma" w:hAnsi="Tahoma" w:cs="Tahoma"/>
                <w:color w:val="000000"/>
                <w:sz w:val="20"/>
                <w:szCs w:val="20"/>
              </w:rPr>
              <w:t>28.7</w:t>
            </w:r>
          </w:p>
        </w:tc>
        <w:tc>
          <w:tcPr>
            <w:tcW w:w="717" w:type="pct"/>
            <w:shd w:val="clear" w:color="auto" w:fill="auto"/>
            <w:vAlign w:val="center"/>
          </w:tcPr>
          <w:p w14:paraId="21FEF669" w14:textId="77777777" w:rsidR="00E7321B" w:rsidRPr="00E10990" w:rsidRDefault="00E7321B" w:rsidP="00F24C69">
            <w:pPr>
              <w:spacing w:before="80" w:after="80"/>
              <w:jc w:val="center"/>
              <w:rPr>
                <w:szCs w:val="24"/>
              </w:rPr>
            </w:pPr>
            <w:r>
              <w:rPr>
                <w:rFonts w:ascii="Tahoma" w:hAnsi="Tahoma" w:cs="Tahoma"/>
                <w:color w:val="000000"/>
                <w:sz w:val="20"/>
                <w:szCs w:val="20"/>
              </w:rPr>
              <w:t>24.9</w:t>
            </w:r>
          </w:p>
        </w:tc>
      </w:tr>
      <w:tr w:rsidR="00E7321B" w:rsidRPr="00E10990" w14:paraId="652EE669" w14:textId="77777777" w:rsidTr="00F24C69">
        <w:trPr>
          <w:tblHeader/>
        </w:trPr>
        <w:tc>
          <w:tcPr>
            <w:tcW w:w="2135" w:type="pct"/>
            <w:shd w:val="clear" w:color="auto" w:fill="D9D9D9" w:themeFill="background1" w:themeFillShade="D9"/>
          </w:tcPr>
          <w:p w14:paraId="259D48F8" w14:textId="77777777" w:rsidR="00E7321B" w:rsidRPr="00CA61E0" w:rsidRDefault="00E7321B" w:rsidP="00F24C69">
            <w:pPr>
              <w:spacing w:before="80" w:after="80"/>
              <w:rPr>
                <w:b/>
                <w:szCs w:val="24"/>
              </w:rPr>
            </w:pPr>
            <w:r>
              <w:rPr>
                <w:b/>
                <w:szCs w:val="24"/>
              </w:rPr>
              <w:t>Statewide</w:t>
            </w:r>
          </w:p>
        </w:tc>
        <w:tc>
          <w:tcPr>
            <w:tcW w:w="716" w:type="pct"/>
            <w:vAlign w:val="center"/>
          </w:tcPr>
          <w:p w14:paraId="1E050B91" w14:textId="77777777" w:rsidR="00E7321B" w:rsidRPr="00E10990" w:rsidRDefault="00E7321B" w:rsidP="00F24C69">
            <w:pPr>
              <w:spacing w:before="80" w:after="80"/>
              <w:jc w:val="center"/>
              <w:rPr>
                <w:szCs w:val="24"/>
              </w:rPr>
            </w:pPr>
            <w:r>
              <w:rPr>
                <w:rFonts w:ascii="Tahoma" w:hAnsi="Tahoma" w:cs="Tahoma"/>
                <w:color w:val="000000"/>
                <w:sz w:val="20"/>
                <w:szCs w:val="20"/>
              </w:rPr>
              <w:t xml:space="preserve">   2.0</w:t>
            </w:r>
          </w:p>
        </w:tc>
        <w:tc>
          <w:tcPr>
            <w:tcW w:w="716" w:type="pct"/>
            <w:vAlign w:val="center"/>
          </w:tcPr>
          <w:p w14:paraId="4299795D" w14:textId="77777777" w:rsidR="00E7321B" w:rsidRPr="00E10990" w:rsidRDefault="00E7321B" w:rsidP="00F24C69">
            <w:pPr>
              <w:spacing w:before="80" w:after="80"/>
              <w:jc w:val="center"/>
              <w:rPr>
                <w:szCs w:val="24"/>
              </w:rPr>
            </w:pPr>
            <w:r>
              <w:rPr>
                <w:rFonts w:ascii="Tahoma" w:hAnsi="Tahoma" w:cs="Tahoma"/>
                <w:color w:val="000000"/>
                <w:sz w:val="20"/>
                <w:szCs w:val="20"/>
              </w:rPr>
              <w:t>1.9</w:t>
            </w:r>
          </w:p>
        </w:tc>
        <w:tc>
          <w:tcPr>
            <w:tcW w:w="716" w:type="pct"/>
            <w:vAlign w:val="center"/>
          </w:tcPr>
          <w:p w14:paraId="14D1CDC3" w14:textId="77777777" w:rsidR="00E7321B" w:rsidRPr="00E10990" w:rsidRDefault="00E7321B" w:rsidP="00F24C69">
            <w:pPr>
              <w:spacing w:before="80" w:after="80"/>
              <w:jc w:val="center"/>
              <w:rPr>
                <w:szCs w:val="24"/>
              </w:rPr>
            </w:pPr>
            <w:r>
              <w:rPr>
                <w:rFonts w:ascii="Tahoma" w:hAnsi="Tahoma" w:cs="Tahoma"/>
                <w:color w:val="000000"/>
                <w:sz w:val="20"/>
                <w:szCs w:val="20"/>
              </w:rPr>
              <w:t>1.9</w:t>
            </w:r>
          </w:p>
        </w:tc>
        <w:tc>
          <w:tcPr>
            <w:tcW w:w="717" w:type="pct"/>
            <w:vAlign w:val="center"/>
          </w:tcPr>
          <w:p w14:paraId="4FCF77AC" w14:textId="77777777" w:rsidR="00E7321B" w:rsidRPr="00E10990" w:rsidRDefault="00E7321B" w:rsidP="00F24C69">
            <w:pPr>
              <w:spacing w:before="80" w:after="80"/>
              <w:jc w:val="center"/>
              <w:rPr>
                <w:szCs w:val="24"/>
              </w:rPr>
            </w:pPr>
            <w:r>
              <w:rPr>
                <w:rFonts w:ascii="Tahoma" w:hAnsi="Tahoma" w:cs="Tahoma"/>
                <w:color w:val="000000"/>
                <w:sz w:val="20"/>
                <w:szCs w:val="20"/>
              </w:rPr>
              <w:t>1.8</w:t>
            </w:r>
          </w:p>
        </w:tc>
      </w:tr>
    </w:tbl>
    <w:p w14:paraId="534A3DAF" w14:textId="77777777" w:rsidR="00E7321B" w:rsidRPr="00602F7B" w:rsidRDefault="00E7321B" w:rsidP="00E7321B">
      <w:pPr>
        <w:sectPr w:rsidR="00E7321B" w:rsidRPr="00602F7B" w:rsidSect="00713DBF">
          <w:pgSz w:w="12240" w:h="15840"/>
          <w:pgMar w:top="1440" w:right="1440" w:bottom="1440" w:left="1440" w:header="720" w:footer="720" w:gutter="0"/>
          <w:cols w:space="720"/>
          <w:docGrid w:linePitch="360"/>
        </w:sectPr>
      </w:pPr>
    </w:p>
    <w:p w14:paraId="2FED4EA0" w14:textId="153FF249" w:rsidR="00AB40C4" w:rsidRDefault="007D6385" w:rsidP="00AB40C4">
      <w:pPr>
        <w:pStyle w:val="Heading1"/>
        <w:pBdr>
          <w:bottom w:val="single" w:sz="36" w:space="1" w:color="auto"/>
        </w:pBdr>
      </w:pPr>
      <w:bookmarkStart w:id="10" w:name="_Toc2324598"/>
      <w:r>
        <w:lastRenderedPageBreak/>
        <w:t>Appendix D</w:t>
      </w:r>
      <w:r w:rsidR="00025F44">
        <w:t>: Five-year F</w:t>
      </w:r>
      <w:r w:rsidR="00AB40C4">
        <w:t xml:space="preserve">inancial </w:t>
      </w:r>
      <w:r w:rsidR="00025F44">
        <w:t>S</w:t>
      </w:r>
      <w:r w:rsidR="00AB40C4">
        <w:t>ummary</w:t>
      </w:r>
      <w:bookmarkEnd w:id="10"/>
    </w:p>
    <w:p w14:paraId="3F3B9C66" w14:textId="5A7D2F26" w:rsidR="00713DBF" w:rsidRDefault="00025F44" w:rsidP="00AB40C4">
      <w:r w:rsidRPr="00025F44">
        <w:rPr>
          <w:noProof/>
          <w:lang w:eastAsia="zh-CN"/>
        </w:rPr>
        <w:drawing>
          <wp:inline distT="0" distB="0" distL="0" distR="0" wp14:anchorId="1FCF88C3" wp14:editId="3BE03039">
            <wp:extent cx="6000750" cy="4710698"/>
            <wp:effectExtent l="0" t="0" r="0" b="0"/>
            <wp:docPr id="2" name="Picture 2" descr="Greenfield Commonwealth Virtual School 5 Year Financial Summa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000750" cy="4710698"/>
                    </a:xfrm>
                    <a:prstGeom prst="rect">
                      <a:avLst/>
                    </a:prstGeom>
                    <a:noFill/>
                    <a:ln>
                      <a:noFill/>
                    </a:ln>
                  </pic:spPr>
                </pic:pic>
              </a:graphicData>
            </a:graphic>
          </wp:inline>
        </w:drawing>
      </w:r>
    </w:p>
    <w:p w14:paraId="0F869A87" w14:textId="77777777" w:rsidR="00713DBF" w:rsidRDefault="00713DBF">
      <w:r>
        <w:br w:type="page"/>
      </w:r>
    </w:p>
    <w:p w14:paraId="532FC660" w14:textId="468D8DDD" w:rsidR="00713DBF" w:rsidRDefault="00713DBF" w:rsidP="00713DBF">
      <w:pPr>
        <w:pStyle w:val="Heading1"/>
        <w:pBdr>
          <w:bottom w:val="single" w:sz="36" w:space="1" w:color="auto"/>
        </w:pBdr>
      </w:pPr>
      <w:bookmarkStart w:id="11" w:name="_Toc2324599"/>
      <w:r>
        <w:rPr>
          <w:noProof/>
          <w:lang w:eastAsia="zh-CN"/>
        </w:rPr>
        <w:lastRenderedPageBreak/>
        <w:drawing>
          <wp:anchor distT="0" distB="0" distL="114300" distR="114300" simplePos="0" relativeHeight="251659264" behindDoc="0" locked="0" layoutInCell="1" hidden="0" allowOverlap="1" wp14:anchorId="2041B3B6" wp14:editId="1E396A61">
            <wp:simplePos x="0" y="0"/>
            <wp:positionH relativeFrom="margin">
              <wp:posOffset>2434590</wp:posOffset>
            </wp:positionH>
            <wp:positionV relativeFrom="paragraph">
              <wp:posOffset>314325</wp:posOffset>
            </wp:positionV>
            <wp:extent cx="1539240" cy="1599565"/>
            <wp:effectExtent l="0" t="0" r="3810" b="635"/>
            <wp:wrapSquare wrapText="bothSides" distT="0" distB="0" distL="114300" distR="114300"/>
            <wp:docPr id="1" name="image2.png" descr="Greenfield Commonwealth Virtual School (GCVS) logo">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6"/>
                    <a:srcRect/>
                    <a:stretch>
                      <a:fillRect/>
                    </a:stretch>
                  </pic:blipFill>
                  <pic:spPr>
                    <a:xfrm>
                      <a:off x="0" y="0"/>
                      <a:ext cx="1539240" cy="1599565"/>
                    </a:xfrm>
                    <a:prstGeom prst="rect">
                      <a:avLst/>
                    </a:prstGeom>
                    <a:ln/>
                  </pic:spPr>
                </pic:pic>
              </a:graphicData>
            </a:graphic>
          </wp:anchor>
        </w:drawing>
      </w:r>
      <w:r>
        <w:t>Appendix E: School’s Response to Summary of Review</w:t>
      </w:r>
      <w:bookmarkEnd w:id="11"/>
    </w:p>
    <w:p w14:paraId="5484C729" w14:textId="7F74FFFD" w:rsidR="00713DBF" w:rsidRDefault="00713DBF" w:rsidP="00713DBF">
      <w:pPr>
        <w:spacing w:before="40" w:after="0" w:line="240" w:lineRule="auto"/>
        <w:rPr>
          <w:color w:val="595959"/>
          <w:sz w:val="20"/>
          <w:szCs w:val="20"/>
        </w:rPr>
      </w:pPr>
    </w:p>
    <w:p w14:paraId="04D95294" w14:textId="76267280" w:rsidR="00713DBF" w:rsidRDefault="00713DBF" w:rsidP="00713DBF">
      <w:pPr>
        <w:spacing w:before="40" w:after="0" w:line="240" w:lineRule="auto"/>
        <w:rPr>
          <w:color w:val="595959"/>
          <w:sz w:val="20"/>
          <w:szCs w:val="20"/>
        </w:rPr>
      </w:pPr>
      <w:r>
        <w:rPr>
          <w:noProof/>
          <w:lang w:eastAsia="zh-CN"/>
        </w:rPr>
        <mc:AlternateContent>
          <mc:Choice Requires="wps">
            <w:drawing>
              <wp:anchor distT="36576" distB="36576" distL="36576" distR="36576" simplePos="0" relativeHeight="251660288" behindDoc="0" locked="0" layoutInCell="1" hidden="0" allowOverlap="1" wp14:anchorId="4B278433" wp14:editId="2518342F">
                <wp:simplePos x="0" y="0"/>
                <wp:positionH relativeFrom="margin">
                  <wp:posOffset>38100</wp:posOffset>
                </wp:positionH>
                <wp:positionV relativeFrom="paragraph">
                  <wp:posOffset>12700</wp:posOffset>
                </wp:positionV>
                <wp:extent cx="1615440" cy="675005"/>
                <wp:effectExtent l="0" t="0" r="0"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543043" y="3447260"/>
                          <a:ext cx="1605915" cy="665480"/>
                        </a:xfrm>
                        <a:prstGeom prst="rect">
                          <a:avLst/>
                        </a:prstGeom>
                        <a:solidFill>
                          <a:srgbClr val="FFFFFF"/>
                        </a:solidFill>
                        <a:ln>
                          <a:noFill/>
                        </a:ln>
                      </wps:spPr>
                      <wps:txbx>
                        <w:txbxContent>
                          <w:p w14:paraId="3E99A53C" w14:textId="77777777" w:rsidR="006D7A08" w:rsidRDefault="006D7A08" w:rsidP="00713DBF">
                            <w:pPr>
                              <w:spacing w:after="0" w:line="240" w:lineRule="auto"/>
                              <w:jc w:val="center"/>
                              <w:textDirection w:val="btLr"/>
                            </w:pPr>
                            <w:r>
                              <w:rPr>
                                <w:rFonts w:ascii="Arial" w:eastAsia="Arial" w:hAnsi="Arial" w:cs="Arial"/>
                                <w:sz w:val="18"/>
                              </w:rPr>
                              <w:t>238 Main Street</w:t>
                            </w:r>
                          </w:p>
                          <w:p w14:paraId="2764C74A" w14:textId="77777777" w:rsidR="006D7A08" w:rsidRDefault="006D7A08" w:rsidP="00713DBF">
                            <w:pPr>
                              <w:spacing w:after="0" w:line="240" w:lineRule="auto"/>
                              <w:jc w:val="center"/>
                              <w:textDirection w:val="btLr"/>
                            </w:pPr>
                            <w:r>
                              <w:rPr>
                                <w:rFonts w:ascii="Arial" w:eastAsia="Arial" w:hAnsi="Arial" w:cs="Arial"/>
                                <w:sz w:val="18"/>
                              </w:rPr>
                              <w:t>3</w:t>
                            </w:r>
                            <w:r w:rsidRPr="00B61123">
                              <w:rPr>
                                <w:rFonts w:ascii="Arial" w:eastAsia="Arial" w:hAnsi="Arial" w:cs="Arial"/>
                                <w:sz w:val="18"/>
                                <w:vertAlign w:val="superscript"/>
                              </w:rPr>
                              <w:t>rd</w:t>
                            </w:r>
                            <w:r>
                              <w:rPr>
                                <w:rFonts w:ascii="Arial" w:eastAsia="Arial" w:hAnsi="Arial" w:cs="Arial"/>
                                <w:sz w:val="18"/>
                              </w:rPr>
                              <w:t xml:space="preserve"> Floor</w:t>
                            </w:r>
                          </w:p>
                          <w:p w14:paraId="603E2937" w14:textId="77777777" w:rsidR="006D7A08" w:rsidRDefault="006D7A08" w:rsidP="00713DBF">
                            <w:pPr>
                              <w:spacing w:after="0" w:line="240" w:lineRule="auto"/>
                              <w:jc w:val="center"/>
                              <w:textDirection w:val="btLr"/>
                            </w:pPr>
                            <w:r>
                              <w:rPr>
                                <w:rFonts w:ascii="Arial" w:eastAsia="Arial" w:hAnsi="Arial" w:cs="Arial"/>
                                <w:sz w:val="18"/>
                              </w:rPr>
                              <w:t>Greenfield, MA 01301</w:t>
                            </w:r>
                          </w:p>
                          <w:p w14:paraId="4BBFF9D2" w14:textId="77777777" w:rsidR="006D7A08" w:rsidRDefault="006D7A08" w:rsidP="00713DBF">
                            <w:pPr>
                              <w:spacing w:after="0" w:line="240" w:lineRule="auto"/>
                              <w:jc w:val="center"/>
                              <w:textDirection w:val="btLr"/>
                            </w:pPr>
                            <w:r>
                              <w:rPr>
                                <w:rFonts w:ascii="Arial" w:eastAsia="Arial" w:hAnsi="Arial" w:cs="Arial"/>
                                <w:sz w:val="18"/>
                              </w:rPr>
                              <w:t>www.gcvs.org</w:t>
                            </w:r>
                          </w:p>
                        </w:txbxContent>
                      </wps:txbx>
                      <wps:bodyPr spcFirstLastPara="1" wrap="square" lIns="36175" tIns="36175" rIns="36175" bIns="36175" anchor="t" anchorCtr="0"/>
                    </wps:wsp>
                  </a:graphicData>
                </a:graphic>
              </wp:anchor>
            </w:drawing>
          </mc:Choice>
          <mc:Fallback>
            <w:pict>
              <v:rect w14:anchorId="4B278433" id="Rectangle 5" o:spid="_x0000_s1026" style="position:absolute;margin-left:3pt;margin-top:1pt;width:127.2pt;height:53.15pt;z-index:251660288;visibility:visible;mso-wrap-style:square;mso-wrap-distance-left:2.88pt;mso-wrap-distance-top:2.88pt;mso-wrap-distance-right:2.88pt;mso-wrap-distance-bottom:2.88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" stroked="f">
                <v:textbox inset="1.0049mm,1.0049mm,1.0049mm,1.0049mm">
                  <w:txbxContent>
                    <w:p w14:paraId="3E99A53C" w14:textId="77777777" w:rsidR="006D7A08" w:rsidRDefault="006D7A08" w:rsidP="00713DBF">
                      <w:pPr>
                        <w:spacing w:after="0" w:line="240" w:lineRule="auto"/>
                        <w:jc w:val="center"/>
                        <w:textDirection w:val="btLr"/>
                      </w:pPr>
                      <w:r>
                        <w:rPr>
                          <w:rFonts w:ascii="Arial" w:eastAsia="Arial" w:hAnsi="Arial" w:cs="Arial"/>
                          <w:sz w:val="18"/>
                        </w:rPr>
                        <w:t>238 Main Street</w:t>
                      </w:r>
                    </w:p>
                    <w:p w14:paraId="2764C74A" w14:textId="77777777" w:rsidR="006D7A08" w:rsidRDefault="006D7A08" w:rsidP="00713DBF">
                      <w:pPr>
                        <w:spacing w:after="0" w:line="240" w:lineRule="auto"/>
                        <w:jc w:val="center"/>
                        <w:textDirection w:val="btLr"/>
                      </w:pPr>
                      <w:r>
                        <w:rPr>
                          <w:rFonts w:ascii="Arial" w:eastAsia="Arial" w:hAnsi="Arial" w:cs="Arial"/>
                          <w:sz w:val="18"/>
                        </w:rPr>
                        <w:t>3</w:t>
                      </w:r>
                      <w:r w:rsidRPr="00B61123">
                        <w:rPr>
                          <w:rFonts w:ascii="Arial" w:eastAsia="Arial" w:hAnsi="Arial" w:cs="Arial"/>
                          <w:sz w:val="18"/>
                          <w:vertAlign w:val="superscript"/>
                        </w:rPr>
                        <w:t>rd</w:t>
                      </w:r>
                      <w:r>
                        <w:rPr>
                          <w:rFonts w:ascii="Arial" w:eastAsia="Arial" w:hAnsi="Arial" w:cs="Arial"/>
                          <w:sz w:val="18"/>
                        </w:rPr>
                        <w:t xml:space="preserve"> Floor</w:t>
                      </w:r>
                    </w:p>
                    <w:p w14:paraId="603E2937" w14:textId="77777777" w:rsidR="006D7A08" w:rsidRDefault="006D7A08" w:rsidP="00713DBF">
                      <w:pPr>
                        <w:spacing w:after="0" w:line="240" w:lineRule="auto"/>
                        <w:jc w:val="center"/>
                        <w:textDirection w:val="btLr"/>
                      </w:pPr>
                      <w:r>
                        <w:rPr>
                          <w:rFonts w:ascii="Arial" w:eastAsia="Arial" w:hAnsi="Arial" w:cs="Arial"/>
                          <w:sz w:val="18"/>
                        </w:rPr>
                        <w:t>Greenfield, MA 01301</w:t>
                      </w:r>
                    </w:p>
                    <w:p w14:paraId="4BBFF9D2" w14:textId="77777777" w:rsidR="006D7A08" w:rsidRDefault="006D7A08" w:rsidP="00713DBF">
                      <w:pPr>
                        <w:spacing w:after="0" w:line="240" w:lineRule="auto"/>
                        <w:jc w:val="center"/>
                        <w:textDirection w:val="btLr"/>
                      </w:pPr>
                      <w:r>
                        <w:rPr>
                          <w:rFonts w:ascii="Arial" w:eastAsia="Arial" w:hAnsi="Arial" w:cs="Arial"/>
                          <w:sz w:val="18"/>
                        </w:rPr>
                        <w:t>www.gcvs.org</w:t>
                      </w:r>
                    </w:p>
                  </w:txbxContent>
                </v:textbox>
                <w10:wrap anchorx="margin"/>
              </v:rect>
            </w:pict>
          </mc:Fallback>
        </mc:AlternateContent>
      </w:r>
      <w:r>
        <w:rPr>
          <w:noProof/>
          <w:lang w:eastAsia="zh-CN"/>
        </w:rPr>
        <mc:AlternateContent>
          <mc:Choice Requires="wps">
            <w:drawing>
              <wp:anchor distT="36576" distB="36576" distL="36576" distR="36576" simplePos="0" relativeHeight="251661312" behindDoc="0" locked="0" layoutInCell="1" hidden="0" allowOverlap="1" wp14:anchorId="25961F03" wp14:editId="2C96ADF1">
                <wp:simplePos x="0" y="0"/>
                <wp:positionH relativeFrom="margin">
                  <wp:posOffset>4953000</wp:posOffset>
                </wp:positionH>
                <wp:positionV relativeFrom="paragraph">
                  <wp:posOffset>63500</wp:posOffset>
                </wp:positionV>
                <wp:extent cx="1323975" cy="675005"/>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688775" y="3447260"/>
                          <a:ext cx="1314450" cy="665480"/>
                        </a:xfrm>
                        <a:prstGeom prst="rect">
                          <a:avLst/>
                        </a:prstGeom>
                        <a:solidFill>
                          <a:srgbClr val="FFFFFF"/>
                        </a:solidFill>
                        <a:ln>
                          <a:noFill/>
                        </a:ln>
                      </wps:spPr>
                      <wps:txbx>
                        <w:txbxContent>
                          <w:p w14:paraId="1EDFDB23" w14:textId="77777777" w:rsidR="006D7A08" w:rsidRDefault="006D7A08" w:rsidP="00713DBF">
                            <w:pPr>
                              <w:spacing w:after="0" w:line="240" w:lineRule="auto"/>
                              <w:jc w:val="center"/>
                              <w:textDirection w:val="btLr"/>
                            </w:pPr>
                            <w:r>
                              <w:rPr>
                                <w:rFonts w:ascii="Arial" w:eastAsia="Arial" w:hAnsi="Arial" w:cs="Arial"/>
                                <w:sz w:val="18"/>
                              </w:rPr>
                              <w:t>Phone: 413-475-3879</w:t>
                            </w:r>
                          </w:p>
                          <w:p w14:paraId="0CE68C22" w14:textId="77777777" w:rsidR="006D7A08" w:rsidRDefault="006D7A08" w:rsidP="00713DBF">
                            <w:pPr>
                              <w:spacing w:after="0" w:line="240" w:lineRule="auto"/>
                              <w:jc w:val="center"/>
                              <w:textDirection w:val="btLr"/>
                            </w:pPr>
                            <w:r>
                              <w:rPr>
                                <w:rFonts w:ascii="Arial" w:eastAsia="Arial" w:hAnsi="Arial" w:cs="Arial"/>
                                <w:sz w:val="18"/>
                              </w:rPr>
                              <w:t>Fax: 413-475-3909</w:t>
                            </w:r>
                          </w:p>
                          <w:p w14:paraId="039AB398" w14:textId="77777777" w:rsidR="006D7A08" w:rsidRDefault="006D7A08" w:rsidP="009B3B9A">
                            <w:pPr>
                              <w:spacing w:after="60" w:line="240" w:lineRule="auto"/>
                              <w:jc w:val="center"/>
                              <w:textDirection w:val="btLr"/>
                            </w:pPr>
                            <w:r>
                              <w:rPr>
                                <w:rFonts w:ascii="Arial" w:eastAsia="Arial" w:hAnsi="Arial" w:cs="Arial"/>
                                <w:sz w:val="18"/>
                              </w:rPr>
                              <w:t>Email: info@gcvs.org</w:t>
                            </w:r>
                          </w:p>
                          <w:p w14:paraId="60E88D62" w14:textId="77777777" w:rsidR="006D7A08" w:rsidRDefault="006D7A08" w:rsidP="00713DBF">
                            <w:pPr>
                              <w:spacing w:after="0" w:line="285" w:lineRule="auto"/>
                              <w:jc w:val="center"/>
                              <w:textDirection w:val="btLr"/>
                            </w:pPr>
                            <w:r>
                              <w:rPr>
                                <w:rFonts w:ascii="Arial" w:eastAsia="Arial" w:hAnsi="Arial" w:cs="Arial"/>
                                <w:sz w:val="18"/>
                              </w:rPr>
                              <w:t> </w:t>
                            </w:r>
                          </w:p>
                        </w:txbxContent>
                      </wps:txbx>
                      <wps:bodyPr spcFirstLastPara="1" wrap="square" lIns="36175" tIns="36175" rIns="36175" bIns="36175" anchor="t" anchorCtr="0"/>
                    </wps:wsp>
                  </a:graphicData>
                </a:graphic>
              </wp:anchor>
            </w:drawing>
          </mc:Choice>
          <mc:Fallback>
            <w:pict>
              <v:rect w14:anchorId="25961F03" id="Rectangle 3" o:spid="_x0000_s1027" style="position:absolute;margin-left:390pt;margin-top:5pt;width:104.25pt;height:53.15pt;z-index:251661312;visibility:visible;mso-wrap-style:square;mso-wrap-distance-left:2.88pt;mso-wrap-distance-top:2.88pt;mso-wrap-distance-right:2.88pt;mso-wrap-distance-bottom:2.88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" stroked="f">
                <v:textbox inset="1.0049mm,1.0049mm,1.0049mm,1.0049mm">
                  <w:txbxContent>
                    <w:p w14:paraId="1EDFDB23" w14:textId="77777777" w:rsidR="006D7A08" w:rsidRDefault="006D7A08" w:rsidP="00713DBF">
                      <w:pPr>
                        <w:spacing w:after="0" w:line="240" w:lineRule="auto"/>
                        <w:jc w:val="center"/>
                        <w:textDirection w:val="btLr"/>
                      </w:pPr>
                      <w:r>
                        <w:rPr>
                          <w:rFonts w:ascii="Arial" w:eastAsia="Arial" w:hAnsi="Arial" w:cs="Arial"/>
                          <w:sz w:val="18"/>
                        </w:rPr>
                        <w:t>Phone: 413-475-3879</w:t>
                      </w:r>
                    </w:p>
                    <w:p w14:paraId="0CE68C22" w14:textId="77777777" w:rsidR="006D7A08" w:rsidRDefault="006D7A08" w:rsidP="00713DBF">
                      <w:pPr>
                        <w:spacing w:after="0" w:line="240" w:lineRule="auto"/>
                        <w:jc w:val="center"/>
                        <w:textDirection w:val="btLr"/>
                      </w:pPr>
                      <w:r>
                        <w:rPr>
                          <w:rFonts w:ascii="Arial" w:eastAsia="Arial" w:hAnsi="Arial" w:cs="Arial"/>
                          <w:sz w:val="18"/>
                        </w:rPr>
                        <w:t>Fax: 413-475-3909</w:t>
                      </w:r>
                    </w:p>
                    <w:p w14:paraId="039AB398" w14:textId="77777777" w:rsidR="006D7A08" w:rsidRDefault="006D7A08" w:rsidP="009B3B9A">
                      <w:pPr>
                        <w:spacing w:after="60" w:line="240" w:lineRule="auto"/>
                        <w:jc w:val="center"/>
                        <w:textDirection w:val="btLr"/>
                      </w:pPr>
                      <w:r>
                        <w:rPr>
                          <w:rFonts w:ascii="Arial" w:eastAsia="Arial" w:hAnsi="Arial" w:cs="Arial"/>
                          <w:sz w:val="18"/>
                        </w:rPr>
                        <w:t>Email: info@gcvs.org</w:t>
                      </w:r>
                    </w:p>
                    <w:p w14:paraId="60E88D62" w14:textId="77777777" w:rsidR="006D7A08" w:rsidRDefault="006D7A08" w:rsidP="00713DBF">
                      <w:pPr>
                        <w:spacing w:after="0" w:line="285" w:lineRule="auto"/>
                        <w:jc w:val="center"/>
                        <w:textDirection w:val="btLr"/>
                      </w:pPr>
                      <w:r>
                        <w:rPr>
                          <w:rFonts w:ascii="Arial" w:eastAsia="Arial" w:hAnsi="Arial" w:cs="Arial"/>
                          <w:sz w:val="18"/>
                        </w:rPr>
                        <w:t> </w:t>
                      </w:r>
                    </w:p>
                  </w:txbxContent>
                </v:textbox>
                <w10:wrap anchorx="margin"/>
              </v:rect>
            </w:pict>
          </mc:Fallback>
        </mc:AlternateContent>
      </w:r>
    </w:p>
    <w:p w14:paraId="24818051" w14:textId="77777777" w:rsidR="00713DBF" w:rsidRDefault="00713DBF" w:rsidP="00713DBF">
      <w:pPr>
        <w:spacing w:after="0" w:line="276" w:lineRule="auto"/>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605430D3" w14:textId="3941986E" w:rsidR="00713DBF" w:rsidRDefault="00713DBF" w:rsidP="00713DBF">
      <w:pPr>
        <w:spacing w:after="0" w:line="276" w:lineRule="auto"/>
      </w:pPr>
      <w:r>
        <w:t>February 12, 2019</w:t>
      </w:r>
    </w:p>
    <w:p w14:paraId="18E1EC51" w14:textId="77777777" w:rsidR="00713DBF" w:rsidRDefault="00713DBF" w:rsidP="00713DBF">
      <w:pPr>
        <w:spacing w:after="0" w:line="276" w:lineRule="auto"/>
      </w:pPr>
    </w:p>
    <w:p w14:paraId="2E3394DA" w14:textId="77777777" w:rsidR="00713DBF" w:rsidRDefault="00713DBF" w:rsidP="00713DBF">
      <w:pPr>
        <w:spacing w:after="0" w:line="276" w:lineRule="auto"/>
      </w:pPr>
      <w:r>
        <w:t xml:space="preserve">Alison Bagg, </w:t>
      </w:r>
      <w:r w:rsidRPr="00B61123">
        <w:t>Office of Charter Schools and School Redesign</w:t>
      </w:r>
    </w:p>
    <w:p w14:paraId="0BE2363B" w14:textId="77777777" w:rsidR="00713DBF" w:rsidRDefault="00713DBF" w:rsidP="00713DBF">
      <w:pPr>
        <w:spacing w:after="0" w:line="276" w:lineRule="auto"/>
      </w:pPr>
      <w:r>
        <w:t>Massachusetts Department of Elementary and Secondary Education</w:t>
      </w:r>
    </w:p>
    <w:p w14:paraId="00473068" w14:textId="77777777" w:rsidR="00713DBF" w:rsidRDefault="00713DBF" w:rsidP="00713DBF">
      <w:pPr>
        <w:spacing w:after="0" w:line="276" w:lineRule="auto"/>
      </w:pPr>
      <w:r>
        <w:t>75 Pleasant Street</w:t>
      </w:r>
    </w:p>
    <w:p w14:paraId="4618B762" w14:textId="77777777" w:rsidR="00713DBF" w:rsidRDefault="00713DBF" w:rsidP="00713DBF">
      <w:pPr>
        <w:spacing w:after="0" w:line="276" w:lineRule="auto"/>
      </w:pPr>
      <w:r>
        <w:t>Malden, MA 02148-4906</w:t>
      </w:r>
    </w:p>
    <w:p w14:paraId="3D400DE2" w14:textId="77777777" w:rsidR="00713DBF" w:rsidRDefault="00713DBF" w:rsidP="00713DBF">
      <w:pPr>
        <w:spacing w:after="0" w:line="276" w:lineRule="auto"/>
      </w:pPr>
    </w:p>
    <w:p w14:paraId="5D6172D0" w14:textId="77777777" w:rsidR="00713DBF" w:rsidRDefault="00713DBF" w:rsidP="00713DBF">
      <w:pPr>
        <w:spacing w:after="0" w:line="276" w:lineRule="auto"/>
      </w:pPr>
      <w:r>
        <w:t>RE: Response to Summary of Review Report (February 2018)</w:t>
      </w:r>
    </w:p>
    <w:p w14:paraId="7E7E7BFC" w14:textId="77777777" w:rsidR="00713DBF" w:rsidRDefault="00713DBF" w:rsidP="00713DBF">
      <w:pPr>
        <w:spacing w:after="0" w:line="276" w:lineRule="auto"/>
      </w:pPr>
    </w:p>
    <w:p w14:paraId="55677E5D" w14:textId="77777777" w:rsidR="00713DBF" w:rsidRDefault="00713DBF" w:rsidP="00713DBF">
      <w:pPr>
        <w:spacing w:after="0" w:line="276" w:lineRule="auto"/>
      </w:pPr>
      <w:r>
        <w:t>Dear Director Bagg,</w:t>
      </w:r>
    </w:p>
    <w:p w14:paraId="7E678D86" w14:textId="77777777" w:rsidR="00713DBF" w:rsidRDefault="00713DBF" w:rsidP="00713DBF">
      <w:pPr>
        <w:spacing w:after="0" w:line="276" w:lineRule="auto"/>
      </w:pPr>
    </w:p>
    <w:p w14:paraId="65AD426A" w14:textId="77777777" w:rsidR="00713DBF" w:rsidRDefault="00713DBF" w:rsidP="00713DBF">
      <w:pPr>
        <w:spacing w:after="0" w:line="276" w:lineRule="auto"/>
      </w:pPr>
      <w:r>
        <w:t>The Greenfield Commonwealth Virtual School (GCVS) acknowledges receipt of the Summary of Review Report (February 2019). Once again, we wish to thank the review team and DESE for their collaboration, guidance and assistance.  We believe that the report will provide us with a solid road map for moving forward with the appropriate strategies and action to ensure that all goals will be met in the near future.</w:t>
      </w:r>
    </w:p>
    <w:p w14:paraId="42D9DCB6" w14:textId="77777777" w:rsidR="00713DBF" w:rsidRDefault="00713DBF" w:rsidP="00713DBF">
      <w:pPr>
        <w:spacing w:after="0" w:line="276" w:lineRule="auto"/>
      </w:pPr>
    </w:p>
    <w:p w14:paraId="3AF503CA" w14:textId="77777777" w:rsidR="00713DBF" w:rsidRDefault="00713DBF" w:rsidP="00713DBF">
      <w:pPr>
        <w:spacing w:after="0" w:line="276" w:lineRule="auto"/>
      </w:pPr>
      <w:r>
        <w:t xml:space="preserve">In the following response we offer further details on each of the unmet targets.  We also offer some updates since the review was performed. </w:t>
      </w:r>
    </w:p>
    <w:p w14:paraId="649F35C5" w14:textId="77777777" w:rsidR="00713DBF" w:rsidRDefault="00713DBF" w:rsidP="00713DBF">
      <w:pPr>
        <w:spacing w:after="0" w:line="276" w:lineRule="auto"/>
      </w:pPr>
    </w:p>
    <w:p w14:paraId="4ADEBB28" w14:textId="77777777" w:rsidR="00713DBF" w:rsidRDefault="00713DBF" w:rsidP="00713DBF">
      <w:pPr>
        <w:spacing w:after="0" w:line="276" w:lineRule="auto"/>
      </w:pPr>
      <w:r>
        <w:t>We look forward to seeing you at the Board of Education meeting.  In. the meantime, should you have any question or need for clarification, please feel free to contact me.</w:t>
      </w:r>
    </w:p>
    <w:p w14:paraId="5DBEB948" w14:textId="77777777" w:rsidR="00713DBF" w:rsidRDefault="00713DBF" w:rsidP="00713DBF">
      <w:pPr>
        <w:spacing w:after="0" w:line="276" w:lineRule="auto"/>
      </w:pPr>
    </w:p>
    <w:p w14:paraId="78D6F17E" w14:textId="77777777" w:rsidR="00713DBF" w:rsidRDefault="00713DBF" w:rsidP="00713DBF">
      <w:pPr>
        <w:spacing w:after="0" w:line="276" w:lineRule="auto"/>
      </w:pPr>
      <w:r>
        <w:t>Respectfully submitted,</w:t>
      </w:r>
    </w:p>
    <w:p w14:paraId="68FB7604" w14:textId="77777777" w:rsidR="00713DBF" w:rsidRDefault="00713DBF" w:rsidP="00713DBF">
      <w:pPr>
        <w:spacing w:after="0" w:line="276" w:lineRule="auto"/>
      </w:pPr>
    </w:p>
    <w:p w14:paraId="11EB726A" w14:textId="4F2E1993" w:rsidR="00713DBF" w:rsidRDefault="00713DBF" w:rsidP="00713DBF">
      <w:pPr>
        <w:spacing w:after="0" w:line="276" w:lineRule="auto"/>
        <w:rPr>
          <w:noProof/>
          <w:lang w:eastAsia="zh-CN"/>
        </w:rPr>
      </w:pPr>
    </w:p>
    <w:p w14:paraId="3697ED2D" w14:textId="77777777" w:rsidR="009B3B9A" w:rsidRDefault="009B3B9A" w:rsidP="00713DBF">
      <w:pPr>
        <w:spacing w:after="0" w:line="276" w:lineRule="auto"/>
      </w:pPr>
    </w:p>
    <w:p w14:paraId="109102C2" w14:textId="77777777" w:rsidR="00713DBF" w:rsidRDefault="00713DBF" w:rsidP="00713DBF">
      <w:pPr>
        <w:spacing w:after="0" w:line="276" w:lineRule="auto"/>
      </w:pPr>
      <w:r>
        <w:t>Dr. Salah Khelfaoui, Interim Executive Director</w:t>
      </w:r>
    </w:p>
    <w:p w14:paraId="26239370" w14:textId="77777777" w:rsidR="00713DBF" w:rsidRDefault="00713DBF" w:rsidP="00713DBF">
      <w:pPr>
        <w:spacing w:after="0" w:line="276" w:lineRule="auto"/>
      </w:pPr>
    </w:p>
    <w:p w14:paraId="3DDBE3B0" w14:textId="77777777" w:rsidR="00713DBF" w:rsidRDefault="00713DBF" w:rsidP="00713DBF">
      <w:pPr>
        <w:spacing w:after="0" w:line="276" w:lineRule="auto"/>
      </w:pPr>
    </w:p>
    <w:p w14:paraId="37BAB306" w14:textId="77777777" w:rsidR="00713DBF" w:rsidRDefault="00713DBF" w:rsidP="00713DBF">
      <w:pPr>
        <w:spacing w:after="0" w:line="276" w:lineRule="auto"/>
      </w:pPr>
      <w:r>
        <w:t>In collaboration with:</w:t>
      </w:r>
    </w:p>
    <w:p w14:paraId="1FA5ACD8" w14:textId="03E96377" w:rsidR="00713DBF" w:rsidRDefault="00713DBF" w:rsidP="00713DBF">
      <w:pPr>
        <w:spacing w:after="0" w:line="276" w:lineRule="auto"/>
      </w:pPr>
      <w:r>
        <w:t>Dr. Judith Houle, Consultant to</w:t>
      </w:r>
      <w:r w:rsidR="009B3B9A">
        <w:t xml:space="preserve"> the Interim Executive Director</w:t>
      </w:r>
    </w:p>
    <w:p w14:paraId="7F575B64" w14:textId="77777777" w:rsidR="009B3B9A" w:rsidRDefault="009B3B9A" w:rsidP="009B3B9A">
      <w:pPr>
        <w:spacing w:after="0"/>
        <w:rPr>
          <w:b/>
          <w:i/>
          <w:sz w:val="28"/>
          <w:szCs w:val="28"/>
        </w:rPr>
      </w:pPr>
      <w:r>
        <w:rPr>
          <w:b/>
          <w:i/>
          <w:sz w:val="28"/>
          <w:szCs w:val="28"/>
        </w:rPr>
        <w:br w:type="page"/>
      </w:r>
    </w:p>
    <w:p w14:paraId="705D8B22" w14:textId="0A76819F" w:rsidR="00713DBF" w:rsidRPr="007679CB" w:rsidRDefault="00713DBF" w:rsidP="00713DBF">
      <w:pPr>
        <w:spacing w:after="0" w:line="276" w:lineRule="auto"/>
        <w:rPr>
          <w:sz w:val="28"/>
          <w:szCs w:val="28"/>
        </w:rPr>
      </w:pPr>
      <w:r w:rsidRPr="007679CB">
        <w:rPr>
          <w:b/>
          <w:i/>
          <w:sz w:val="28"/>
          <w:szCs w:val="28"/>
        </w:rPr>
        <w:lastRenderedPageBreak/>
        <w:t>Faithfulness to Certificate</w:t>
      </w:r>
    </w:p>
    <w:p w14:paraId="4FAF90BC" w14:textId="77777777" w:rsidR="00713DBF" w:rsidRDefault="00713DBF" w:rsidP="00713DBF">
      <w:pPr>
        <w:spacing w:after="0" w:line="276" w:lineRule="auto"/>
      </w:pPr>
    </w:p>
    <w:p w14:paraId="1D506007" w14:textId="77777777" w:rsidR="00713DBF" w:rsidRDefault="00713DBF" w:rsidP="00713DBF">
      <w:pPr>
        <w:pStyle w:val="ListParagraph"/>
        <w:numPr>
          <w:ilvl w:val="0"/>
          <w:numId w:val="15"/>
        </w:numPr>
        <w:pBdr>
          <w:top w:val="nil"/>
          <w:left w:val="nil"/>
          <w:bottom w:val="nil"/>
          <w:right w:val="nil"/>
          <w:between w:val="nil"/>
        </w:pBdr>
        <w:spacing w:line="276" w:lineRule="auto"/>
        <w:rPr>
          <w:b/>
        </w:rPr>
      </w:pPr>
      <w:r w:rsidRPr="00C470CB">
        <w:rPr>
          <w:b/>
        </w:rPr>
        <w:t>Mission and key design elements</w:t>
      </w:r>
      <w:r>
        <w:rPr>
          <w:b/>
        </w:rPr>
        <w:t>:</w:t>
      </w:r>
    </w:p>
    <w:p w14:paraId="2F80BD51" w14:textId="77777777" w:rsidR="00713DBF" w:rsidRDefault="00713DBF" w:rsidP="00713DBF">
      <w:pPr>
        <w:spacing w:after="0" w:line="276" w:lineRule="auto"/>
        <w:rPr>
          <w:b/>
        </w:rPr>
      </w:pPr>
    </w:p>
    <w:p w14:paraId="78EB9EEB" w14:textId="77777777" w:rsidR="00713DBF" w:rsidRDefault="00713DBF" w:rsidP="00713DBF">
      <w:pPr>
        <w:spacing w:after="0" w:line="276" w:lineRule="auto"/>
        <w:ind w:left="360"/>
      </w:pPr>
      <w:r>
        <w:t>A new mission statement was adopted by the Board of Trustees in 2018 and the school’s certificate was amended to reflect that change in March 2018. The new mission statement reads as follows:</w:t>
      </w:r>
    </w:p>
    <w:p w14:paraId="023C9D0E" w14:textId="77777777" w:rsidR="00713DBF" w:rsidRDefault="00713DBF" w:rsidP="00713DBF">
      <w:pPr>
        <w:spacing w:after="0" w:line="276" w:lineRule="auto"/>
        <w:ind w:left="360"/>
      </w:pPr>
    </w:p>
    <w:p w14:paraId="6A61C2FA" w14:textId="77777777" w:rsidR="00713DBF" w:rsidRPr="007D3DEF" w:rsidRDefault="00713DBF" w:rsidP="00713DBF">
      <w:pPr>
        <w:spacing w:after="0" w:line="276" w:lineRule="auto"/>
        <w:ind w:left="720"/>
        <w:rPr>
          <w:i/>
        </w:rPr>
      </w:pPr>
      <w:r w:rsidRPr="007D3DEF">
        <w:rPr>
          <w:i/>
        </w:rPr>
        <w:t xml:space="preserve">The Greenfield Commonwealth Virtual School, a public school of choice, serves students from across Massachusetts who need a learning community that is accessible and flexible. We give our students and their families choices in what, how, when, and where they learn. </w:t>
      </w:r>
    </w:p>
    <w:p w14:paraId="4381E70F" w14:textId="77777777" w:rsidR="00713DBF" w:rsidRPr="007D3DEF" w:rsidRDefault="00713DBF" w:rsidP="00713DBF">
      <w:pPr>
        <w:spacing w:after="0" w:line="276" w:lineRule="auto"/>
        <w:ind w:left="360"/>
        <w:rPr>
          <w:i/>
        </w:rPr>
      </w:pPr>
    </w:p>
    <w:p w14:paraId="698A0D0D" w14:textId="77777777" w:rsidR="00713DBF" w:rsidRPr="007D3DEF" w:rsidRDefault="00713DBF" w:rsidP="00713DBF">
      <w:pPr>
        <w:spacing w:after="0" w:line="276" w:lineRule="auto"/>
        <w:ind w:left="720"/>
        <w:rPr>
          <w:i/>
        </w:rPr>
      </w:pPr>
      <w:r w:rsidRPr="007D3DEF">
        <w:rPr>
          <w:i/>
        </w:rPr>
        <w:t>As a pioneer of online personalized learning, we empower our educators to tailor learning experiences to each student’s strengths, interests, and challenges. We redefine and change how students and teachers engage through innovative technology, while ensuring mastery of competencies embedded in a rigorous curriculum.</w:t>
      </w:r>
    </w:p>
    <w:p w14:paraId="7023AD6C" w14:textId="77777777" w:rsidR="00713DBF" w:rsidRDefault="00713DBF" w:rsidP="00713DBF">
      <w:pPr>
        <w:spacing w:after="0" w:line="276" w:lineRule="auto"/>
      </w:pPr>
    </w:p>
    <w:p w14:paraId="23C0F22F" w14:textId="77777777" w:rsidR="00713DBF" w:rsidRDefault="00713DBF" w:rsidP="00713DBF">
      <w:pPr>
        <w:spacing w:after="0" w:line="276" w:lineRule="auto"/>
        <w:ind w:left="360"/>
      </w:pPr>
      <w:r>
        <w:t>GCVS utilizes a number of innovative technology tools that increase students’ interaction with the curriculum both during lives and asynchronously.  These include:</w:t>
      </w:r>
    </w:p>
    <w:p w14:paraId="3C17C8EB" w14:textId="77777777" w:rsidR="00713DBF" w:rsidRDefault="00713DBF" w:rsidP="00713DBF">
      <w:pPr>
        <w:pStyle w:val="ListParagraph"/>
        <w:numPr>
          <w:ilvl w:val="0"/>
          <w:numId w:val="14"/>
        </w:numPr>
        <w:pBdr>
          <w:top w:val="nil"/>
          <w:left w:val="nil"/>
          <w:bottom w:val="nil"/>
          <w:right w:val="nil"/>
          <w:between w:val="nil"/>
        </w:pBdr>
        <w:spacing w:line="276" w:lineRule="auto"/>
        <w:rPr>
          <w:color w:val="000000" w:themeColor="text1"/>
        </w:rPr>
      </w:pPr>
      <w:r>
        <w:t>Nearpod – Interactive, collaborative slide presentation tool that enables student to work and interact directly within PowerPoint-like presentations.  This is utilized at all grade levels at GCVS and is a very dynamic way of presenting material.</w:t>
      </w:r>
    </w:p>
    <w:p w14:paraId="7783C306" w14:textId="77777777" w:rsidR="00713DBF" w:rsidRDefault="00713DBF" w:rsidP="00713DBF">
      <w:pPr>
        <w:pStyle w:val="ListParagraph"/>
        <w:numPr>
          <w:ilvl w:val="0"/>
          <w:numId w:val="14"/>
        </w:numPr>
        <w:pBdr>
          <w:top w:val="nil"/>
          <w:left w:val="nil"/>
          <w:bottom w:val="nil"/>
          <w:right w:val="nil"/>
          <w:between w:val="nil"/>
        </w:pBdr>
        <w:spacing w:line="276" w:lineRule="auto"/>
        <w:rPr>
          <w:color w:val="000000" w:themeColor="text1"/>
        </w:rPr>
      </w:pPr>
      <w:r>
        <w:t>Kami – Interactive annotation and mark-up software that enables students to edit, collaborate, and receive feedback from instructors on documents.</w:t>
      </w:r>
    </w:p>
    <w:p w14:paraId="14DDAD5A" w14:textId="77777777" w:rsidR="00713DBF" w:rsidRDefault="00713DBF" w:rsidP="00713DBF">
      <w:pPr>
        <w:pStyle w:val="ListParagraph"/>
        <w:numPr>
          <w:ilvl w:val="0"/>
          <w:numId w:val="14"/>
        </w:numPr>
        <w:pBdr>
          <w:top w:val="nil"/>
          <w:left w:val="nil"/>
          <w:bottom w:val="nil"/>
          <w:right w:val="nil"/>
          <w:between w:val="nil"/>
        </w:pBdr>
        <w:spacing w:line="276" w:lineRule="auto"/>
        <w:rPr>
          <w:color w:val="000000" w:themeColor="text1"/>
        </w:rPr>
      </w:pPr>
      <w:r>
        <w:t>Blackboard Collaborate – Live interactive video and audio platform that includes interactive whiteboards, screensharing, breakout small group work, formative assessment tools, and text chat.</w:t>
      </w:r>
    </w:p>
    <w:p w14:paraId="17500607" w14:textId="77777777" w:rsidR="00713DBF" w:rsidRDefault="00713DBF" w:rsidP="00713DBF">
      <w:pPr>
        <w:pStyle w:val="ListParagraph"/>
        <w:numPr>
          <w:ilvl w:val="0"/>
          <w:numId w:val="14"/>
        </w:numPr>
        <w:pBdr>
          <w:top w:val="nil"/>
          <w:left w:val="nil"/>
          <w:bottom w:val="nil"/>
          <w:right w:val="nil"/>
          <w:between w:val="nil"/>
        </w:pBdr>
        <w:spacing w:line="276" w:lineRule="auto"/>
        <w:rPr>
          <w:color w:val="000000" w:themeColor="text1"/>
        </w:rPr>
      </w:pPr>
      <w:r>
        <w:t>Canvas – Comprehensive online Learning Management System (LMS) that includes interactive access to the curriculum, embedded course work and assessments.  Including submission of assignments, discussion with teachers and peers, and communication email system for students, Learning Coaches, teachers, and all staff.</w:t>
      </w:r>
    </w:p>
    <w:p w14:paraId="7403F416" w14:textId="77777777" w:rsidR="00713DBF" w:rsidRDefault="00713DBF" w:rsidP="00713DBF">
      <w:pPr>
        <w:pStyle w:val="ListParagraph"/>
        <w:numPr>
          <w:ilvl w:val="0"/>
          <w:numId w:val="14"/>
        </w:numPr>
        <w:pBdr>
          <w:top w:val="nil"/>
          <w:left w:val="nil"/>
          <w:bottom w:val="nil"/>
          <w:right w:val="nil"/>
          <w:between w:val="nil"/>
        </w:pBdr>
        <w:spacing w:line="276" w:lineRule="auto"/>
        <w:rPr>
          <w:color w:val="000000" w:themeColor="text1"/>
        </w:rPr>
      </w:pPr>
      <w:r>
        <w:t>Kahoot – Formative assessment tool that makes it easy to create, play, and share fun learning games tied to the curriculum.</w:t>
      </w:r>
    </w:p>
    <w:p w14:paraId="56B7DD03" w14:textId="77777777" w:rsidR="00713DBF" w:rsidRDefault="00713DBF" w:rsidP="00713DBF">
      <w:pPr>
        <w:pStyle w:val="ListParagraph"/>
        <w:numPr>
          <w:ilvl w:val="0"/>
          <w:numId w:val="14"/>
        </w:numPr>
        <w:pBdr>
          <w:top w:val="nil"/>
          <w:left w:val="nil"/>
          <w:bottom w:val="nil"/>
          <w:right w:val="nil"/>
          <w:between w:val="nil"/>
        </w:pBdr>
        <w:spacing w:line="276" w:lineRule="auto"/>
        <w:rPr>
          <w:color w:val="000000" w:themeColor="text1"/>
        </w:rPr>
      </w:pPr>
      <w:r>
        <w:t>Gynzy – Interactive whiteboard technology that enables teachers to engage students collaboratively in live lessons.</w:t>
      </w:r>
    </w:p>
    <w:p w14:paraId="66A6A104" w14:textId="77777777" w:rsidR="00713DBF" w:rsidRDefault="00713DBF" w:rsidP="00713DBF">
      <w:pPr>
        <w:pStyle w:val="ListParagraph"/>
        <w:numPr>
          <w:ilvl w:val="0"/>
          <w:numId w:val="14"/>
        </w:numPr>
        <w:pBdr>
          <w:top w:val="nil"/>
          <w:left w:val="nil"/>
          <w:bottom w:val="nil"/>
          <w:right w:val="nil"/>
          <w:between w:val="nil"/>
        </w:pBdr>
        <w:spacing w:line="276" w:lineRule="auto"/>
        <w:rPr>
          <w:color w:val="000000" w:themeColor="text1"/>
        </w:rPr>
      </w:pPr>
      <w:r>
        <w:t>Supplemental instructional technologies including: MobyMax, Learning A-Z, BrainPop, GSuite.</w:t>
      </w:r>
    </w:p>
    <w:p w14:paraId="217C09FF" w14:textId="77777777" w:rsidR="00713DBF" w:rsidRDefault="00713DBF" w:rsidP="00713DBF">
      <w:pPr>
        <w:spacing w:after="0" w:line="276" w:lineRule="auto"/>
        <w:ind w:left="360"/>
      </w:pPr>
    </w:p>
    <w:p w14:paraId="2E983290" w14:textId="77777777" w:rsidR="00713DBF" w:rsidRDefault="00713DBF" w:rsidP="00713DBF">
      <w:pPr>
        <w:spacing w:after="0" w:line="276" w:lineRule="auto"/>
        <w:ind w:left="360"/>
      </w:pPr>
      <w:r>
        <w:t xml:space="preserve">GCVS continues to work with its marketing firm to communicate the message of the ways in which the school can personalize the educational experience of its students. Students who have been able </w:t>
      </w:r>
      <w:r>
        <w:lastRenderedPageBreak/>
        <w:t>to use the opportunities that our school has to offer to pursue lifelong dreams (particularly athletic and artistic pursuits) have been highlighted on the school’s website and through social media.</w:t>
      </w:r>
    </w:p>
    <w:p w14:paraId="1FD87743" w14:textId="77777777" w:rsidR="00713DBF" w:rsidRDefault="00713DBF" w:rsidP="00713DBF">
      <w:pPr>
        <w:spacing w:after="0" w:line="276" w:lineRule="auto"/>
        <w:ind w:left="360"/>
      </w:pPr>
      <w:r>
        <w:t xml:space="preserve">GCVS has been working with staff and the Board of Trustees to implement competency-based, personalized learning as an overarching framework with several components that will comprise the steps to a full realization of strong learning outcomes, coupled with student agency and voice.  Through ongoing professional development over the last 2 years, teachers have identified competencies for learning and aligning instruction, assessment, and feedback practices.  To that end, the school has implemented a data dashboard to warehouse data from a variety of sources. This will be the first of several steps to map data from assessments to standards, revise our student/family report card system to a standards-based model, and to explore the ramifications of moving in this direction on instructional practice. GCVS has also joined the International Association for K-12 Online Learning (iNACOL, </w:t>
      </w:r>
      <w:hyperlink r:id="rId37">
        <w:r w:rsidRPr="5D208180">
          <w:rPr>
            <w:rStyle w:val="Hyperlink"/>
          </w:rPr>
          <w:t>https://www.inacol.org/</w:t>
        </w:r>
      </w:hyperlink>
      <w:r>
        <w:t>), which serves as a clearinghouse for competency-based education and offers a number of resources to our faculty and administration, of which we are beginning to take advantage as we begin to reshape our work. In October 2018, our Director of Teaching and Learning and the three grade level Team Leaders attended their annual Symposium and brought back information to the rest of the faculty with regard to the national work in this area.</w:t>
      </w:r>
    </w:p>
    <w:p w14:paraId="4E63FA9D" w14:textId="77777777" w:rsidR="00713DBF" w:rsidRDefault="00713DBF" w:rsidP="00713DBF">
      <w:pPr>
        <w:spacing w:after="0" w:line="276" w:lineRule="auto"/>
        <w:ind w:left="360"/>
      </w:pPr>
    </w:p>
    <w:p w14:paraId="6C92387E" w14:textId="77777777" w:rsidR="00713DBF" w:rsidRDefault="00713DBF" w:rsidP="00713DBF">
      <w:pPr>
        <w:spacing w:after="0" w:line="276" w:lineRule="auto"/>
        <w:ind w:left="360"/>
      </w:pPr>
      <w:r>
        <w:t>The GCVS Board of Trustees approved a new accountability plan on December 11, 2017, which was revised after receiving feedback, and approved by ESE in March 2018 as a certificate amendment. This, along with this accountability report, will provide a roadmap for necessary improvements to the school.</w:t>
      </w:r>
    </w:p>
    <w:p w14:paraId="408E2359" w14:textId="77777777" w:rsidR="00713DBF" w:rsidRDefault="00713DBF" w:rsidP="00713DBF">
      <w:pPr>
        <w:spacing w:after="0" w:line="276" w:lineRule="auto"/>
        <w:ind w:left="360"/>
      </w:pPr>
    </w:p>
    <w:p w14:paraId="27EEE4A0" w14:textId="77777777" w:rsidR="00713DBF" w:rsidRDefault="00713DBF" w:rsidP="00713DBF">
      <w:pPr>
        <w:spacing w:after="0" w:line="276" w:lineRule="auto"/>
        <w:ind w:left="360"/>
      </w:pPr>
      <w:r>
        <w:t>The work of the faculty to curate content and resources within our Canvas Learning Management System in alignment with the Massachusetts curriculum frameworks is continuing on as the school is now in its second year of this system. Informed by the enactment of the curriculum in year 1, teachers have worked to strengthen the learning modules within Canvas to ensure that the standards are fully met.</w:t>
      </w:r>
    </w:p>
    <w:p w14:paraId="12C5990E" w14:textId="77777777" w:rsidR="00713DBF" w:rsidRDefault="00713DBF" w:rsidP="00713DBF">
      <w:pPr>
        <w:spacing w:after="0" w:line="276" w:lineRule="auto"/>
        <w:ind w:left="360"/>
      </w:pPr>
    </w:p>
    <w:p w14:paraId="418D7A23" w14:textId="77777777" w:rsidR="00713DBF" w:rsidRDefault="00713DBF" w:rsidP="00713DBF">
      <w:pPr>
        <w:spacing w:after="0" w:line="276" w:lineRule="auto"/>
        <w:ind w:left="360"/>
      </w:pPr>
      <w:r>
        <w:t>In its January meeting, the board of trustees has approved the expansion of the asynchronous offering.  Currently, student can access online material prepared or recorded by their teachers at any time for their review.  This model is being expanded with the addition of more structured online material well aligned with Massachusetts standards and managed by a robust learning management system to track student engagement accurately.  The school will be using Edgenuity to complete its live sessions.  GCVS has had a positive experience with Edgenuity for summer classes.  Students with records of poor engagement through live online sessions have been identified and selected for this complementary asynchronous model to improve their engagement.</w:t>
      </w:r>
    </w:p>
    <w:p w14:paraId="6B937890" w14:textId="77777777" w:rsidR="00713DBF" w:rsidRDefault="00713DBF" w:rsidP="00713DBF">
      <w:pPr>
        <w:spacing w:after="0" w:line="276" w:lineRule="auto"/>
        <w:ind w:left="360"/>
      </w:pPr>
    </w:p>
    <w:p w14:paraId="13852314" w14:textId="77777777" w:rsidR="00713DBF" w:rsidRPr="0005600D" w:rsidRDefault="00713DBF" w:rsidP="00713DBF">
      <w:pPr>
        <w:pStyle w:val="ListParagraph"/>
        <w:numPr>
          <w:ilvl w:val="0"/>
          <w:numId w:val="15"/>
        </w:numPr>
        <w:pBdr>
          <w:top w:val="nil"/>
          <w:left w:val="nil"/>
          <w:bottom w:val="nil"/>
          <w:right w:val="nil"/>
          <w:between w:val="nil"/>
        </w:pBdr>
        <w:spacing w:line="276" w:lineRule="auto"/>
        <w:rPr>
          <w:b/>
          <w:bCs/>
        </w:rPr>
      </w:pPr>
      <w:r w:rsidRPr="0005600D">
        <w:rPr>
          <w:b/>
          <w:bCs/>
        </w:rPr>
        <w:t xml:space="preserve">Access and equity. </w:t>
      </w:r>
    </w:p>
    <w:p w14:paraId="759F65FE" w14:textId="77777777" w:rsidR="00713DBF" w:rsidRDefault="00713DBF" w:rsidP="00713DBF">
      <w:pPr>
        <w:spacing w:after="0" w:line="276" w:lineRule="auto"/>
      </w:pPr>
    </w:p>
    <w:p w14:paraId="7F18B628" w14:textId="77777777" w:rsidR="00713DBF" w:rsidRDefault="00713DBF" w:rsidP="00713DBF">
      <w:pPr>
        <w:spacing w:after="0" w:line="276" w:lineRule="auto"/>
        <w:ind w:left="360"/>
      </w:pPr>
      <w:r>
        <w:t xml:space="preserve">GCVS has established a School Council, consisting of two administrators (Executive Director and Director of Teaching and Learning), three faculty representatives (one each from elementary, middle, and high school), a high school student representative, and two parents. The Council’s role is in </w:t>
      </w:r>
      <w:r>
        <w:lastRenderedPageBreak/>
        <w:t>accordance with the Education Reform Act of 1993, providing input to the school on its operations. Our SEPAC, working with our Director of Student Services, is a vibrant community of stakeholders who are providing feedback on our programming in that regard.</w:t>
      </w:r>
    </w:p>
    <w:p w14:paraId="72112A85" w14:textId="77777777" w:rsidR="00713DBF" w:rsidRDefault="00713DBF" w:rsidP="00713DBF">
      <w:pPr>
        <w:spacing w:after="0" w:line="276" w:lineRule="auto"/>
        <w:ind w:left="360"/>
      </w:pPr>
    </w:p>
    <w:p w14:paraId="17991240" w14:textId="77777777" w:rsidR="00713DBF" w:rsidRDefault="00713DBF" w:rsidP="00713DBF">
      <w:pPr>
        <w:spacing w:after="0" w:line="276" w:lineRule="auto"/>
        <w:ind w:left="360"/>
      </w:pPr>
      <w:r>
        <w:t>GCVS is responding to the growing number of students with disabilities enrolled at GCVS (currently 23%) by diversifying our program services and placement options.  We currently have students in full inclusion, partial inclusion and substantially separate options throughout the grade levels.  We have increased our assistive technology services through the acquisition of several innovative G-suite tools, such as Math formula conversions, text to speech and speech to text.  We have increased our special education staffing, hiring a .5 FTE for the high school students We have also revised our website description of the Student Services program for parents of current and prospective students.</w:t>
      </w:r>
    </w:p>
    <w:p w14:paraId="665DE44F" w14:textId="77777777" w:rsidR="00713DBF" w:rsidRDefault="00713DBF" w:rsidP="00713DBF">
      <w:pPr>
        <w:spacing w:after="0" w:line="276" w:lineRule="auto"/>
        <w:ind w:left="360"/>
      </w:pPr>
    </w:p>
    <w:p w14:paraId="3B0C9A58" w14:textId="77777777" w:rsidR="00713DBF" w:rsidRDefault="00713DBF" w:rsidP="00713DBF">
      <w:pPr>
        <w:spacing w:after="0" w:line="276" w:lineRule="auto"/>
        <w:ind w:left="360"/>
      </w:pPr>
      <w:r>
        <w:t xml:space="preserve">GCVS acknowledges that we need to strengthen our programming for ELs. We have hired two ESL teachers who are working to build curriculum content in our Canvas LMS to support EL students, working with teachers on instructional support, and providing direct services as needed. </w:t>
      </w:r>
    </w:p>
    <w:p w14:paraId="6D89EE2B" w14:textId="77777777" w:rsidR="00713DBF" w:rsidRDefault="00713DBF" w:rsidP="00713DBF">
      <w:pPr>
        <w:spacing w:after="0" w:line="276" w:lineRule="auto"/>
        <w:ind w:left="360"/>
      </w:pPr>
    </w:p>
    <w:p w14:paraId="5F82DD68" w14:textId="77777777" w:rsidR="00713DBF" w:rsidRDefault="00713DBF" w:rsidP="00713DBF">
      <w:pPr>
        <w:spacing w:after="0" w:line="276" w:lineRule="auto"/>
        <w:ind w:left="360"/>
      </w:pPr>
      <w:r>
        <w:t xml:space="preserve">We have two well-established systems for identifying students in need of intervention, whether for disabilities or language access.  We have a Student Intervention Team (SIT) which meets regularly with general ed and special ed staff, guidance counselors and family engagement coordinators, to discuss students who are struggling and to implement a tiered system of supports.  We also convene an engagement team weekly, with membership from guidance, family engagement, nursing and special ed to consider students who are struggling to maintain engagement in the virtual setting. </w:t>
      </w:r>
    </w:p>
    <w:p w14:paraId="3A74CD4D" w14:textId="77777777" w:rsidR="00713DBF" w:rsidRDefault="00713DBF" w:rsidP="00713DBF">
      <w:pPr>
        <w:spacing w:after="0" w:line="276" w:lineRule="auto"/>
        <w:ind w:left="360"/>
      </w:pPr>
    </w:p>
    <w:p w14:paraId="2DF4D9BE" w14:textId="77777777" w:rsidR="00713DBF" w:rsidRDefault="00713DBF" w:rsidP="00713DBF">
      <w:pPr>
        <w:spacing w:after="0" w:line="276" w:lineRule="auto"/>
        <w:ind w:left="360"/>
      </w:pPr>
      <w:r>
        <w:t xml:space="preserve">Further, our Canvas Learning Management system allows for Special Education and ESL teachers to create alternative assessments within the courses and push out tools (graphic organizers, rubrics, reference sheets and videos) to increase the access of students to the curriculum.  </w:t>
      </w:r>
    </w:p>
    <w:p w14:paraId="25520E8A" w14:textId="77777777" w:rsidR="00713DBF" w:rsidRDefault="00713DBF" w:rsidP="00713DBF">
      <w:pPr>
        <w:spacing w:after="0" w:line="276" w:lineRule="auto"/>
        <w:ind w:left="360"/>
      </w:pPr>
    </w:p>
    <w:p w14:paraId="580486AB" w14:textId="77777777" w:rsidR="00713DBF" w:rsidRPr="00EA4670" w:rsidRDefault="00713DBF" w:rsidP="00713DBF">
      <w:pPr>
        <w:pStyle w:val="ListParagraph"/>
        <w:numPr>
          <w:ilvl w:val="0"/>
          <w:numId w:val="15"/>
        </w:numPr>
        <w:pBdr>
          <w:top w:val="nil"/>
          <w:left w:val="nil"/>
          <w:bottom w:val="nil"/>
          <w:right w:val="nil"/>
          <w:between w:val="nil"/>
        </w:pBdr>
        <w:spacing w:line="276" w:lineRule="auto"/>
        <w:rPr>
          <w:b/>
        </w:rPr>
      </w:pPr>
      <w:r w:rsidRPr="00EA4670">
        <w:rPr>
          <w:b/>
        </w:rPr>
        <w:t>Compliance</w:t>
      </w:r>
    </w:p>
    <w:p w14:paraId="40AF3359" w14:textId="77777777" w:rsidR="00713DBF" w:rsidRDefault="00713DBF" w:rsidP="00713DBF">
      <w:pPr>
        <w:spacing w:after="0" w:line="276" w:lineRule="auto"/>
      </w:pPr>
    </w:p>
    <w:p w14:paraId="1C51C662" w14:textId="77777777" w:rsidR="00713DBF" w:rsidRDefault="00713DBF" w:rsidP="00713DBF">
      <w:pPr>
        <w:spacing w:after="0" w:line="276" w:lineRule="auto"/>
        <w:ind w:left="360"/>
        <w:rPr>
          <w:rFonts w:eastAsiaTheme="minorEastAsia"/>
        </w:rPr>
      </w:pPr>
      <w:r w:rsidRPr="124F0F4E">
        <w:rPr>
          <w:rFonts w:eastAsiaTheme="minorEastAsia"/>
        </w:rPr>
        <w:t>GCVS is currently participating in training and preparing for the tiered focused monitoring visit from the Department’s Office of Public School Monitoring during the 2019-2020 school year.</w:t>
      </w:r>
    </w:p>
    <w:p w14:paraId="08346A68" w14:textId="77777777" w:rsidR="00713DBF" w:rsidRDefault="00713DBF" w:rsidP="00713DBF">
      <w:pPr>
        <w:spacing w:after="0" w:line="276" w:lineRule="auto"/>
        <w:ind w:left="360"/>
      </w:pPr>
    </w:p>
    <w:p w14:paraId="5DE2D239" w14:textId="77777777" w:rsidR="00713DBF" w:rsidRDefault="00713DBF" w:rsidP="00713DBF">
      <w:pPr>
        <w:spacing w:after="0" w:line="276" w:lineRule="auto"/>
        <w:ind w:left="360"/>
      </w:pPr>
    </w:p>
    <w:p w14:paraId="61A7C89F" w14:textId="77777777" w:rsidR="00713DBF" w:rsidRPr="007679CB" w:rsidRDefault="00713DBF" w:rsidP="00713DBF">
      <w:pPr>
        <w:spacing w:after="0" w:line="276" w:lineRule="auto"/>
        <w:jc w:val="both"/>
        <w:rPr>
          <w:b/>
          <w:i/>
          <w:sz w:val="28"/>
          <w:szCs w:val="28"/>
        </w:rPr>
      </w:pPr>
      <w:r w:rsidRPr="007679CB">
        <w:rPr>
          <w:b/>
          <w:i/>
          <w:sz w:val="28"/>
          <w:szCs w:val="28"/>
        </w:rPr>
        <w:t>Academic and Program Success</w:t>
      </w:r>
    </w:p>
    <w:p w14:paraId="7CC85586" w14:textId="77777777" w:rsidR="00713DBF" w:rsidRDefault="00713DBF" w:rsidP="00713DBF">
      <w:pPr>
        <w:spacing w:after="0" w:line="276" w:lineRule="auto"/>
        <w:ind w:left="360"/>
      </w:pPr>
    </w:p>
    <w:p w14:paraId="2C85E6BF" w14:textId="77777777" w:rsidR="00713DBF" w:rsidRPr="0005600D" w:rsidRDefault="00713DBF" w:rsidP="00713DBF">
      <w:pPr>
        <w:pStyle w:val="ListParagraph"/>
        <w:numPr>
          <w:ilvl w:val="0"/>
          <w:numId w:val="15"/>
        </w:numPr>
        <w:pBdr>
          <w:top w:val="nil"/>
          <w:left w:val="nil"/>
          <w:bottom w:val="nil"/>
          <w:right w:val="nil"/>
          <w:between w:val="nil"/>
        </w:pBdr>
        <w:spacing w:line="276" w:lineRule="auto"/>
        <w:rPr>
          <w:b/>
          <w:bCs/>
        </w:rPr>
      </w:pPr>
      <w:r w:rsidRPr="0005600D">
        <w:rPr>
          <w:b/>
          <w:bCs/>
        </w:rPr>
        <w:t xml:space="preserve">Student performance </w:t>
      </w:r>
    </w:p>
    <w:p w14:paraId="27F20AF9" w14:textId="77777777" w:rsidR="00713DBF" w:rsidRDefault="00713DBF" w:rsidP="00713DBF">
      <w:pPr>
        <w:pStyle w:val="ListParagraph"/>
        <w:spacing w:line="276" w:lineRule="auto"/>
        <w:ind w:left="360"/>
      </w:pPr>
    </w:p>
    <w:p w14:paraId="0B9BC748" w14:textId="77777777" w:rsidR="00713DBF" w:rsidRDefault="00713DBF" w:rsidP="00713DBF">
      <w:pPr>
        <w:pStyle w:val="ListParagraph"/>
        <w:spacing w:line="276" w:lineRule="auto"/>
        <w:ind w:left="360"/>
      </w:pPr>
      <w:r>
        <w:t xml:space="preserve">GCVS conducted an analysis of the MCAS results in the fall of 2018. Issues persist with regard to overall achievement and the closing of achievement gaps in our subgroups. As the curriculum alignment process continues and as we continue to harness innovative </w:t>
      </w:r>
      <w:r>
        <w:lastRenderedPageBreak/>
        <w:t>technologies for instructional engagement, we are confident that this will help us move forward in that regard.</w:t>
      </w:r>
    </w:p>
    <w:p w14:paraId="7238B9F1" w14:textId="77777777" w:rsidR="00713DBF" w:rsidRDefault="00713DBF" w:rsidP="00713DBF">
      <w:pPr>
        <w:pStyle w:val="ListParagraph"/>
        <w:spacing w:line="276" w:lineRule="auto"/>
        <w:ind w:left="360"/>
      </w:pPr>
    </w:p>
    <w:p w14:paraId="054259E0" w14:textId="77777777" w:rsidR="00713DBF" w:rsidRDefault="00713DBF" w:rsidP="00713DBF">
      <w:pPr>
        <w:pStyle w:val="ListParagraph"/>
        <w:spacing w:line="276" w:lineRule="auto"/>
        <w:ind w:left="360"/>
      </w:pPr>
      <w:r>
        <w:t>During the process of content curation within Canvas, we found that the new curriculum, most especially mathematics, is more rigorous than the prior curriculum from our all-in-one provider. Our upper elementary teachers reported that they have had to fill skill gaps and parents have reported that the new math curriculum is more rigorous and challenging as well. We believe that it will take a couple of years for us to meet state averages for proficiency or higher, but we believe that we are on the path to realizing this goal with the understanding that our small sample size can have some impact on those numbers.</w:t>
      </w:r>
    </w:p>
    <w:p w14:paraId="5D7E9BA6" w14:textId="77777777" w:rsidR="00713DBF" w:rsidRDefault="00713DBF" w:rsidP="00713DBF">
      <w:pPr>
        <w:pStyle w:val="ListParagraph"/>
        <w:spacing w:line="276" w:lineRule="auto"/>
        <w:ind w:left="360"/>
      </w:pPr>
    </w:p>
    <w:p w14:paraId="5D260EC3" w14:textId="77777777" w:rsidR="00713DBF" w:rsidRDefault="00713DBF" w:rsidP="00713DBF">
      <w:pPr>
        <w:pStyle w:val="ListParagraph"/>
        <w:spacing w:line="276" w:lineRule="auto"/>
        <w:ind w:left="360"/>
      </w:pPr>
      <w:r>
        <w:t>Another area of impact on our student performance is student engagement. We noted anecdotally in 2018 that approximately 20% of our students and families were not fully engaged in the school and meeting our expectations for live lesson attendance and successful completion of asynchronous assignments. As a result, the school’s Accountability Plan is focused on engaging with stakeholders and, in particular, with families. The FY19 budget included funding for an extra Family Engagement Coordinator and an increase in the School Nurse from 0.8 to 1.0 FTE. An Engagement Team with a staff Team Leader was established and includes the Nurse, the 3 Family Engagement Coordinators, and the two High School Guidance Counselors who meet weekly to discuss ways to better engage with families and intervene more intensely with those who are not meeting these expectations.</w:t>
      </w:r>
    </w:p>
    <w:p w14:paraId="1811386B" w14:textId="77777777" w:rsidR="00713DBF" w:rsidRDefault="00713DBF" w:rsidP="00713DBF">
      <w:pPr>
        <w:pStyle w:val="ListParagraph"/>
        <w:spacing w:line="276" w:lineRule="auto"/>
        <w:ind w:left="360"/>
      </w:pPr>
    </w:p>
    <w:p w14:paraId="67AE11B9" w14:textId="77777777" w:rsidR="00713DBF" w:rsidRDefault="00713DBF" w:rsidP="00713DBF">
      <w:pPr>
        <w:pStyle w:val="ListParagraph"/>
        <w:spacing w:line="276" w:lineRule="auto"/>
        <w:ind w:left="360"/>
      </w:pPr>
      <w:r>
        <w:t>GCVS also purchased a plug-in for Canvas called Dropout Detective, from AspireEDU. This tool pulls data from several points within the LMS and presents them as risk factors for students. The data are pulled daily and include a trend analysis to determine risk levels and interventions needed.</w:t>
      </w:r>
    </w:p>
    <w:p w14:paraId="1BEAD088" w14:textId="77777777" w:rsidR="00713DBF" w:rsidRDefault="00713DBF" w:rsidP="00713DBF">
      <w:pPr>
        <w:pStyle w:val="ListParagraph"/>
        <w:spacing w:line="276" w:lineRule="auto"/>
        <w:ind w:left="360"/>
      </w:pPr>
    </w:p>
    <w:p w14:paraId="1A4EC195" w14:textId="77777777" w:rsidR="00713DBF" w:rsidRDefault="00713DBF" w:rsidP="00713DBF">
      <w:pPr>
        <w:pStyle w:val="ListParagraph"/>
        <w:spacing w:line="276" w:lineRule="auto"/>
        <w:ind w:left="360"/>
      </w:pPr>
      <w:r>
        <w:t>GCVS serves a unique population of students that may have very little experience with high-stakes testing in an unfamiliar environment outside the home.  We have exerted considerable effort over the years to improve participation and ensure secure testing environment at sites around the state.  Regardless, our students are still required to travel up to an hour to unfamiliar places.  This results in students testing in a setting that is dramatically different from their typical instructional environment.</w:t>
      </w:r>
    </w:p>
    <w:p w14:paraId="5A65323E" w14:textId="77777777" w:rsidR="00713DBF" w:rsidRDefault="00713DBF" w:rsidP="00713DBF">
      <w:pPr>
        <w:pStyle w:val="ListParagraph"/>
        <w:spacing w:line="276" w:lineRule="auto"/>
        <w:ind w:left="360"/>
      </w:pPr>
    </w:p>
    <w:p w14:paraId="77454871" w14:textId="77777777" w:rsidR="00713DBF" w:rsidRDefault="00713DBF" w:rsidP="00713DBF">
      <w:pPr>
        <w:pStyle w:val="ListParagraph"/>
        <w:spacing w:line="276" w:lineRule="auto"/>
        <w:ind w:left="360"/>
      </w:pPr>
      <w:r>
        <w:t xml:space="preserve">We continue to learn and refine our strategy and delivery of administering the MCAS assessment.  The administration of MCAS in so many different communities around the state and the complex logistics in terms of facilities and staffing require special consideration during budget planning. </w:t>
      </w:r>
    </w:p>
    <w:p w14:paraId="37F901AD" w14:textId="75B25E8C" w:rsidR="00A0677B" w:rsidRDefault="00A0677B">
      <w:pPr>
        <w:rPr>
          <w:rFonts w:ascii="Times New Roman" w:eastAsia="Times New Roman" w:hAnsi="Times New Roman" w:cs="Times New Roman"/>
          <w:sz w:val="24"/>
          <w:szCs w:val="24"/>
        </w:rPr>
      </w:pPr>
      <w:r>
        <w:br w:type="page"/>
      </w:r>
    </w:p>
    <w:p w14:paraId="56E20C3B" w14:textId="77777777" w:rsidR="00713DBF" w:rsidRDefault="00713DBF" w:rsidP="00713DBF">
      <w:pPr>
        <w:pStyle w:val="ListParagraph"/>
        <w:spacing w:line="276" w:lineRule="auto"/>
        <w:ind w:left="360"/>
      </w:pPr>
    </w:p>
    <w:p w14:paraId="66C20F9B" w14:textId="77777777" w:rsidR="00713DBF" w:rsidRDefault="00713DBF" w:rsidP="00713DBF">
      <w:pPr>
        <w:pStyle w:val="ListParagraph"/>
        <w:numPr>
          <w:ilvl w:val="0"/>
          <w:numId w:val="15"/>
        </w:numPr>
        <w:pBdr>
          <w:top w:val="nil"/>
          <w:left w:val="nil"/>
          <w:bottom w:val="nil"/>
          <w:right w:val="nil"/>
          <w:between w:val="nil"/>
        </w:pBdr>
        <w:spacing w:line="276" w:lineRule="auto"/>
        <w:rPr>
          <w:b/>
        </w:rPr>
      </w:pPr>
      <w:r>
        <w:rPr>
          <w:b/>
        </w:rPr>
        <w:t>Program delivery</w:t>
      </w:r>
    </w:p>
    <w:p w14:paraId="3DDD8B45" w14:textId="77777777" w:rsidR="00713DBF" w:rsidRPr="007A181F" w:rsidRDefault="00713DBF" w:rsidP="00713DBF">
      <w:pPr>
        <w:spacing w:after="0" w:line="276" w:lineRule="auto"/>
        <w:rPr>
          <w:b/>
        </w:rPr>
      </w:pPr>
    </w:p>
    <w:p w14:paraId="7734A75C" w14:textId="77777777" w:rsidR="00713DBF" w:rsidRPr="00EA4670" w:rsidRDefault="00713DBF" w:rsidP="00713DBF">
      <w:pPr>
        <w:pStyle w:val="ListParagraph"/>
        <w:numPr>
          <w:ilvl w:val="1"/>
          <w:numId w:val="15"/>
        </w:numPr>
        <w:pBdr>
          <w:top w:val="nil"/>
          <w:left w:val="nil"/>
          <w:bottom w:val="nil"/>
          <w:right w:val="nil"/>
          <w:between w:val="nil"/>
        </w:pBdr>
        <w:spacing w:line="276" w:lineRule="auto"/>
        <w:rPr>
          <w:b/>
          <w:bCs/>
        </w:rPr>
      </w:pPr>
      <w:r w:rsidRPr="5D208180">
        <w:rPr>
          <w:b/>
          <w:bCs/>
        </w:rPr>
        <w:t>Program delivery – Curriculum</w:t>
      </w:r>
    </w:p>
    <w:p w14:paraId="3A0577B2" w14:textId="77777777" w:rsidR="00713DBF" w:rsidRDefault="00713DBF" w:rsidP="00713DBF">
      <w:pPr>
        <w:pStyle w:val="ListParagraph"/>
        <w:spacing w:line="276" w:lineRule="auto"/>
        <w:ind w:left="360"/>
      </w:pPr>
    </w:p>
    <w:p w14:paraId="7ECDCA7E" w14:textId="77777777" w:rsidR="00713DBF" w:rsidRDefault="00713DBF" w:rsidP="00713DBF">
      <w:pPr>
        <w:pStyle w:val="ListParagraph"/>
        <w:spacing w:line="276" w:lineRule="auto"/>
        <w:ind w:left="360"/>
      </w:pPr>
      <w:r>
        <w:t>As the school entered into year 2 of its implementation of the Canvas LMS and curated curriculum, teachers are refining instructional units to ensure alignment with the Massachusetts Frameworks. The Senior Leadership Team continues to monitor this work along with the alignment of assessments to competencies. This provides a beginning step toward better vertical alignment as we move to a competency-based, personalized learning model.</w:t>
      </w:r>
    </w:p>
    <w:p w14:paraId="37DE3404" w14:textId="77777777" w:rsidR="00713DBF" w:rsidRDefault="00713DBF" w:rsidP="00713DBF">
      <w:pPr>
        <w:pStyle w:val="ListParagraph"/>
        <w:spacing w:line="276" w:lineRule="auto"/>
        <w:ind w:left="360"/>
      </w:pPr>
    </w:p>
    <w:p w14:paraId="627E5B30" w14:textId="77777777" w:rsidR="00713DBF" w:rsidRDefault="00713DBF" w:rsidP="00713DBF">
      <w:pPr>
        <w:pStyle w:val="ListParagraph"/>
        <w:spacing w:line="276" w:lineRule="auto"/>
        <w:ind w:left="360"/>
      </w:pPr>
      <w:r>
        <w:t xml:space="preserve">In grades K through 5, EngageNY and Core Knowledge Language Arts (CKLA) form the foundation of the curriculum.  Both of these programs are aligned to the common core.  In grades 6-12 we utilize curriculum from the Florida Virtual School.  This curriculum is aligned to the common core.  FLVS provides a tool that can specifically map Massachusetts curriculum standards to specific lessons and content within their courses.  By virtue of using an LMS such as Canvas, our teachers enhance the curriculum to ensure all Massachusetts Curriculum Frameworks are met.  </w:t>
      </w:r>
    </w:p>
    <w:p w14:paraId="247D2332" w14:textId="77777777" w:rsidR="00713DBF" w:rsidRDefault="00713DBF" w:rsidP="00713DBF">
      <w:pPr>
        <w:spacing w:after="0" w:line="276" w:lineRule="auto"/>
      </w:pPr>
    </w:p>
    <w:p w14:paraId="6FBBF813" w14:textId="77777777" w:rsidR="00713DBF" w:rsidRPr="0005600D" w:rsidRDefault="00713DBF" w:rsidP="00713DBF">
      <w:pPr>
        <w:pStyle w:val="ListParagraph"/>
        <w:numPr>
          <w:ilvl w:val="1"/>
          <w:numId w:val="15"/>
        </w:numPr>
        <w:pBdr>
          <w:top w:val="nil"/>
          <w:left w:val="nil"/>
          <w:bottom w:val="nil"/>
          <w:right w:val="nil"/>
          <w:between w:val="nil"/>
        </w:pBdr>
        <w:spacing w:line="276" w:lineRule="auto"/>
        <w:rPr>
          <w:b/>
          <w:bCs/>
        </w:rPr>
      </w:pPr>
      <w:r w:rsidRPr="0005600D">
        <w:rPr>
          <w:b/>
          <w:bCs/>
        </w:rPr>
        <w:t>Program delivery – Instruction</w:t>
      </w:r>
    </w:p>
    <w:p w14:paraId="1928D29D" w14:textId="77777777" w:rsidR="00713DBF" w:rsidRDefault="00713DBF" w:rsidP="00713DBF">
      <w:pPr>
        <w:spacing w:after="0" w:line="276" w:lineRule="auto"/>
      </w:pPr>
    </w:p>
    <w:p w14:paraId="4E247F1E" w14:textId="77777777" w:rsidR="00713DBF" w:rsidRDefault="00713DBF" w:rsidP="00713DBF">
      <w:pPr>
        <w:spacing w:after="0" w:line="276" w:lineRule="auto"/>
        <w:ind w:left="360"/>
      </w:pPr>
      <w:r>
        <w:t>In effort to ensure consistency and reduce variability in instructional practice, we recognize the need to establish clear expectations.  Some strategies we are implementing include:</w:t>
      </w:r>
    </w:p>
    <w:p w14:paraId="692D7092" w14:textId="77777777" w:rsidR="00713DBF" w:rsidRDefault="00713DBF" w:rsidP="00713DBF">
      <w:pPr>
        <w:pStyle w:val="ListParagraph"/>
        <w:numPr>
          <w:ilvl w:val="0"/>
          <w:numId w:val="13"/>
        </w:numPr>
        <w:pBdr>
          <w:top w:val="nil"/>
          <w:left w:val="nil"/>
          <w:bottom w:val="nil"/>
          <w:right w:val="nil"/>
          <w:between w:val="nil"/>
        </w:pBdr>
        <w:spacing w:line="276" w:lineRule="auto"/>
        <w:rPr>
          <w:color w:val="000000" w:themeColor="text1"/>
        </w:rPr>
      </w:pPr>
      <w:r>
        <w:t>Encouraging team goals for both student learning and professional practices.</w:t>
      </w:r>
    </w:p>
    <w:p w14:paraId="0F44869B" w14:textId="77777777" w:rsidR="00713DBF" w:rsidRDefault="00713DBF" w:rsidP="00713DBF">
      <w:pPr>
        <w:pStyle w:val="ListParagraph"/>
        <w:numPr>
          <w:ilvl w:val="0"/>
          <w:numId w:val="13"/>
        </w:numPr>
        <w:pBdr>
          <w:top w:val="nil"/>
          <w:left w:val="nil"/>
          <w:bottom w:val="nil"/>
          <w:right w:val="nil"/>
          <w:between w:val="nil"/>
        </w:pBdr>
        <w:spacing w:line="276" w:lineRule="auto"/>
        <w:rPr>
          <w:color w:val="000000" w:themeColor="text1"/>
        </w:rPr>
      </w:pPr>
      <w:r>
        <w:t xml:space="preserve"> Implementing more comprehensive and consistent mentoring</w:t>
      </w:r>
    </w:p>
    <w:p w14:paraId="52EC9B8F" w14:textId="77777777" w:rsidR="00713DBF" w:rsidRDefault="00713DBF" w:rsidP="00713DBF">
      <w:pPr>
        <w:pStyle w:val="ListParagraph"/>
        <w:numPr>
          <w:ilvl w:val="0"/>
          <w:numId w:val="13"/>
        </w:numPr>
        <w:pBdr>
          <w:top w:val="nil"/>
          <w:left w:val="nil"/>
          <w:bottom w:val="nil"/>
          <w:right w:val="nil"/>
          <w:between w:val="nil"/>
        </w:pBdr>
        <w:spacing w:line="276" w:lineRule="auto"/>
        <w:rPr>
          <w:color w:val="000000" w:themeColor="text1"/>
        </w:rPr>
      </w:pPr>
      <w:r>
        <w:t xml:space="preserve">Establishing peer review protocols.  </w:t>
      </w:r>
    </w:p>
    <w:p w14:paraId="5A18A014" w14:textId="77777777" w:rsidR="00713DBF" w:rsidRDefault="00713DBF" w:rsidP="00713DBF">
      <w:pPr>
        <w:spacing w:after="0" w:line="276" w:lineRule="auto"/>
        <w:ind w:left="360"/>
      </w:pPr>
    </w:p>
    <w:p w14:paraId="7DC20504" w14:textId="77777777" w:rsidR="00713DBF" w:rsidRDefault="00713DBF" w:rsidP="00713DBF">
      <w:pPr>
        <w:spacing w:after="0" w:line="276" w:lineRule="auto"/>
        <w:ind w:left="360"/>
      </w:pPr>
      <w:r>
        <w:t>As result of the considerable change in moving away from K12 and implementing a new Learning Management System the focus of professional development has been on gaining competency in the use of the tools to deliver instruction in the virtual environment.  Going forward, professional development is focusing more on consistency of instructional delivery and the use of technology tools to support that delivery.</w:t>
      </w:r>
    </w:p>
    <w:p w14:paraId="17475DEC" w14:textId="77777777" w:rsidR="00713DBF" w:rsidRDefault="00713DBF" w:rsidP="00713DBF">
      <w:pPr>
        <w:spacing w:after="0" w:line="276" w:lineRule="auto"/>
        <w:ind w:left="360"/>
      </w:pPr>
    </w:p>
    <w:p w14:paraId="27EAD6C4" w14:textId="77777777" w:rsidR="00713DBF" w:rsidRDefault="00713DBF" w:rsidP="00713DBF">
      <w:pPr>
        <w:spacing w:after="0" w:line="276" w:lineRule="auto"/>
        <w:ind w:left="360"/>
      </w:pPr>
      <w:r>
        <w:t>To that end, GCVS is continuing its work in the area of understanding and implementing high-impact instructional practices based on the work of John Hattie, author of several works detailing meta-analyses of 1,400 studies involving the impact of instruction of over 300 million students (</w:t>
      </w:r>
      <w:hyperlink r:id="rId38">
        <w:r w:rsidRPr="5D208180">
          <w:rPr>
            <w:rStyle w:val="Hyperlink"/>
          </w:rPr>
          <w:t>http://visiblelearningplus.com/content/250-influences-student-achievement</w:t>
        </w:r>
      </w:hyperlink>
      <w:r>
        <w:t xml:space="preserve">). A fall professional development session focused on practices that have shown to be ones with impacts that can increase student growth in learning at a rate of one year or better over a year’s worth of time. Time has been allotted at faculty meetings for follow-up on these practices.  </w:t>
      </w:r>
    </w:p>
    <w:p w14:paraId="773DE13C" w14:textId="77777777" w:rsidR="00713DBF" w:rsidRDefault="00713DBF" w:rsidP="00713DBF">
      <w:pPr>
        <w:spacing w:after="0" w:line="276" w:lineRule="auto"/>
        <w:ind w:left="360"/>
      </w:pPr>
    </w:p>
    <w:p w14:paraId="1BF6B84E" w14:textId="77777777" w:rsidR="00713DBF" w:rsidRDefault="00713DBF" w:rsidP="00713DBF">
      <w:pPr>
        <w:spacing w:after="0" w:line="276" w:lineRule="auto"/>
        <w:ind w:left="360"/>
      </w:pPr>
      <w:r>
        <w:t>The Director of Teaching and Learning and Director of Student Services are observing lessons for evidence of implementation and giving feedback to teachers on how to improve their practice.  Evaluators will establish well-calibrated evaluation criteria which will be communicated through ongoing professional development and faculty meeting time.</w:t>
      </w:r>
    </w:p>
    <w:p w14:paraId="63094567" w14:textId="77777777" w:rsidR="00713DBF" w:rsidRDefault="00713DBF" w:rsidP="00713DBF">
      <w:pPr>
        <w:spacing w:after="0" w:line="276" w:lineRule="auto"/>
        <w:ind w:left="360"/>
      </w:pPr>
    </w:p>
    <w:p w14:paraId="75B85BAD" w14:textId="77777777" w:rsidR="00713DBF" w:rsidRDefault="00713DBF" w:rsidP="00713DBF">
      <w:pPr>
        <w:spacing w:after="0" w:line="276" w:lineRule="auto"/>
        <w:ind w:left="360"/>
      </w:pPr>
    </w:p>
    <w:p w14:paraId="3CA20531" w14:textId="77777777" w:rsidR="00713DBF" w:rsidRDefault="00713DBF" w:rsidP="00713DBF">
      <w:pPr>
        <w:spacing w:after="0" w:line="276" w:lineRule="auto"/>
        <w:ind w:left="360"/>
      </w:pPr>
    </w:p>
    <w:p w14:paraId="2EAE00B1" w14:textId="77777777" w:rsidR="00713DBF" w:rsidRPr="00132935" w:rsidRDefault="00713DBF" w:rsidP="00713DBF">
      <w:pPr>
        <w:pStyle w:val="ListParagraph"/>
        <w:numPr>
          <w:ilvl w:val="1"/>
          <w:numId w:val="15"/>
        </w:numPr>
        <w:pBdr>
          <w:top w:val="nil"/>
          <w:left w:val="nil"/>
          <w:bottom w:val="nil"/>
          <w:right w:val="nil"/>
          <w:between w:val="nil"/>
        </w:pBdr>
        <w:rPr>
          <w:b/>
        </w:rPr>
      </w:pPr>
      <w:r w:rsidRPr="00132935">
        <w:rPr>
          <w:b/>
        </w:rPr>
        <w:t>Program delivery – Assessment and program evaluation</w:t>
      </w:r>
    </w:p>
    <w:p w14:paraId="645D629C" w14:textId="77777777" w:rsidR="00713DBF" w:rsidRDefault="00713DBF" w:rsidP="00713DBF">
      <w:pPr>
        <w:spacing w:after="0" w:line="240" w:lineRule="auto"/>
        <w:ind w:left="360"/>
      </w:pPr>
    </w:p>
    <w:p w14:paraId="6D9CF27B" w14:textId="77777777" w:rsidR="00713DBF" w:rsidRDefault="00713DBF" w:rsidP="00713DBF">
      <w:pPr>
        <w:ind w:left="360"/>
      </w:pPr>
      <w:r>
        <w:t>GCVS is currently using a data dashboard. Using Tableau Reader as the backbone, 4CSolutions has taken our MCAS, DIBELS, CBM, Lexia, and Benchmark Assessment System data and brought them together in one dashboard that allows for school-wide, grade-level wide, teacher-specific, and student-specific data that is easy to visualize and allows teachers and administrators to examine the data, looking for overall trends within the data, as well as drill down to individual students in order to provide systematic and individual supports.</w:t>
      </w:r>
    </w:p>
    <w:p w14:paraId="390F4388" w14:textId="77777777" w:rsidR="00713DBF" w:rsidRDefault="00713DBF" w:rsidP="00713DBF">
      <w:pPr>
        <w:ind w:left="360"/>
      </w:pPr>
      <w:r>
        <w:t>As part of our professional development work, the Director of Teaching and Learning has provided training in the use of data protocols, stemming from the DataWise project at Harvard University. Teachers are using an inquiry-based approach in their teams to analyze the data they have, what they mean, and how they can use them to improve instruction.</w:t>
      </w:r>
    </w:p>
    <w:p w14:paraId="199E9326" w14:textId="77777777" w:rsidR="00713DBF" w:rsidRDefault="00713DBF" w:rsidP="00713DBF">
      <w:pPr>
        <w:ind w:left="360"/>
      </w:pPr>
      <w:r>
        <w:t>Teachers are currently mapping course assessments to competencies within the Canvas LMS. As data are being populated, teachers can access a data dashboard within Canvas to look at trends within their classes to determine who may be ready to move on or move into more enrichment activities as well as those who will require additional support to master the content. These progress monitoring measures, coupled with benchmark data, and observations of practice will serve as a springboard to increase the examination of practices that should be changed or improved in order to increase student learning and, as a result, improve achievement levels on all data measures implemented by the school.</w:t>
      </w:r>
    </w:p>
    <w:p w14:paraId="737FCB01" w14:textId="77777777" w:rsidR="00713DBF" w:rsidRDefault="00713DBF" w:rsidP="00713DBF">
      <w:pPr>
        <w:ind w:left="360"/>
      </w:pPr>
      <w:r>
        <w:t>All teachers and staff attended their first training of the Tableau based data warehouse.  Several other live training sessions will be scheduled.  In addition, asynchronous training material will be made available to all teachers and staff for their review.  The focus is clearly shifting toward using assessment data to refine program delivery. Until a time when teachers and staff reach proficiency in the use of the data dashboard, a consultant will be engaged to generate the relevant data reports. CGVS will also be introducing training in Edwin Analytics.</w:t>
      </w:r>
    </w:p>
    <w:p w14:paraId="089BDA08" w14:textId="77777777" w:rsidR="00713DBF" w:rsidRDefault="00713DBF" w:rsidP="00713DBF">
      <w:pPr>
        <w:spacing w:after="0"/>
        <w:ind w:left="360"/>
      </w:pPr>
    </w:p>
    <w:p w14:paraId="5E081156" w14:textId="77777777" w:rsidR="00713DBF" w:rsidRPr="0005600D" w:rsidRDefault="00713DBF" w:rsidP="00713DBF">
      <w:pPr>
        <w:pStyle w:val="ListParagraph"/>
        <w:numPr>
          <w:ilvl w:val="1"/>
          <w:numId w:val="15"/>
        </w:numPr>
        <w:pBdr>
          <w:top w:val="nil"/>
          <w:left w:val="nil"/>
          <w:bottom w:val="nil"/>
          <w:right w:val="nil"/>
          <w:between w:val="nil"/>
        </w:pBdr>
        <w:spacing w:line="259" w:lineRule="auto"/>
        <w:rPr>
          <w:b/>
          <w:bCs/>
        </w:rPr>
      </w:pPr>
      <w:r w:rsidRPr="0005600D">
        <w:rPr>
          <w:b/>
          <w:bCs/>
        </w:rPr>
        <w:t>Program delivery – Diverse Learners</w:t>
      </w:r>
    </w:p>
    <w:p w14:paraId="768E056D" w14:textId="77777777" w:rsidR="00713DBF" w:rsidRDefault="00713DBF" w:rsidP="00713DBF">
      <w:pPr>
        <w:spacing w:after="0"/>
        <w:ind w:left="360"/>
      </w:pPr>
    </w:p>
    <w:p w14:paraId="41732A19" w14:textId="77777777" w:rsidR="00713DBF" w:rsidRDefault="00713DBF" w:rsidP="00713DBF">
      <w:pPr>
        <w:ind w:left="360"/>
      </w:pPr>
      <w:r>
        <w:t>GCVS recognizes that this is an area of struggle for the school that needs to be addressed. As noted in the report, the new LMS has afforded teachers expanded opportunities to support student learning who are eligible for accommodations under these plans.</w:t>
      </w:r>
      <w:r w:rsidRPr="00050716">
        <w:t xml:space="preserve"> </w:t>
      </w:r>
      <w:r>
        <w:t xml:space="preserve">The school’s Student Intervention Team (SIT) has also become an integral part of the life of the school. Processes were more clearly defined during the spring of 2017 and have been implemented with meetings taking place on an almost weekly </w:t>
      </w:r>
      <w:r>
        <w:lastRenderedPageBreak/>
        <w:t>basis. Students who are concerning to the staff are brought forward and plans made to implement interventions, which are part of a check-in process with the SIT.</w:t>
      </w:r>
    </w:p>
    <w:p w14:paraId="7A22D287" w14:textId="77777777" w:rsidR="00713DBF" w:rsidRDefault="00713DBF" w:rsidP="00713DBF">
      <w:pPr>
        <w:ind w:left="360"/>
      </w:pPr>
      <w:r>
        <w:t>We acknowledge our need to increase supports in place for our ELs, which is an area in which we need to work vigorously to ensure that our ELE program is more robust. As noted above, 2 ESL teachers have been hired and are working with the Director of Student Services and the faculty to ensure proper identification, assessment, and services delivery for our EL students.</w:t>
      </w:r>
    </w:p>
    <w:p w14:paraId="24F36FE5" w14:textId="77777777" w:rsidR="00713DBF" w:rsidRDefault="00713DBF" w:rsidP="00713DBF">
      <w:pPr>
        <w:pStyle w:val="NoSpacing"/>
        <w:ind w:left="345"/>
      </w:pPr>
      <w:r>
        <w:t>In the Fall of 2019, GCVS reviewed the Home Language Surveys of all current students. In total, 136        current and new students were identified from the HLS as having a language other than English spoken in the home.  49 students opted out.  21 students were unresponsive to our repeated outreach efforts.   8 students still to be screened.  A total of 58 students were screened at 10 sites across the Commonwealth, and 31 students qualified as EL students.  Currently, all EL students are taking the ACCESS test in locations across the State.</w:t>
      </w:r>
    </w:p>
    <w:p w14:paraId="2A185891" w14:textId="77777777" w:rsidR="00713DBF" w:rsidRDefault="00713DBF" w:rsidP="00713DBF">
      <w:pPr>
        <w:pStyle w:val="NoSpacing"/>
        <w:ind w:left="345"/>
        <w:rPr>
          <w:highlight w:val="yellow"/>
        </w:rPr>
      </w:pPr>
    </w:p>
    <w:p w14:paraId="030A8B3F" w14:textId="77777777" w:rsidR="00713DBF" w:rsidRDefault="00713DBF" w:rsidP="00713DBF">
      <w:pPr>
        <w:ind w:left="360"/>
      </w:pPr>
      <w:r>
        <w:t xml:space="preserve">Additionally, we are currently at a higher rate of students with disabilities as part of our population versus the state. As we continue to grow in this area, we have added new staff and reorganized staff responsibilities to ensure that we are doing all we can at Tier 3, including additional 1:1 supports and the establishment of some substantially separate classes for those students who need that level of support.  In addition, to support diverse during instruction we have added assistive technology tools such as G-suite TextHelp (commented upon in Access and Equity above) and have modified course content and assessments through the Canvas LMS (commented upon in Curriculum above).  </w:t>
      </w:r>
    </w:p>
    <w:p w14:paraId="468C97D3" w14:textId="77777777" w:rsidR="00713DBF" w:rsidRDefault="00713DBF" w:rsidP="00713DBF">
      <w:pPr>
        <w:spacing w:after="0"/>
        <w:ind w:left="360"/>
      </w:pPr>
    </w:p>
    <w:p w14:paraId="1AA94C61" w14:textId="77777777" w:rsidR="00713DBF" w:rsidRPr="007A181F" w:rsidRDefault="00713DBF" w:rsidP="00713DBF">
      <w:pPr>
        <w:pStyle w:val="ListParagraph"/>
        <w:numPr>
          <w:ilvl w:val="0"/>
          <w:numId w:val="15"/>
        </w:numPr>
        <w:pBdr>
          <w:top w:val="nil"/>
          <w:left w:val="nil"/>
          <w:bottom w:val="nil"/>
          <w:right w:val="nil"/>
          <w:between w:val="nil"/>
        </w:pBdr>
        <w:spacing w:after="160" w:line="259" w:lineRule="auto"/>
        <w:rPr>
          <w:b/>
        </w:rPr>
      </w:pPr>
      <w:r w:rsidRPr="007A181F">
        <w:rPr>
          <w:b/>
        </w:rPr>
        <w:t>Culture and family engagement – social emotional, and health needs and family and community engagement</w:t>
      </w:r>
    </w:p>
    <w:p w14:paraId="6BE3DDBB" w14:textId="77777777" w:rsidR="00713DBF" w:rsidRDefault="00713DBF" w:rsidP="00713DBF">
      <w:pPr>
        <w:ind w:left="360"/>
      </w:pPr>
      <w:r>
        <w:t>Goal met</w:t>
      </w:r>
    </w:p>
    <w:p w14:paraId="1FBE4D7D" w14:textId="77777777" w:rsidR="00713DBF" w:rsidRDefault="00713DBF" w:rsidP="00713DBF">
      <w:pPr>
        <w:ind w:left="360"/>
      </w:pPr>
    </w:p>
    <w:p w14:paraId="62AF864E" w14:textId="77777777" w:rsidR="00713DBF" w:rsidRPr="007679CB" w:rsidRDefault="00713DBF" w:rsidP="00713DBF">
      <w:pPr>
        <w:spacing w:after="0"/>
        <w:rPr>
          <w:b/>
          <w:i/>
          <w:sz w:val="28"/>
          <w:szCs w:val="28"/>
        </w:rPr>
      </w:pPr>
      <w:r w:rsidRPr="007679CB">
        <w:rPr>
          <w:b/>
          <w:i/>
          <w:sz w:val="28"/>
          <w:szCs w:val="28"/>
        </w:rPr>
        <w:t>Organizational Viability</w:t>
      </w:r>
    </w:p>
    <w:p w14:paraId="02C04CA2" w14:textId="77777777" w:rsidR="00713DBF" w:rsidRDefault="00713DBF" w:rsidP="00713DBF">
      <w:pPr>
        <w:spacing w:after="0"/>
        <w:rPr>
          <w:b/>
        </w:rPr>
      </w:pPr>
    </w:p>
    <w:p w14:paraId="2648A4B7" w14:textId="77777777" w:rsidR="00713DBF" w:rsidRPr="007A181F" w:rsidRDefault="00713DBF" w:rsidP="00713DBF">
      <w:pPr>
        <w:pStyle w:val="ListParagraph"/>
        <w:numPr>
          <w:ilvl w:val="0"/>
          <w:numId w:val="15"/>
        </w:numPr>
        <w:pBdr>
          <w:top w:val="nil"/>
          <w:left w:val="nil"/>
          <w:bottom w:val="nil"/>
          <w:right w:val="nil"/>
          <w:between w:val="nil"/>
        </w:pBdr>
        <w:spacing w:line="259" w:lineRule="auto"/>
        <w:rPr>
          <w:b/>
        </w:rPr>
      </w:pPr>
      <w:r w:rsidRPr="007A181F">
        <w:rPr>
          <w:b/>
        </w:rPr>
        <w:t>Capacity</w:t>
      </w:r>
    </w:p>
    <w:p w14:paraId="4BE3CD5C" w14:textId="77777777" w:rsidR="00713DBF" w:rsidRPr="007A181F" w:rsidRDefault="00713DBF" w:rsidP="00713DBF">
      <w:pPr>
        <w:spacing w:after="0"/>
        <w:rPr>
          <w:b/>
        </w:rPr>
      </w:pPr>
    </w:p>
    <w:p w14:paraId="7D4A1AD5" w14:textId="77777777" w:rsidR="00713DBF" w:rsidRPr="0005600D" w:rsidRDefault="00713DBF" w:rsidP="00713DBF">
      <w:pPr>
        <w:pStyle w:val="ListParagraph"/>
        <w:numPr>
          <w:ilvl w:val="1"/>
          <w:numId w:val="15"/>
        </w:numPr>
        <w:pBdr>
          <w:top w:val="nil"/>
          <w:left w:val="nil"/>
          <w:bottom w:val="nil"/>
          <w:right w:val="nil"/>
          <w:between w:val="nil"/>
        </w:pBdr>
        <w:spacing w:after="160" w:line="259" w:lineRule="auto"/>
        <w:rPr>
          <w:b/>
          <w:bCs/>
        </w:rPr>
      </w:pPr>
      <w:r w:rsidRPr="0005600D">
        <w:rPr>
          <w:b/>
          <w:bCs/>
        </w:rPr>
        <w:t>Capacity – School leadership</w:t>
      </w:r>
    </w:p>
    <w:p w14:paraId="1EF46A79" w14:textId="77777777" w:rsidR="00713DBF" w:rsidRDefault="00713DBF" w:rsidP="00713DBF">
      <w:pPr>
        <w:pStyle w:val="ListParagraph"/>
        <w:ind w:left="360"/>
      </w:pPr>
    </w:p>
    <w:p w14:paraId="21A558A2" w14:textId="77777777" w:rsidR="00713DBF" w:rsidRDefault="00713DBF" w:rsidP="00713DBF">
      <w:pPr>
        <w:pStyle w:val="ListParagraph"/>
        <w:ind w:left="360"/>
      </w:pPr>
      <w:r>
        <w:t>As noted in the report, the school leadership has stabilized after a year of significant turmoil. The relationship between the Board of Trustees and Executive Director has truly become a collaborative one. Taking on all the operations of the school caused us to add staff (Enrollment and Data Specialist, Administrative Assistant for Data and Business Services) and to take on the job of ensuring that our students were receiving the materials necessary to learn. This included procurement and shipment of student computers as well as additional materials requested by teachers to ensure students had the hands-on items needed to fully engage with the curriculum.</w:t>
      </w:r>
    </w:p>
    <w:p w14:paraId="5F460CED" w14:textId="77777777" w:rsidR="00713DBF" w:rsidRDefault="00713DBF" w:rsidP="00713DBF">
      <w:pPr>
        <w:pStyle w:val="ListParagraph"/>
        <w:ind w:left="360"/>
      </w:pPr>
    </w:p>
    <w:p w14:paraId="1D6AC447" w14:textId="77777777" w:rsidR="00713DBF" w:rsidRDefault="00713DBF" w:rsidP="00713DBF">
      <w:pPr>
        <w:pStyle w:val="ListParagraph"/>
        <w:ind w:left="360"/>
      </w:pPr>
      <w:r>
        <w:t>Currently the leadership team includes:</w:t>
      </w:r>
    </w:p>
    <w:p w14:paraId="23F8AC04" w14:textId="77777777" w:rsidR="00713DBF" w:rsidRDefault="00713DBF" w:rsidP="00713DBF">
      <w:pPr>
        <w:pStyle w:val="ListParagraph"/>
        <w:numPr>
          <w:ilvl w:val="0"/>
          <w:numId w:val="12"/>
        </w:numPr>
        <w:pBdr>
          <w:top w:val="nil"/>
          <w:left w:val="nil"/>
          <w:bottom w:val="nil"/>
          <w:right w:val="nil"/>
          <w:between w:val="nil"/>
        </w:pBdr>
        <w:spacing w:after="160" w:line="259" w:lineRule="auto"/>
        <w:jc w:val="both"/>
        <w:rPr>
          <w:color w:val="000000" w:themeColor="text1"/>
        </w:rPr>
      </w:pPr>
      <w:r>
        <w:lastRenderedPageBreak/>
        <w:t>Director of Student Services/Special Education – Bob Kumin is in his fifth year with the school.</w:t>
      </w:r>
    </w:p>
    <w:p w14:paraId="15EBCF3A" w14:textId="77777777" w:rsidR="00713DBF" w:rsidRDefault="00713DBF" w:rsidP="00713DBF">
      <w:pPr>
        <w:pStyle w:val="ListParagraph"/>
        <w:numPr>
          <w:ilvl w:val="0"/>
          <w:numId w:val="12"/>
        </w:numPr>
        <w:pBdr>
          <w:top w:val="nil"/>
          <w:left w:val="nil"/>
          <w:bottom w:val="nil"/>
          <w:right w:val="nil"/>
          <w:between w:val="nil"/>
        </w:pBdr>
        <w:spacing w:after="160" w:line="259" w:lineRule="auto"/>
        <w:jc w:val="both"/>
        <w:rPr>
          <w:color w:val="000000" w:themeColor="text1"/>
        </w:rPr>
      </w:pPr>
      <w:r>
        <w:t>Director of Teaching and Learning – Greg Runyan is in his third year.</w:t>
      </w:r>
    </w:p>
    <w:p w14:paraId="12799946" w14:textId="77777777" w:rsidR="00713DBF" w:rsidRDefault="00713DBF" w:rsidP="00713DBF">
      <w:pPr>
        <w:pStyle w:val="ListParagraph"/>
        <w:numPr>
          <w:ilvl w:val="0"/>
          <w:numId w:val="12"/>
        </w:numPr>
        <w:pBdr>
          <w:top w:val="nil"/>
          <w:left w:val="nil"/>
          <w:bottom w:val="nil"/>
          <w:right w:val="nil"/>
          <w:between w:val="nil"/>
        </w:pBdr>
        <w:spacing w:after="160" w:line="259" w:lineRule="auto"/>
        <w:jc w:val="both"/>
        <w:rPr>
          <w:color w:val="000000" w:themeColor="text1"/>
        </w:rPr>
      </w:pPr>
      <w:r>
        <w:t>Business Manager (contracted through TMS) – Marc Richard is in his third year.</w:t>
      </w:r>
    </w:p>
    <w:p w14:paraId="5DF9C48E" w14:textId="77777777" w:rsidR="00713DBF" w:rsidRDefault="00713DBF" w:rsidP="00713DBF">
      <w:pPr>
        <w:pStyle w:val="ListParagraph"/>
        <w:numPr>
          <w:ilvl w:val="0"/>
          <w:numId w:val="12"/>
        </w:numPr>
        <w:pBdr>
          <w:top w:val="nil"/>
          <w:left w:val="nil"/>
          <w:bottom w:val="nil"/>
          <w:right w:val="nil"/>
          <w:between w:val="nil"/>
        </w:pBdr>
        <w:spacing w:after="160" w:line="259" w:lineRule="auto"/>
        <w:jc w:val="both"/>
        <w:rPr>
          <w:color w:val="000000" w:themeColor="text1"/>
        </w:rPr>
      </w:pPr>
      <w:r>
        <w:t xml:space="preserve">Executive Director – Dr. Salah Khelfaoui is in his first year. </w:t>
      </w:r>
    </w:p>
    <w:p w14:paraId="51F66948" w14:textId="77777777" w:rsidR="00713DBF" w:rsidRDefault="00713DBF" w:rsidP="00713DBF">
      <w:pPr>
        <w:pStyle w:val="ListParagraph"/>
        <w:ind w:left="360"/>
      </w:pPr>
    </w:p>
    <w:p w14:paraId="7531C5FF" w14:textId="77777777" w:rsidR="00713DBF" w:rsidRDefault="00713DBF" w:rsidP="00713DBF">
      <w:pPr>
        <w:pStyle w:val="ListParagraph"/>
        <w:ind w:left="360"/>
      </w:pPr>
      <w:r>
        <w:t>In the summer of 2018, Dr. Judith Houle announced her intent to retire from public school administration by the end of the calendar year. By then, Dr. Houle had been with the school for two years, first as the Interim Executor Director and then as the permanent Director.  The Board of Trustees hired Dr. Salah Khelfaoui as Interim Executive Director for the remainder of the 2018-19 school year, as they await the ESE’s decision on the renewal of the school’s certificate. Dr. Houle has been retained as a consultant to Dr. Khelfaoui and the school to ensure a seamless transition and positive trajectory moving forward. At its next meeting on February 11, the Board of Trustees will decide on how to proceed for a permanent executive Director conditional on the outcome of its certificate renewal decision.</w:t>
      </w:r>
    </w:p>
    <w:p w14:paraId="1185B57C" w14:textId="77777777" w:rsidR="00713DBF" w:rsidRDefault="00713DBF" w:rsidP="00713DBF">
      <w:pPr>
        <w:pStyle w:val="ListParagraph"/>
        <w:ind w:left="360"/>
      </w:pPr>
    </w:p>
    <w:p w14:paraId="5190149C" w14:textId="77777777" w:rsidR="00713DBF" w:rsidRDefault="00713DBF" w:rsidP="00713DBF">
      <w:pPr>
        <w:pStyle w:val="ListParagraph"/>
        <w:ind w:left="360"/>
      </w:pPr>
      <w:r>
        <w:t>As a part of our restructuring, several avenues have been put in place to share decisions among stakeholders. As noted in the report, these include our Senior Leadership Team (administrators), Instructional Leadership Team (administrators and Team Leaders), and our School Council. In addition to the Board of Trustees, information is shared across these groups and decisions made at the appropriate level with feedback from all stakeholder groups. Weekly team meetings and monthly faculty meetings ensure that open dialogue remains in place.</w:t>
      </w:r>
    </w:p>
    <w:p w14:paraId="1F739837" w14:textId="77777777" w:rsidR="00713DBF" w:rsidRDefault="00713DBF" w:rsidP="00713DBF">
      <w:pPr>
        <w:pStyle w:val="ListParagraph"/>
        <w:ind w:left="360"/>
      </w:pPr>
    </w:p>
    <w:p w14:paraId="30A32CE7" w14:textId="77777777" w:rsidR="00713DBF" w:rsidRDefault="00713DBF" w:rsidP="00713DBF">
      <w:pPr>
        <w:pStyle w:val="ListParagraph"/>
        <w:ind w:left="360"/>
      </w:pPr>
      <w:r>
        <w:t>Additionally, GCVS has a School Council made up of a parent, community, student, teacher representatives in addition to the Director of Teaching and Learning and the Executive Director.  The School Council meets to inform and advise school leadership on initiatives within the school.</w:t>
      </w:r>
    </w:p>
    <w:p w14:paraId="7EFE7939" w14:textId="77777777" w:rsidR="00713DBF" w:rsidRDefault="00713DBF" w:rsidP="00713DBF">
      <w:pPr>
        <w:pStyle w:val="ListParagraph"/>
        <w:ind w:left="360"/>
      </w:pPr>
    </w:p>
    <w:p w14:paraId="037D81B6" w14:textId="77777777" w:rsidR="00713DBF" w:rsidRPr="007679CB" w:rsidRDefault="00713DBF" w:rsidP="00713DBF">
      <w:pPr>
        <w:pStyle w:val="ListParagraph"/>
        <w:numPr>
          <w:ilvl w:val="1"/>
          <w:numId w:val="15"/>
        </w:numPr>
        <w:pBdr>
          <w:top w:val="nil"/>
          <w:left w:val="nil"/>
          <w:bottom w:val="nil"/>
          <w:right w:val="nil"/>
          <w:between w:val="nil"/>
        </w:pBdr>
        <w:spacing w:line="259" w:lineRule="auto"/>
        <w:rPr>
          <w:b/>
          <w:bCs/>
        </w:rPr>
      </w:pPr>
      <w:r w:rsidRPr="007679CB">
        <w:rPr>
          <w:b/>
          <w:bCs/>
        </w:rPr>
        <w:t>Capacity – Professional climate</w:t>
      </w:r>
    </w:p>
    <w:p w14:paraId="00E5DC4B" w14:textId="77777777" w:rsidR="00713DBF" w:rsidRDefault="00713DBF" w:rsidP="00713DBF">
      <w:pPr>
        <w:spacing w:after="0"/>
        <w:rPr>
          <w:b/>
        </w:rPr>
      </w:pPr>
    </w:p>
    <w:p w14:paraId="0D40CD11" w14:textId="77777777" w:rsidR="00713DBF" w:rsidRDefault="00713DBF" w:rsidP="00713DBF">
      <w:pPr>
        <w:ind w:left="288"/>
      </w:pPr>
      <w:r>
        <w:t>As noted above, the organizational structure at GCVS is designed to bring the whole school together on a more frequent basis to address the issues that need attention. A key component of these gatherings at all levels is to increase the discourse around curriculum, instruction, assessment, and engagement in a problem-solving model. As team time is becoming more aligned with the principles of Professional Learning Communities (PLCs), three driving forces, adapted from the work of Chris Sturgis, have become the overarching focus of these gatherings:</w:t>
      </w:r>
    </w:p>
    <w:p w14:paraId="0A07B1EA" w14:textId="77777777" w:rsidR="00713DBF" w:rsidRDefault="00713DBF" w:rsidP="00713DBF">
      <w:pPr>
        <w:pStyle w:val="ListParagraph"/>
        <w:numPr>
          <w:ilvl w:val="1"/>
          <w:numId w:val="16"/>
        </w:numPr>
        <w:pBdr>
          <w:top w:val="nil"/>
          <w:left w:val="nil"/>
          <w:bottom w:val="nil"/>
          <w:right w:val="nil"/>
          <w:between w:val="nil"/>
        </w:pBdr>
        <w:spacing w:after="160" w:line="259" w:lineRule="auto"/>
      </w:pPr>
      <w:r>
        <w:t>We accept learning as the fundamental purpose of our school and therefore are willing to examine all practices in light of their impact on learning.</w:t>
      </w:r>
    </w:p>
    <w:p w14:paraId="6441077B" w14:textId="77777777" w:rsidR="00713DBF" w:rsidRDefault="00713DBF" w:rsidP="00713DBF">
      <w:pPr>
        <w:pStyle w:val="ListParagraph"/>
        <w:numPr>
          <w:ilvl w:val="1"/>
          <w:numId w:val="16"/>
        </w:numPr>
        <w:pBdr>
          <w:top w:val="nil"/>
          <w:left w:val="nil"/>
          <w:bottom w:val="nil"/>
          <w:right w:val="nil"/>
          <w:between w:val="nil"/>
        </w:pBdr>
        <w:spacing w:after="160" w:line="259" w:lineRule="auto"/>
      </w:pPr>
      <w:r>
        <w:t>We are committed to working together to achieve our collective purpose.  We cultivate a collaborative culture through the development of high-performing teams.</w:t>
      </w:r>
    </w:p>
    <w:p w14:paraId="2DC8D4FC" w14:textId="77777777" w:rsidR="00713DBF" w:rsidRDefault="00713DBF" w:rsidP="00713DBF">
      <w:pPr>
        <w:pStyle w:val="ListParagraph"/>
        <w:numPr>
          <w:ilvl w:val="1"/>
          <w:numId w:val="16"/>
        </w:numPr>
        <w:pBdr>
          <w:top w:val="nil"/>
          <w:left w:val="nil"/>
          <w:bottom w:val="nil"/>
          <w:right w:val="nil"/>
          <w:between w:val="nil"/>
        </w:pBdr>
        <w:spacing w:after="160" w:line="259" w:lineRule="auto"/>
      </w:pPr>
      <w:r>
        <w:t>We assess our effectiveness on the basis of results rather than intentions.  Individuals, teams, and schools seek relevant data and information and use that information to promote continuous improvement.</w:t>
      </w:r>
    </w:p>
    <w:p w14:paraId="0C9F9ADF" w14:textId="77777777" w:rsidR="00713DBF" w:rsidRDefault="00713DBF" w:rsidP="00713DBF">
      <w:pPr>
        <w:ind w:left="360"/>
      </w:pPr>
      <w:r w:rsidRPr="5D208180">
        <w:lastRenderedPageBreak/>
        <w:t xml:space="preserve">Throughout the 2018-2019 school year, the number of professional development days was increased to 9 days.  In addition, formal professional development is offered to teachers and staff when a new tool is introduced.  </w:t>
      </w:r>
    </w:p>
    <w:p w14:paraId="62050FE3" w14:textId="77777777" w:rsidR="00713DBF" w:rsidRDefault="00713DBF" w:rsidP="00713DBF">
      <w:pPr>
        <w:spacing w:after="0"/>
        <w:ind w:left="360"/>
      </w:pPr>
      <w:r w:rsidRPr="5D208180">
        <w:t xml:space="preserve">During the current three-year certificate term, teacher and staff turnover has been low.  Over the three years there was a turnover of only 6 teachers.  In the first year, one teacher left.  In the second year, following the transition away from K12, four teachers left.  In the current year, one teacher has left.  During certificate term, the average number of teachers and staff is approximately 45.  </w:t>
      </w:r>
    </w:p>
    <w:p w14:paraId="773F5E1D" w14:textId="77777777" w:rsidR="00713DBF" w:rsidRDefault="00713DBF" w:rsidP="00713DBF">
      <w:pPr>
        <w:pStyle w:val="ListParagraph"/>
        <w:ind w:left="1080"/>
      </w:pPr>
    </w:p>
    <w:p w14:paraId="550A78E4" w14:textId="77777777" w:rsidR="00713DBF" w:rsidRPr="007A181F" w:rsidRDefault="00713DBF" w:rsidP="00713DBF">
      <w:pPr>
        <w:pStyle w:val="ListParagraph"/>
        <w:numPr>
          <w:ilvl w:val="0"/>
          <w:numId w:val="15"/>
        </w:numPr>
        <w:pBdr>
          <w:top w:val="nil"/>
          <w:left w:val="nil"/>
          <w:bottom w:val="nil"/>
          <w:right w:val="nil"/>
          <w:between w:val="nil"/>
        </w:pBdr>
        <w:spacing w:after="160" w:line="259" w:lineRule="auto"/>
        <w:rPr>
          <w:b/>
        </w:rPr>
      </w:pPr>
      <w:r w:rsidRPr="007A181F">
        <w:rPr>
          <w:b/>
        </w:rPr>
        <w:t>Governance</w:t>
      </w:r>
    </w:p>
    <w:p w14:paraId="0DCCB47F" w14:textId="77777777" w:rsidR="00713DBF" w:rsidRDefault="00713DBF" w:rsidP="00713DBF">
      <w:pPr>
        <w:spacing w:after="0"/>
        <w:ind w:left="360"/>
      </w:pPr>
      <w:r>
        <w:t>Goal met</w:t>
      </w:r>
    </w:p>
    <w:p w14:paraId="013534AC" w14:textId="77777777" w:rsidR="00713DBF" w:rsidRDefault="00713DBF" w:rsidP="00713DBF">
      <w:pPr>
        <w:spacing w:after="0"/>
        <w:ind w:left="360"/>
      </w:pPr>
    </w:p>
    <w:p w14:paraId="7132575D" w14:textId="77777777" w:rsidR="00713DBF" w:rsidRDefault="00713DBF" w:rsidP="00713DBF">
      <w:pPr>
        <w:spacing w:after="0"/>
        <w:ind w:left="360"/>
      </w:pPr>
    </w:p>
    <w:p w14:paraId="334E836C" w14:textId="77777777" w:rsidR="00713DBF" w:rsidRDefault="00713DBF" w:rsidP="00713DBF">
      <w:pPr>
        <w:spacing w:after="0"/>
        <w:ind w:left="360"/>
      </w:pPr>
    </w:p>
    <w:p w14:paraId="6614962E" w14:textId="77777777" w:rsidR="00713DBF" w:rsidRPr="007A181F" w:rsidRDefault="00713DBF" w:rsidP="00713DBF">
      <w:pPr>
        <w:pStyle w:val="ListParagraph"/>
        <w:numPr>
          <w:ilvl w:val="0"/>
          <w:numId w:val="15"/>
        </w:numPr>
        <w:pBdr>
          <w:top w:val="nil"/>
          <w:left w:val="nil"/>
          <w:bottom w:val="nil"/>
          <w:right w:val="nil"/>
          <w:between w:val="nil"/>
        </w:pBdr>
        <w:spacing w:after="160" w:line="259" w:lineRule="auto"/>
        <w:rPr>
          <w:b/>
        </w:rPr>
      </w:pPr>
      <w:r w:rsidRPr="007A181F">
        <w:rPr>
          <w:b/>
        </w:rPr>
        <w:t>Finance</w:t>
      </w:r>
    </w:p>
    <w:p w14:paraId="3ED25BA5" w14:textId="77777777" w:rsidR="00713DBF" w:rsidRDefault="00713DBF" w:rsidP="00713DBF">
      <w:pPr>
        <w:spacing w:after="0"/>
        <w:ind w:left="360"/>
      </w:pPr>
      <w:r>
        <w:t>Goal met</w:t>
      </w:r>
    </w:p>
    <w:p w14:paraId="2712A93A" w14:textId="77777777" w:rsidR="00713DBF" w:rsidRDefault="00713DBF" w:rsidP="00713DBF">
      <w:pPr>
        <w:spacing w:after="0"/>
      </w:pPr>
    </w:p>
    <w:p w14:paraId="11F2D936" w14:textId="77777777" w:rsidR="00713DBF" w:rsidRDefault="00713DBF" w:rsidP="00713DBF">
      <w:pPr>
        <w:spacing w:after="0"/>
        <w:ind w:left="360"/>
      </w:pPr>
    </w:p>
    <w:p w14:paraId="2C839681" w14:textId="77777777" w:rsidR="00713DBF" w:rsidRPr="007679CB" w:rsidRDefault="00713DBF" w:rsidP="00713DBF">
      <w:pPr>
        <w:spacing w:after="0"/>
        <w:rPr>
          <w:b/>
          <w:sz w:val="28"/>
          <w:szCs w:val="28"/>
        </w:rPr>
      </w:pPr>
      <w:r w:rsidRPr="007679CB">
        <w:rPr>
          <w:b/>
          <w:sz w:val="28"/>
          <w:szCs w:val="28"/>
        </w:rPr>
        <w:t>Summary</w:t>
      </w:r>
    </w:p>
    <w:p w14:paraId="4F319AF2" w14:textId="77777777" w:rsidR="00713DBF" w:rsidRDefault="00713DBF" w:rsidP="00713DBF">
      <w:pPr>
        <w:spacing w:after="0"/>
      </w:pPr>
    </w:p>
    <w:p w14:paraId="3D1205B7" w14:textId="77777777" w:rsidR="00713DBF" w:rsidRDefault="00713DBF" w:rsidP="00713DBF">
      <w:pPr>
        <w:spacing w:after="0"/>
        <w:ind w:left="360"/>
      </w:pPr>
      <w:r>
        <w:t>This school year has proven to be an extraordinary one for GCVS. The process of redefining who we are and how we deliver a quality online educational program to our students has been arduous, iterative, and rewarding. We are grateful to the members of the site visit team for their thorough, thoughtful review and feedback. This report has provided us with clear guidance on the steps we need to take, moving forward.</w:t>
      </w:r>
    </w:p>
    <w:p w14:paraId="7772021D" w14:textId="77777777" w:rsidR="00713DBF" w:rsidRDefault="00713DBF" w:rsidP="00713DBF">
      <w:pPr>
        <w:spacing w:after="0"/>
        <w:ind w:left="360"/>
      </w:pPr>
    </w:p>
    <w:p w14:paraId="6BC7FB0F" w14:textId="77777777" w:rsidR="00713DBF" w:rsidRDefault="00713DBF" w:rsidP="00713DBF">
      <w:pPr>
        <w:spacing w:after="0"/>
        <w:ind w:left="360"/>
      </w:pPr>
      <w:r>
        <w:t>We would also like to take this opportunity to thank Interim Commissioner Wulfson, Commissioner Riley, and the members of the Board of Elementary and Secondary Education for your continued support of online education for students who are in need of this alternative, most especially for the increase in funding that will help us further strengthen the school and our work. We look forward to our continued partnership with DESE in this endeavor.</w:t>
      </w:r>
    </w:p>
    <w:p w14:paraId="71F75745" w14:textId="77777777" w:rsidR="00713DBF" w:rsidRDefault="00713DBF" w:rsidP="00713DBF">
      <w:r>
        <w:br w:type="page"/>
      </w:r>
    </w:p>
    <w:p w14:paraId="38DBF6C4" w14:textId="77777777" w:rsidR="00713DBF" w:rsidRPr="007679CB" w:rsidRDefault="00713DBF" w:rsidP="00713DBF">
      <w:pPr>
        <w:spacing w:after="0"/>
        <w:rPr>
          <w:b/>
          <w:sz w:val="28"/>
          <w:szCs w:val="28"/>
        </w:rPr>
      </w:pPr>
      <w:r w:rsidRPr="007679CB">
        <w:rPr>
          <w:b/>
          <w:sz w:val="28"/>
          <w:szCs w:val="28"/>
        </w:rPr>
        <w:lastRenderedPageBreak/>
        <w:t>Response to assessment of GCVS Accountability Plan Goals for 2017-19</w:t>
      </w:r>
    </w:p>
    <w:p w14:paraId="69968B0D" w14:textId="77777777" w:rsidR="00713DBF" w:rsidRDefault="00713DBF" w:rsidP="00713DBF">
      <w:pPr>
        <w:spacing w:after="0"/>
        <w:ind w:left="360"/>
        <w:rPr>
          <w:b/>
        </w:rPr>
      </w:pPr>
    </w:p>
    <w:p w14:paraId="4F61675C" w14:textId="77777777" w:rsidR="00713DBF" w:rsidRDefault="00713DBF" w:rsidP="00713DBF">
      <w:pPr>
        <w:spacing w:after="0"/>
      </w:pPr>
      <w:r>
        <w:t>We appreciate the feedback received on the progress of GCVS in achieving the goals of its accountability plan. However, we feel some further explanation of our progress is necessary. While the plan was written to cover the last 2+ years of the school’s certificate, the process of approvals was such that the plan has been fully approved for less than a year at this point. To that end, we wish to clarify some areas that were deemed as not met below. We also see this plan as one that is aimed at June 2019, therefore, many of the items deemed not met are actually in progress with our attention focused on assessing their status in June 2019.</w:t>
      </w:r>
    </w:p>
    <w:p w14:paraId="66C71501" w14:textId="77777777" w:rsidR="00713DBF" w:rsidRDefault="00713DBF" w:rsidP="00713DBF">
      <w:pPr>
        <w:spacing w:after="0"/>
        <w:ind w:left="360"/>
      </w:pPr>
    </w:p>
    <w:p w14:paraId="7E7DA65E" w14:textId="77777777" w:rsidR="00713DBF" w:rsidRPr="00EC3E3B" w:rsidRDefault="00713DBF" w:rsidP="00713DBF">
      <w:pPr>
        <w:rPr>
          <w:rFonts w:cstheme="minorHAnsi"/>
        </w:rPr>
      </w:pPr>
      <w:r w:rsidRPr="00EC3E3B">
        <w:rPr>
          <w:rFonts w:cstheme="minorHAnsi"/>
          <w:b/>
          <w:i/>
        </w:rPr>
        <w:t>Accountability Goal #1</w:t>
      </w:r>
      <w:r w:rsidRPr="00EC3E3B">
        <w:rPr>
          <w:rFonts w:cstheme="minorHAnsi"/>
          <w:b/>
        </w:rPr>
        <w:t>:</w:t>
      </w:r>
      <w:r w:rsidRPr="00EC3E3B">
        <w:rPr>
          <w:rFonts w:cstheme="minorHAnsi"/>
        </w:rPr>
        <w:t xml:space="preserve"> Ensure that the GCVS written and enacted curriculum align to the standards of the Massachusetts Department of Elementary and Secondary Education curriculum frameworks.</w:t>
      </w:r>
    </w:p>
    <w:p w14:paraId="356470A4" w14:textId="77777777" w:rsidR="00713DBF" w:rsidRPr="00EC3E3B" w:rsidRDefault="00713DBF" w:rsidP="00713DBF">
      <w:r w:rsidRPr="00EC3E3B">
        <w:rPr>
          <w:b/>
          <w:i/>
        </w:rPr>
        <w:t>Rationale</w:t>
      </w:r>
      <w:r w:rsidRPr="00EC3E3B">
        <w:t>: A move to a new learning management system and curriculum curation has changed the accountability from a pre-packaged vendor to GCVS. As a result, GCVS is responsible for ensuring that both the written and enacted curriculum align to the frameworks, with the target of ensuring mastery of competencies within said frameworks.</w:t>
      </w:r>
    </w:p>
    <w:p w14:paraId="69420D3B" w14:textId="77777777" w:rsidR="00713DBF" w:rsidRPr="00EC3E3B" w:rsidRDefault="00713DBF" w:rsidP="00713DBF">
      <w:pPr>
        <w:spacing w:before="9"/>
        <w:rPr>
          <w:rFonts w:eastAsia="Calibri" w:cstheme="minorHAnsi"/>
        </w:rPr>
      </w:pPr>
    </w:p>
    <w:tbl>
      <w:tblPr>
        <w:tblW w:w="5000" w:type="pct"/>
        <w:tblCellMar>
          <w:left w:w="0" w:type="dxa"/>
          <w:right w:w="0" w:type="dxa"/>
        </w:tblCellMar>
        <w:tblLook w:val="01E0" w:firstRow="1" w:lastRow="1" w:firstColumn="1" w:lastColumn="1" w:noHBand="0" w:noVBand="0"/>
      </w:tblPr>
      <w:tblGrid>
        <w:gridCol w:w="4357"/>
        <w:gridCol w:w="1458"/>
        <w:gridCol w:w="3625"/>
      </w:tblGrid>
      <w:tr w:rsidR="00713DBF" w:rsidRPr="00A27A5E" w14:paraId="7C4EA859" w14:textId="77777777" w:rsidTr="00713DBF">
        <w:trPr>
          <w:trHeight w:val="20"/>
        </w:trPr>
        <w:tc>
          <w:tcPr>
            <w:tcW w:w="230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1F1"/>
            <w:vAlign w:val="center"/>
          </w:tcPr>
          <w:p w14:paraId="26027F7B" w14:textId="77777777" w:rsidR="00713DBF" w:rsidRPr="00A27A5E" w:rsidRDefault="00713DBF" w:rsidP="00713DBF">
            <w:pPr>
              <w:pStyle w:val="TableParagraph"/>
              <w:spacing w:before="60" w:after="60"/>
              <w:ind w:left="103"/>
              <w:rPr>
                <w:rFonts w:eastAsia="Calibri" w:cs="Calibri"/>
              </w:rPr>
            </w:pPr>
            <w:r w:rsidRPr="00A27A5E">
              <w:rPr>
                <w:b/>
              </w:rPr>
              <w:t>Annual</w:t>
            </w:r>
            <w:r w:rsidRPr="00A27A5E">
              <w:rPr>
                <w:b/>
                <w:spacing w:val="-9"/>
              </w:rPr>
              <w:t xml:space="preserve"> </w:t>
            </w:r>
            <w:r w:rsidRPr="00A27A5E">
              <w:rPr>
                <w:b/>
              </w:rPr>
              <w:t>Goals</w:t>
            </w:r>
          </w:p>
        </w:tc>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1F1"/>
            <w:vAlign w:val="center"/>
          </w:tcPr>
          <w:p w14:paraId="48E14C81" w14:textId="77777777" w:rsidR="00713DBF" w:rsidRPr="00A27A5E" w:rsidRDefault="00713DBF" w:rsidP="00713DBF">
            <w:pPr>
              <w:pStyle w:val="TableParagraph"/>
              <w:spacing w:before="60" w:after="60"/>
              <w:ind w:left="103"/>
              <w:rPr>
                <w:rFonts w:eastAsia="Calibri" w:cs="Calibri"/>
              </w:rPr>
            </w:pPr>
            <w:r w:rsidRPr="00A27A5E">
              <w:rPr>
                <w:b/>
              </w:rPr>
              <w:t>2017-18</w:t>
            </w:r>
          </w:p>
        </w:tc>
        <w:tc>
          <w:tcPr>
            <w:tcW w:w="19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1F1"/>
            <w:vAlign w:val="center"/>
          </w:tcPr>
          <w:p w14:paraId="0640BAE5" w14:textId="77777777" w:rsidR="00713DBF" w:rsidRPr="00A27A5E" w:rsidRDefault="00713DBF" w:rsidP="00713DBF">
            <w:pPr>
              <w:pStyle w:val="TableParagraph"/>
              <w:spacing w:before="60" w:after="60"/>
              <w:ind w:left="103"/>
              <w:rPr>
                <w:rFonts w:eastAsia="Calibri" w:cs="Calibri"/>
              </w:rPr>
            </w:pPr>
            <w:r w:rsidRPr="00A27A5E">
              <w:rPr>
                <w:b/>
              </w:rPr>
              <w:t>Evidence</w:t>
            </w:r>
          </w:p>
        </w:tc>
      </w:tr>
      <w:tr w:rsidR="00713DBF" w:rsidRPr="00A27A5E" w14:paraId="2CA81D7C" w14:textId="77777777" w:rsidTr="00713DBF">
        <w:trPr>
          <w:trHeight w:val="20"/>
        </w:trPr>
        <w:tc>
          <w:tcPr>
            <w:tcW w:w="23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D5145" w14:textId="77777777" w:rsidR="00713DBF" w:rsidRDefault="00713DBF" w:rsidP="00713DBF">
            <w:pPr>
              <w:spacing w:after="120"/>
              <w:ind w:left="418"/>
              <w:rPr>
                <w:rFonts w:cstheme="minorHAnsi"/>
              </w:rPr>
            </w:pPr>
            <w:r w:rsidRPr="00A27A5E">
              <w:rPr>
                <w:rFonts w:cstheme="minorHAnsi"/>
              </w:rPr>
              <w:t>1.a. Develop curriculum modules in line with Massachusetts frameworks.</w:t>
            </w:r>
          </w:p>
          <w:p w14:paraId="5E43B67B" w14:textId="77777777" w:rsidR="00713DBF" w:rsidRPr="00A27A5E" w:rsidRDefault="00713DBF" w:rsidP="00713DBF">
            <w:pPr>
              <w:spacing w:after="120"/>
              <w:ind w:left="418"/>
              <w:rPr>
                <w:rFonts w:cstheme="minorHAnsi"/>
              </w:rPr>
            </w:pPr>
          </w:p>
          <w:p w14:paraId="66BC749B" w14:textId="77777777" w:rsidR="00713DBF" w:rsidRPr="00A27A5E" w:rsidRDefault="00713DBF" w:rsidP="00713DBF">
            <w:pPr>
              <w:pStyle w:val="TableParagraph"/>
              <w:tabs>
                <w:tab w:val="left" w:pos="464"/>
              </w:tabs>
              <w:spacing w:before="80"/>
              <w:ind w:left="463"/>
              <w:rPr>
                <w:rFonts w:eastAsia="Calibri" w:cstheme="minorHAnsi"/>
              </w:rPr>
            </w:pPr>
            <w:r w:rsidRPr="00A27A5E">
              <w:rPr>
                <w:rFonts w:cstheme="minorHAnsi"/>
              </w:rPr>
              <w:t>1.b. Review curriculum modules for adherence to curriculum frameworks and give feedback to teachers for areas of improvement.</w:t>
            </w:r>
          </w:p>
        </w:tc>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25C09" w14:textId="77777777" w:rsidR="00713DBF" w:rsidRPr="00A27A5E" w:rsidRDefault="00713DBF" w:rsidP="00713DBF">
            <w:pPr>
              <w:pStyle w:val="TableParagraph"/>
              <w:tabs>
                <w:tab w:val="left" w:pos="382"/>
              </w:tabs>
              <w:spacing w:before="53"/>
              <w:rPr>
                <w:rFonts w:eastAsia="Calibri" w:cstheme="minorHAnsi"/>
              </w:rPr>
            </w:pPr>
            <w:r w:rsidRPr="00A27A5E">
              <w:rPr>
                <w:rFonts w:eastAsia="Calibri" w:cstheme="minorHAnsi"/>
              </w:rPr>
              <w:t>1a. Met</w:t>
            </w:r>
          </w:p>
          <w:p w14:paraId="2F21BD88" w14:textId="77777777" w:rsidR="00713DBF" w:rsidRPr="00A27A5E" w:rsidRDefault="00713DBF" w:rsidP="00713DBF">
            <w:pPr>
              <w:pStyle w:val="TableParagraph"/>
              <w:tabs>
                <w:tab w:val="left" w:pos="382"/>
              </w:tabs>
              <w:spacing w:before="53"/>
              <w:rPr>
                <w:rFonts w:eastAsia="Calibri" w:cstheme="minorHAnsi"/>
              </w:rPr>
            </w:pPr>
          </w:p>
          <w:p w14:paraId="3C70D257" w14:textId="77777777" w:rsidR="00713DBF" w:rsidRPr="00A27A5E" w:rsidRDefault="00713DBF" w:rsidP="00713DBF">
            <w:pPr>
              <w:pStyle w:val="TableParagraph"/>
              <w:tabs>
                <w:tab w:val="left" w:pos="382"/>
              </w:tabs>
              <w:spacing w:before="53"/>
              <w:rPr>
                <w:rFonts w:eastAsia="Calibri" w:cstheme="minorHAnsi"/>
              </w:rPr>
            </w:pPr>
          </w:p>
          <w:p w14:paraId="4F421578" w14:textId="77777777" w:rsidR="00713DBF" w:rsidRPr="00A27A5E" w:rsidRDefault="00713DBF" w:rsidP="00713DBF">
            <w:pPr>
              <w:pStyle w:val="TableParagraph"/>
              <w:tabs>
                <w:tab w:val="left" w:pos="382"/>
              </w:tabs>
              <w:spacing w:before="53"/>
              <w:rPr>
                <w:rFonts w:eastAsia="Calibri" w:cstheme="minorHAnsi"/>
              </w:rPr>
            </w:pPr>
            <w:r w:rsidRPr="00A27A5E">
              <w:rPr>
                <w:rFonts w:eastAsia="Calibri" w:cstheme="minorHAnsi"/>
              </w:rPr>
              <w:t>1b. Not Met</w:t>
            </w:r>
          </w:p>
          <w:p w14:paraId="353E6979" w14:textId="77777777" w:rsidR="00713DBF" w:rsidRPr="00A27A5E" w:rsidRDefault="00713DBF" w:rsidP="00713DBF">
            <w:pPr>
              <w:pStyle w:val="TableParagraph"/>
              <w:tabs>
                <w:tab w:val="left" w:pos="382"/>
              </w:tabs>
              <w:spacing w:before="51" w:line="244" w:lineRule="auto"/>
              <w:ind w:left="103" w:right="402"/>
              <w:rPr>
                <w:rFonts w:eastAsia="Calibri" w:cstheme="minorHAnsi"/>
              </w:rPr>
            </w:pPr>
          </w:p>
        </w:tc>
        <w:tc>
          <w:tcPr>
            <w:tcW w:w="19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1085F" w14:textId="77777777" w:rsidR="00713DBF" w:rsidRPr="00A27A5E" w:rsidRDefault="00713DBF" w:rsidP="00713DBF">
            <w:r w:rsidRPr="00A27A5E">
              <w:rPr>
                <w:rFonts w:cstheme="minorHAnsi"/>
              </w:rPr>
              <w:t xml:space="preserve">1a. School reports that in 2017-2018: </w:t>
            </w:r>
            <w:r w:rsidRPr="00A27A5E">
              <w:t>Review of modules in Canvas show 90% or better scoring 3 out of 4 on the rubric.</w:t>
            </w:r>
          </w:p>
          <w:p w14:paraId="438AEDF1" w14:textId="77777777" w:rsidR="00713DBF" w:rsidRPr="00A27A5E" w:rsidRDefault="00713DBF" w:rsidP="00713DBF">
            <w:r w:rsidRPr="00A27A5E">
              <w:t>1b. School reports that in 2017-2018: Ongoing reviews do not yet show 100% of modules scoring 3 out of 4 on the rubric.</w:t>
            </w:r>
          </w:p>
          <w:p w14:paraId="43D710B1" w14:textId="77777777" w:rsidR="00713DBF" w:rsidRPr="00A27A5E" w:rsidRDefault="00713DBF" w:rsidP="00713DBF">
            <w:pPr>
              <w:pStyle w:val="TableParagraph"/>
              <w:spacing w:after="60"/>
              <w:ind w:left="103"/>
              <w:rPr>
                <w:rFonts w:cstheme="minorHAnsi"/>
              </w:rPr>
            </w:pPr>
          </w:p>
        </w:tc>
      </w:tr>
      <w:tr w:rsidR="00713DBF" w:rsidRPr="00A27A5E" w14:paraId="438062D5" w14:textId="77777777" w:rsidTr="00713DBF">
        <w:trPr>
          <w:trHeight w:val="20"/>
        </w:trPr>
        <w:tc>
          <w:tcPr>
            <w:tcW w:w="23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FE6F4" w14:textId="77777777" w:rsidR="00713DBF" w:rsidRPr="00A27A5E" w:rsidRDefault="00713DBF" w:rsidP="00713DBF">
            <w:pPr>
              <w:ind w:left="423" w:firstLine="37"/>
              <w:rPr>
                <w:rFonts w:cstheme="minorHAnsi"/>
              </w:rPr>
            </w:pPr>
            <w:r w:rsidRPr="00A27A5E">
              <w:rPr>
                <w:rFonts w:cstheme="minorHAnsi"/>
              </w:rPr>
              <w:t>2.a. Develop walk-through and clinical supervision observation protocols in line with expected online teaching practices rubric delineated by ESE</w:t>
            </w:r>
          </w:p>
          <w:p w14:paraId="6DCBEE5D" w14:textId="77777777" w:rsidR="00713DBF" w:rsidRPr="00A27A5E" w:rsidRDefault="00713DBF" w:rsidP="00713DBF">
            <w:pPr>
              <w:ind w:left="423" w:firstLine="37"/>
              <w:rPr>
                <w:rFonts w:cstheme="minorHAnsi"/>
              </w:rPr>
            </w:pPr>
            <w:r w:rsidRPr="00A27A5E">
              <w:rPr>
                <w:rFonts w:cstheme="minorHAnsi"/>
              </w:rPr>
              <w:t>2.b. Train teachers in the rubric/observation protocols</w:t>
            </w:r>
          </w:p>
          <w:p w14:paraId="438449D1" w14:textId="77777777" w:rsidR="00713DBF" w:rsidRPr="00A27A5E" w:rsidRDefault="00713DBF" w:rsidP="00713DBF">
            <w:pPr>
              <w:rPr>
                <w:rFonts w:cstheme="minorHAnsi"/>
              </w:rPr>
            </w:pPr>
          </w:p>
          <w:p w14:paraId="45109D49" w14:textId="77777777" w:rsidR="00713DBF" w:rsidRPr="00A27A5E" w:rsidRDefault="00713DBF" w:rsidP="00713DBF">
            <w:pPr>
              <w:ind w:left="423"/>
              <w:rPr>
                <w:rFonts w:cstheme="minorHAnsi"/>
              </w:rPr>
            </w:pPr>
            <w:r w:rsidRPr="00A27A5E">
              <w:rPr>
                <w:rFonts w:cstheme="minorHAnsi"/>
              </w:rPr>
              <w:t>2.c. Conduct observations of lessons, provide feedback, and document growth</w:t>
            </w:r>
          </w:p>
        </w:tc>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EC280" w14:textId="77777777" w:rsidR="00713DBF" w:rsidRPr="00A27A5E" w:rsidRDefault="00713DBF" w:rsidP="00713DBF">
            <w:pPr>
              <w:pStyle w:val="TableParagraph"/>
              <w:tabs>
                <w:tab w:val="left" w:pos="382"/>
              </w:tabs>
              <w:spacing w:before="53"/>
              <w:rPr>
                <w:rFonts w:eastAsia="Calibri" w:cstheme="minorHAnsi"/>
              </w:rPr>
            </w:pPr>
            <w:r w:rsidRPr="00A27A5E">
              <w:rPr>
                <w:rFonts w:eastAsia="Calibri" w:cstheme="minorHAnsi"/>
              </w:rPr>
              <w:t>2a. Met</w:t>
            </w:r>
          </w:p>
          <w:p w14:paraId="19287F32" w14:textId="77777777" w:rsidR="00713DBF" w:rsidRPr="00A27A5E" w:rsidRDefault="00713DBF" w:rsidP="00713DBF">
            <w:pPr>
              <w:pStyle w:val="TableParagraph"/>
              <w:tabs>
                <w:tab w:val="left" w:pos="382"/>
              </w:tabs>
              <w:spacing w:before="53"/>
              <w:rPr>
                <w:rFonts w:eastAsia="Calibri" w:cstheme="minorHAnsi"/>
              </w:rPr>
            </w:pPr>
          </w:p>
          <w:p w14:paraId="41A45AB6" w14:textId="77777777" w:rsidR="00713DBF" w:rsidRPr="00A27A5E" w:rsidRDefault="00713DBF" w:rsidP="00713DBF">
            <w:pPr>
              <w:pStyle w:val="TableParagraph"/>
              <w:tabs>
                <w:tab w:val="left" w:pos="382"/>
              </w:tabs>
              <w:spacing w:before="53"/>
              <w:rPr>
                <w:rFonts w:eastAsia="Calibri" w:cstheme="minorHAnsi"/>
              </w:rPr>
            </w:pPr>
          </w:p>
          <w:p w14:paraId="5938BEC6" w14:textId="77777777" w:rsidR="00713DBF" w:rsidRPr="00A27A5E" w:rsidRDefault="00713DBF" w:rsidP="00713DBF">
            <w:pPr>
              <w:pStyle w:val="TableParagraph"/>
              <w:tabs>
                <w:tab w:val="left" w:pos="382"/>
              </w:tabs>
              <w:spacing w:before="53"/>
              <w:rPr>
                <w:rFonts w:eastAsia="Calibri" w:cstheme="minorHAnsi"/>
              </w:rPr>
            </w:pPr>
          </w:p>
          <w:p w14:paraId="70FB96C8" w14:textId="77777777" w:rsidR="00713DBF" w:rsidRPr="00A27A5E" w:rsidRDefault="00713DBF" w:rsidP="00713DBF">
            <w:pPr>
              <w:pStyle w:val="TableParagraph"/>
              <w:tabs>
                <w:tab w:val="left" w:pos="382"/>
              </w:tabs>
              <w:spacing w:before="53"/>
              <w:rPr>
                <w:rFonts w:eastAsia="Calibri" w:cstheme="minorHAnsi"/>
              </w:rPr>
            </w:pPr>
            <w:r w:rsidRPr="00A27A5E">
              <w:rPr>
                <w:rFonts w:eastAsia="Calibri" w:cstheme="minorHAnsi"/>
              </w:rPr>
              <w:t>2b. Met</w:t>
            </w:r>
          </w:p>
          <w:p w14:paraId="7ED46339" w14:textId="77777777" w:rsidR="00713DBF" w:rsidRPr="00A27A5E" w:rsidRDefault="00713DBF" w:rsidP="00713DBF">
            <w:pPr>
              <w:pStyle w:val="TableParagraph"/>
              <w:tabs>
                <w:tab w:val="left" w:pos="382"/>
              </w:tabs>
              <w:spacing w:before="53"/>
              <w:rPr>
                <w:rFonts w:eastAsia="Calibri" w:cstheme="minorHAnsi"/>
              </w:rPr>
            </w:pPr>
          </w:p>
          <w:p w14:paraId="34EF898E" w14:textId="77777777" w:rsidR="00713DBF" w:rsidRPr="00A27A5E" w:rsidRDefault="00713DBF" w:rsidP="00713DBF">
            <w:pPr>
              <w:pStyle w:val="TableParagraph"/>
              <w:tabs>
                <w:tab w:val="left" w:pos="382"/>
              </w:tabs>
              <w:spacing w:before="53"/>
              <w:rPr>
                <w:rFonts w:eastAsia="Calibri" w:cstheme="minorHAnsi"/>
              </w:rPr>
            </w:pPr>
          </w:p>
          <w:p w14:paraId="647CCC33" w14:textId="77777777" w:rsidR="00713DBF" w:rsidRPr="00A27A5E" w:rsidRDefault="00713DBF" w:rsidP="00713DBF">
            <w:pPr>
              <w:pStyle w:val="TableParagraph"/>
              <w:tabs>
                <w:tab w:val="left" w:pos="382"/>
              </w:tabs>
              <w:spacing w:before="53"/>
              <w:rPr>
                <w:rFonts w:eastAsia="Calibri" w:cstheme="minorHAnsi"/>
              </w:rPr>
            </w:pPr>
          </w:p>
          <w:p w14:paraId="22B2A289" w14:textId="77777777" w:rsidR="00713DBF" w:rsidRPr="00A27A5E" w:rsidRDefault="00713DBF" w:rsidP="00713DBF">
            <w:pPr>
              <w:pStyle w:val="TableParagraph"/>
              <w:tabs>
                <w:tab w:val="left" w:pos="382"/>
              </w:tabs>
              <w:spacing w:before="53"/>
              <w:rPr>
                <w:rFonts w:eastAsia="Calibri" w:cstheme="minorHAnsi"/>
              </w:rPr>
            </w:pPr>
          </w:p>
          <w:p w14:paraId="3A122BB9" w14:textId="77777777" w:rsidR="00713DBF" w:rsidRPr="00A27A5E" w:rsidRDefault="00713DBF" w:rsidP="00713DBF">
            <w:pPr>
              <w:pStyle w:val="TableParagraph"/>
              <w:tabs>
                <w:tab w:val="left" w:pos="382"/>
              </w:tabs>
              <w:spacing w:before="53"/>
              <w:rPr>
                <w:rFonts w:eastAsia="Calibri" w:cstheme="minorHAnsi"/>
              </w:rPr>
            </w:pPr>
            <w:r w:rsidRPr="00A27A5E">
              <w:rPr>
                <w:rFonts w:eastAsia="Calibri" w:cstheme="minorHAnsi"/>
              </w:rPr>
              <w:t>2c. Met</w:t>
            </w:r>
          </w:p>
        </w:tc>
        <w:tc>
          <w:tcPr>
            <w:tcW w:w="19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243CC2" w14:textId="77777777" w:rsidR="00713DBF" w:rsidRPr="00A27A5E" w:rsidRDefault="00713DBF" w:rsidP="00713DBF">
            <w:pPr>
              <w:pStyle w:val="TableParagraph"/>
              <w:spacing w:after="60"/>
              <w:ind w:left="103"/>
              <w:rPr>
                <w:rFonts w:cstheme="minorHAnsi"/>
              </w:rPr>
            </w:pPr>
            <w:r w:rsidRPr="00A27A5E">
              <w:rPr>
                <w:rFonts w:cstheme="minorHAnsi"/>
              </w:rPr>
              <w:t xml:space="preserve">2a. School reports that in 2017-2018: GVCS developed observation templates aligned with the ESE rubric on </w:t>
            </w:r>
            <w:r>
              <w:rPr>
                <w:rFonts w:cstheme="minorHAnsi"/>
              </w:rPr>
              <w:t>T</w:t>
            </w:r>
            <w:r w:rsidRPr="00A27A5E">
              <w:rPr>
                <w:rFonts w:cstheme="minorHAnsi"/>
              </w:rPr>
              <w:t xml:space="preserve">eachpoint. </w:t>
            </w:r>
          </w:p>
          <w:p w14:paraId="173BD58A" w14:textId="77777777" w:rsidR="00713DBF" w:rsidRPr="00A27A5E" w:rsidRDefault="00713DBF" w:rsidP="00713DBF">
            <w:pPr>
              <w:pStyle w:val="TableParagraph"/>
              <w:spacing w:after="60"/>
              <w:ind w:left="103"/>
              <w:rPr>
                <w:rFonts w:cstheme="minorHAnsi"/>
              </w:rPr>
            </w:pPr>
            <w:r w:rsidRPr="00A27A5E">
              <w:rPr>
                <w:rFonts w:cstheme="minorHAnsi"/>
              </w:rPr>
              <w:t xml:space="preserve">2b. School reports that in 2017-2018: GVCS developed a Canvas course for educator evaluation and devoted professional development to train teachers on these protocols. </w:t>
            </w:r>
          </w:p>
          <w:p w14:paraId="6D7BDAA8" w14:textId="77777777" w:rsidR="00713DBF" w:rsidRPr="00A27A5E" w:rsidRDefault="00713DBF" w:rsidP="00713DBF">
            <w:pPr>
              <w:pStyle w:val="TableParagraph"/>
              <w:spacing w:after="60"/>
              <w:ind w:left="103"/>
            </w:pPr>
            <w:r w:rsidRPr="5D208180">
              <w:t xml:space="preserve">2c. School reports that in 2017-2018: observations were conducted, and 90% or more staff received a proficient or higher on standards 1 and 2 of the educator evaluation rubric. </w:t>
            </w:r>
          </w:p>
        </w:tc>
      </w:tr>
    </w:tbl>
    <w:p w14:paraId="2F5C4C56" w14:textId="77777777" w:rsidR="00713DBF" w:rsidRDefault="00713DBF" w:rsidP="00713DBF">
      <w:pPr>
        <w:rPr>
          <w:rFonts w:cstheme="minorHAnsi"/>
          <w:b/>
        </w:rPr>
      </w:pPr>
      <w:r w:rsidRPr="00E46C39">
        <w:rPr>
          <w:rFonts w:cstheme="minorHAnsi"/>
          <w:b/>
        </w:rPr>
        <w:lastRenderedPageBreak/>
        <w:t>GCVS Response:</w:t>
      </w:r>
    </w:p>
    <w:p w14:paraId="02E9599C" w14:textId="77777777" w:rsidR="00713DBF" w:rsidRDefault="00713DBF" w:rsidP="00713DBF">
      <w:pPr>
        <w:rPr>
          <w:rFonts w:cstheme="minorHAnsi"/>
        </w:rPr>
      </w:pPr>
      <w:r>
        <w:rPr>
          <w:rFonts w:cstheme="minorHAnsi"/>
        </w:rPr>
        <w:t>While we have met most of the action items associated with this goal, we feel that action item #1b has been partially met. Most of the curriculum modules have been shown to meet the criteria used to measure that alignment. Where they were deemed to have not fully met the requirements, teachers have been given feedback on what they can do to strengthen the modules. Additionally, teachers are using data from the first year of implementation to revise modules and assessments this year to ensure that the students are able to demonstrate mastery of the standards therein.</w:t>
      </w:r>
    </w:p>
    <w:p w14:paraId="4D1F6B65" w14:textId="77777777" w:rsidR="00713DBF" w:rsidRDefault="00713DBF" w:rsidP="00713DBF">
      <w:pPr>
        <w:rPr>
          <w:b/>
          <w:i/>
        </w:rPr>
      </w:pPr>
    </w:p>
    <w:p w14:paraId="4967E499" w14:textId="77777777" w:rsidR="00713DBF" w:rsidRPr="00EC3E3B" w:rsidRDefault="00713DBF" w:rsidP="00713DBF">
      <w:r w:rsidRPr="00EC3E3B">
        <w:rPr>
          <w:b/>
          <w:i/>
        </w:rPr>
        <w:t>Accountability Goal #2</w:t>
      </w:r>
      <w:r w:rsidRPr="00EC3E3B">
        <w:t>: Develop a comprehensive assessment system and analysis protocols designed to measure and improve competencies in relation the Massachusetts curriculum frameworks, to be measured by increases in the percentage of student meeting/exceeding expectations on MCAS by closing gaps between the school’s average and the state average in all subgroups.</w:t>
      </w:r>
    </w:p>
    <w:p w14:paraId="31B9A96F" w14:textId="77777777" w:rsidR="00713DBF" w:rsidRPr="004378BC" w:rsidRDefault="00713DBF" w:rsidP="00713DBF">
      <w:pPr>
        <w:rPr>
          <w:sz w:val="26"/>
          <w:szCs w:val="26"/>
        </w:rPr>
      </w:pPr>
      <w:r w:rsidRPr="00EC3E3B">
        <w:rPr>
          <w:b/>
          <w:i/>
        </w:rPr>
        <w:t>Rationale</w:t>
      </w:r>
      <w:r w:rsidRPr="00EC3E3B">
        <w:t>: Conditions in the GCVS certificate for improvement in student outcomes, coupled with the move to a new curriculum requires that we develop and implement a comprehensive school-based assessment system, along with measures for gathering and analyzing data for the purposes of curricular and instructional improvement.</w:t>
      </w:r>
    </w:p>
    <w:tbl>
      <w:tblPr>
        <w:tblW w:w="5000" w:type="pct"/>
        <w:tblCellMar>
          <w:left w:w="0" w:type="dxa"/>
          <w:right w:w="0" w:type="dxa"/>
        </w:tblCellMar>
        <w:tblLook w:val="01E0" w:firstRow="1" w:lastRow="1" w:firstColumn="1" w:lastColumn="1" w:noHBand="0" w:noVBand="0"/>
      </w:tblPr>
      <w:tblGrid>
        <w:gridCol w:w="4357"/>
        <w:gridCol w:w="1458"/>
        <w:gridCol w:w="3625"/>
      </w:tblGrid>
      <w:tr w:rsidR="00713DBF" w:rsidRPr="004378BC" w14:paraId="0161F7E0" w14:textId="77777777" w:rsidTr="00713DBF">
        <w:trPr>
          <w:trHeight w:val="20"/>
          <w:tblHeader/>
        </w:trPr>
        <w:tc>
          <w:tcPr>
            <w:tcW w:w="2308" w:type="pct"/>
            <w:tcBorders>
              <w:top w:val="single" w:sz="4" w:space="0" w:color="000000"/>
              <w:left w:val="single" w:sz="4" w:space="0" w:color="000000"/>
              <w:bottom w:val="single" w:sz="4" w:space="0" w:color="000000"/>
              <w:right w:val="single" w:sz="4" w:space="0" w:color="000000"/>
            </w:tcBorders>
            <w:shd w:val="clear" w:color="auto" w:fill="F1F1F1"/>
            <w:vAlign w:val="center"/>
          </w:tcPr>
          <w:p w14:paraId="3AA5D7B9" w14:textId="77777777" w:rsidR="00713DBF" w:rsidRPr="004378BC" w:rsidRDefault="00713DBF" w:rsidP="00713DBF">
            <w:pPr>
              <w:pStyle w:val="TableParagraph"/>
              <w:spacing w:before="60" w:after="60"/>
              <w:ind w:left="103"/>
              <w:rPr>
                <w:rFonts w:eastAsia="Calibri" w:cs="Calibri"/>
                <w:sz w:val="19"/>
                <w:szCs w:val="19"/>
              </w:rPr>
            </w:pPr>
            <w:r w:rsidRPr="004378BC">
              <w:rPr>
                <w:b/>
                <w:sz w:val="19"/>
              </w:rPr>
              <w:t>Annual</w:t>
            </w:r>
            <w:r w:rsidRPr="004378BC">
              <w:rPr>
                <w:b/>
                <w:spacing w:val="-9"/>
                <w:sz w:val="19"/>
              </w:rPr>
              <w:t xml:space="preserve"> </w:t>
            </w:r>
            <w:r w:rsidRPr="004378BC">
              <w:rPr>
                <w:b/>
                <w:sz w:val="19"/>
              </w:rPr>
              <w:t>Goals</w:t>
            </w:r>
          </w:p>
        </w:tc>
        <w:tc>
          <w:tcPr>
            <w:tcW w:w="772" w:type="pct"/>
            <w:tcBorders>
              <w:top w:val="single" w:sz="4" w:space="0" w:color="000000"/>
              <w:left w:val="single" w:sz="4" w:space="0" w:color="000000"/>
              <w:bottom w:val="single" w:sz="4" w:space="0" w:color="000000"/>
              <w:right w:val="single" w:sz="4" w:space="0" w:color="000000"/>
            </w:tcBorders>
            <w:shd w:val="clear" w:color="auto" w:fill="F1F1F1"/>
            <w:vAlign w:val="center"/>
          </w:tcPr>
          <w:p w14:paraId="0751AA3A" w14:textId="77777777" w:rsidR="00713DBF" w:rsidRPr="004378BC" w:rsidRDefault="00713DBF" w:rsidP="00713DBF">
            <w:pPr>
              <w:pStyle w:val="TableParagraph"/>
              <w:spacing w:before="60" w:after="60"/>
              <w:ind w:left="103"/>
              <w:rPr>
                <w:rFonts w:eastAsia="Calibri" w:cs="Calibri"/>
                <w:sz w:val="19"/>
                <w:szCs w:val="19"/>
              </w:rPr>
            </w:pPr>
            <w:r>
              <w:rPr>
                <w:b/>
                <w:sz w:val="19"/>
              </w:rPr>
              <w:t>2017-18</w:t>
            </w:r>
          </w:p>
        </w:tc>
        <w:tc>
          <w:tcPr>
            <w:tcW w:w="1920" w:type="pct"/>
            <w:tcBorders>
              <w:top w:val="single" w:sz="4" w:space="0" w:color="000000"/>
              <w:left w:val="single" w:sz="4" w:space="0" w:color="000000"/>
              <w:bottom w:val="single" w:sz="4" w:space="0" w:color="000000"/>
              <w:right w:val="single" w:sz="4" w:space="0" w:color="000000"/>
            </w:tcBorders>
            <w:shd w:val="clear" w:color="auto" w:fill="F1F1F1"/>
            <w:vAlign w:val="center"/>
          </w:tcPr>
          <w:p w14:paraId="62FC3AA0" w14:textId="77777777" w:rsidR="00713DBF" w:rsidRPr="004378BC" w:rsidRDefault="00713DBF" w:rsidP="00713DBF">
            <w:pPr>
              <w:pStyle w:val="TableParagraph"/>
              <w:spacing w:before="60" w:after="60"/>
              <w:ind w:left="103"/>
              <w:rPr>
                <w:rFonts w:eastAsia="Calibri" w:cs="Calibri"/>
                <w:sz w:val="19"/>
                <w:szCs w:val="19"/>
              </w:rPr>
            </w:pPr>
            <w:r w:rsidRPr="004378BC">
              <w:rPr>
                <w:b/>
                <w:sz w:val="19"/>
              </w:rPr>
              <w:t>Evidence</w:t>
            </w:r>
          </w:p>
        </w:tc>
      </w:tr>
      <w:tr w:rsidR="00713DBF" w:rsidRPr="00F43C38" w14:paraId="1CA118CC" w14:textId="77777777" w:rsidTr="00713DBF">
        <w:trPr>
          <w:trHeight w:val="20"/>
        </w:trPr>
        <w:tc>
          <w:tcPr>
            <w:tcW w:w="2308" w:type="pct"/>
            <w:tcBorders>
              <w:top w:val="single" w:sz="4" w:space="0" w:color="000000"/>
              <w:left w:val="single" w:sz="4" w:space="0" w:color="000000"/>
              <w:bottom w:val="single" w:sz="4" w:space="0" w:color="000000"/>
              <w:right w:val="single" w:sz="4" w:space="0" w:color="000000"/>
            </w:tcBorders>
          </w:tcPr>
          <w:p w14:paraId="266F077F" w14:textId="77777777" w:rsidR="00713DBF" w:rsidRDefault="00713DBF" w:rsidP="00713DBF">
            <w:pPr>
              <w:ind w:left="423"/>
              <w:rPr>
                <w:rFonts w:cstheme="minorHAnsi"/>
              </w:rPr>
            </w:pPr>
            <w:r w:rsidRPr="00F43C38">
              <w:rPr>
                <w:rFonts w:cstheme="minorHAnsi"/>
              </w:rPr>
              <w:t>1.a. Get Data dashboard system into place for analysis of assessment data.</w:t>
            </w:r>
          </w:p>
          <w:p w14:paraId="0C7F52AE" w14:textId="77777777" w:rsidR="00713DBF" w:rsidRDefault="00713DBF" w:rsidP="00713DBF">
            <w:pPr>
              <w:rPr>
                <w:rFonts w:cstheme="minorHAnsi"/>
              </w:rPr>
            </w:pPr>
          </w:p>
          <w:p w14:paraId="0B939D64" w14:textId="77777777" w:rsidR="00713DBF" w:rsidRDefault="00713DBF" w:rsidP="00713DBF">
            <w:pPr>
              <w:ind w:left="423"/>
              <w:rPr>
                <w:rFonts w:cstheme="minorHAnsi"/>
              </w:rPr>
            </w:pPr>
            <w:r w:rsidRPr="00F43C38">
              <w:rPr>
                <w:rFonts w:cstheme="minorHAnsi"/>
              </w:rPr>
              <w:t>1.b. Train all educators on the use of the system to inform curriculum and instruction decisions.</w:t>
            </w:r>
          </w:p>
          <w:p w14:paraId="3909BBB0" w14:textId="77777777" w:rsidR="00713DBF" w:rsidRPr="00F43C38" w:rsidRDefault="00713DBF" w:rsidP="00713DBF">
            <w:pPr>
              <w:ind w:left="423"/>
              <w:rPr>
                <w:rFonts w:cstheme="minorHAnsi"/>
              </w:rPr>
            </w:pPr>
          </w:p>
          <w:p w14:paraId="45723387" w14:textId="77777777" w:rsidR="00713DBF" w:rsidRPr="00F43C38" w:rsidRDefault="00713DBF" w:rsidP="00713DBF">
            <w:pPr>
              <w:pStyle w:val="TableParagraph"/>
              <w:tabs>
                <w:tab w:val="left" w:pos="464"/>
              </w:tabs>
              <w:spacing w:before="80"/>
              <w:ind w:left="463"/>
              <w:rPr>
                <w:rFonts w:eastAsia="Calibri" w:cstheme="minorHAnsi"/>
              </w:rPr>
            </w:pPr>
            <w:r w:rsidRPr="00F43C38">
              <w:rPr>
                <w:rFonts w:cstheme="minorHAnsi"/>
              </w:rPr>
              <w:t>1.c. Implement data protocols for examination of data and their impact on the teaching and learning process</w:t>
            </w:r>
          </w:p>
        </w:tc>
        <w:tc>
          <w:tcPr>
            <w:tcW w:w="772" w:type="pct"/>
            <w:tcBorders>
              <w:top w:val="single" w:sz="4" w:space="0" w:color="000000"/>
              <w:left w:val="single" w:sz="4" w:space="0" w:color="000000"/>
              <w:bottom w:val="single" w:sz="4" w:space="0" w:color="000000"/>
              <w:right w:val="single" w:sz="4" w:space="0" w:color="000000"/>
            </w:tcBorders>
          </w:tcPr>
          <w:p w14:paraId="492FA972" w14:textId="77777777" w:rsidR="00713DBF" w:rsidRPr="00F43C38" w:rsidRDefault="00713DBF" w:rsidP="00713DBF">
            <w:pPr>
              <w:pStyle w:val="TableParagraph"/>
              <w:tabs>
                <w:tab w:val="left" w:pos="382"/>
              </w:tabs>
              <w:spacing w:before="53"/>
              <w:rPr>
                <w:rFonts w:eastAsia="Calibri" w:cstheme="minorHAnsi"/>
              </w:rPr>
            </w:pPr>
            <w:r>
              <w:rPr>
                <w:rFonts w:eastAsia="Calibri" w:cstheme="minorHAnsi"/>
              </w:rPr>
              <w:t>1a. Met</w:t>
            </w:r>
          </w:p>
          <w:p w14:paraId="4484475E" w14:textId="77777777" w:rsidR="00713DBF" w:rsidRDefault="00713DBF" w:rsidP="00713DBF">
            <w:pPr>
              <w:pStyle w:val="TableParagraph"/>
              <w:tabs>
                <w:tab w:val="left" w:pos="382"/>
              </w:tabs>
              <w:spacing w:before="51" w:line="244" w:lineRule="auto"/>
              <w:ind w:left="103" w:right="402"/>
              <w:rPr>
                <w:rFonts w:eastAsia="Calibri" w:cstheme="minorHAnsi"/>
              </w:rPr>
            </w:pPr>
          </w:p>
          <w:p w14:paraId="21B2A988" w14:textId="77777777" w:rsidR="00713DBF" w:rsidRDefault="00713DBF" w:rsidP="00713DBF">
            <w:pPr>
              <w:pStyle w:val="TableParagraph"/>
              <w:tabs>
                <w:tab w:val="left" w:pos="382"/>
              </w:tabs>
              <w:spacing w:before="51" w:line="244" w:lineRule="auto"/>
              <w:ind w:left="103" w:right="402"/>
              <w:rPr>
                <w:rFonts w:eastAsia="Calibri" w:cstheme="minorHAnsi"/>
              </w:rPr>
            </w:pPr>
          </w:p>
          <w:p w14:paraId="5E1E8BB7" w14:textId="77777777" w:rsidR="00713DBF" w:rsidRDefault="00713DBF" w:rsidP="00713DBF">
            <w:pPr>
              <w:pStyle w:val="TableParagraph"/>
              <w:tabs>
                <w:tab w:val="left" w:pos="382"/>
              </w:tabs>
              <w:spacing w:before="51" w:line="244" w:lineRule="auto"/>
              <w:ind w:left="103" w:right="402"/>
              <w:rPr>
                <w:rFonts w:eastAsia="Calibri" w:cstheme="minorHAnsi"/>
              </w:rPr>
            </w:pPr>
          </w:p>
          <w:p w14:paraId="54E2C5FE" w14:textId="77777777" w:rsidR="00713DBF" w:rsidRDefault="00713DBF" w:rsidP="00713DBF">
            <w:pPr>
              <w:pStyle w:val="TableParagraph"/>
              <w:tabs>
                <w:tab w:val="left" w:pos="382"/>
              </w:tabs>
              <w:spacing w:before="51" w:line="244" w:lineRule="auto"/>
              <w:ind w:right="402"/>
              <w:rPr>
                <w:rFonts w:eastAsia="Calibri" w:cstheme="minorHAnsi"/>
              </w:rPr>
            </w:pPr>
            <w:r>
              <w:rPr>
                <w:rFonts w:eastAsia="Calibri" w:cstheme="minorHAnsi"/>
              </w:rPr>
              <w:t>1b. Met</w:t>
            </w:r>
          </w:p>
          <w:p w14:paraId="1AD28B4D" w14:textId="77777777" w:rsidR="00713DBF" w:rsidRDefault="00713DBF" w:rsidP="00713DBF">
            <w:pPr>
              <w:pStyle w:val="TableParagraph"/>
              <w:tabs>
                <w:tab w:val="left" w:pos="382"/>
              </w:tabs>
              <w:spacing w:before="51" w:line="244" w:lineRule="auto"/>
              <w:ind w:right="402"/>
              <w:rPr>
                <w:rFonts w:eastAsia="Calibri" w:cstheme="minorHAnsi"/>
              </w:rPr>
            </w:pPr>
          </w:p>
          <w:p w14:paraId="1A36BD46" w14:textId="77777777" w:rsidR="00713DBF" w:rsidRDefault="00713DBF" w:rsidP="00713DBF">
            <w:pPr>
              <w:pStyle w:val="TableParagraph"/>
              <w:tabs>
                <w:tab w:val="left" w:pos="382"/>
              </w:tabs>
              <w:spacing w:before="51" w:line="244" w:lineRule="auto"/>
              <w:ind w:right="402"/>
              <w:rPr>
                <w:rFonts w:eastAsia="Calibri" w:cstheme="minorHAnsi"/>
              </w:rPr>
            </w:pPr>
          </w:p>
          <w:p w14:paraId="4107F807" w14:textId="77777777" w:rsidR="00713DBF" w:rsidRDefault="00713DBF" w:rsidP="00713DBF">
            <w:pPr>
              <w:pStyle w:val="TableParagraph"/>
              <w:tabs>
                <w:tab w:val="left" w:pos="382"/>
              </w:tabs>
              <w:spacing w:before="51" w:line="244" w:lineRule="auto"/>
              <w:ind w:right="402"/>
              <w:rPr>
                <w:rFonts w:eastAsia="Calibri" w:cstheme="minorHAnsi"/>
              </w:rPr>
            </w:pPr>
          </w:p>
          <w:p w14:paraId="69C2F6F6" w14:textId="77777777" w:rsidR="00713DBF" w:rsidRPr="00F43C38" w:rsidRDefault="00713DBF" w:rsidP="00713DBF">
            <w:pPr>
              <w:pStyle w:val="TableParagraph"/>
              <w:tabs>
                <w:tab w:val="left" w:pos="382"/>
              </w:tabs>
              <w:spacing w:before="51" w:line="244" w:lineRule="auto"/>
              <w:ind w:right="402"/>
              <w:rPr>
                <w:rFonts w:eastAsia="Calibri" w:cstheme="minorHAnsi"/>
              </w:rPr>
            </w:pPr>
            <w:r>
              <w:rPr>
                <w:rFonts w:eastAsia="Calibri" w:cstheme="minorHAnsi"/>
              </w:rPr>
              <w:t>1c. Not Met</w:t>
            </w:r>
          </w:p>
        </w:tc>
        <w:tc>
          <w:tcPr>
            <w:tcW w:w="1920" w:type="pct"/>
            <w:tcBorders>
              <w:top w:val="single" w:sz="4" w:space="0" w:color="000000"/>
              <w:left w:val="single" w:sz="4" w:space="0" w:color="000000"/>
              <w:bottom w:val="single" w:sz="4" w:space="0" w:color="000000"/>
              <w:right w:val="single" w:sz="4" w:space="0" w:color="000000"/>
            </w:tcBorders>
          </w:tcPr>
          <w:p w14:paraId="77893413" w14:textId="77777777" w:rsidR="00713DBF" w:rsidRDefault="00713DBF" w:rsidP="00713DBF">
            <w:pPr>
              <w:pStyle w:val="TableParagraph"/>
              <w:spacing w:after="60"/>
              <w:ind w:left="103"/>
              <w:rPr>
                <w:rFonts w:cstheme="minorHAnsi"/>
              </w:rPr>
            </w:pPr>
            <w:r>
              <w:rPr>
                <w:rFonts w:cstheme="minorHAnsi"/>
              </w:rPr>
              <w:t xml:space="preserve">1a. School reports that in 2017-2018 it purchased 4CSolutions data dashboard and populated it with available data. </w:t>
            </w:r>
          </w:p>
          <w:p w14:paraId="659FAEA4" w14:textId="77777777" w:rsidR="00713DBF" w:rsidRDefault="00713DBF" w:rsidP="00713DBF">
            <w:pPr>
              <w:pStyle w:val="TableParagraph"/>
              <w:spacing w:after="60"/>
              <w:ind w:left="103"/>
              <w:rPr>
                <w:rFonts w:cstheme="minorHAnsi"/>
              </w:rPr>
            </w:pPr>
          </w:p>
          <w:p w14:paraId="39FBBF97" w14:textId="77777777" w:rsidR="00713DBF" w:rsidRDefault="00713DBF" w:rsidP="00713DBF">
            <w:pPr>
              <w:pStyle w:val="TableParagraph"/>
              <w:spacing w:after="60"/>
              <w:ind w:left="103"/>
              <w:rPr>
                <w:rFonts w:cstheme="minorHAnsi"/>
              </w:rPr>
            </w:pPr>
            <w:r>
              <w:rPr>
                <w:rFonts w:cstheme="minorHAnsi"/>
              </w:rPr>
              <w:t xml:space="preserve">1b. School reports that it held a training on March 2018 on use of data dashboard. </w:t>
            </w:r>
          </w:p>
          <w:p w14:paraId="09F1E0EC" w14:textId="77777777" w:rsidR="00713DBF" w:rsidRDefault="00713DBF" w:rsidP="00713DBF">
            <w:pPr>
              <w:pStyle w:val="TableParagraph"/>
              <w:spacing w:after="60"/>
              <w:ind w:left="103"/>
              <w:rPr>
                <w:rFonts w:cstheme="minorHAnsi"/>
              </w:rPr>
            </w:pPr>
          </w:p>
          <w:p w14:paraId="1F4E61C7" w14:textId="77777777" w:rsidR="00713DBF" w:rsidRDefault="00713DBF" w:rsidP="00713DBF">
            <w:pPr>
              <w:pStyle w:val="TableParagraph"/>
              <w:spacing w:after="60"/>
              <w:ind w:left="103"/>
              <w:rPr>
                <w:rFonts w:cstheme="minorHAnsi"/>
              </w:rPr>
            </w:pPr>
          </w:p>
          <w:p w14:paraId="1D09D0EF" w14:textId="77777777" w:rsidR="00713DBF" w:rsidRPr="00F43C38" w:rsidRDefault="00713DBF" w:rsidP="00713DBF">
            <w:pPr>
              <w:pStyle w:val="TableParagraph"/>
              <w:spacing w:after="60"/>
              <w:ind w:left="103"/>
              <w:rPr>
                <w:rFonts w:cstheme="minorHAnsi"/>
              </w:rPr>
            </w:pPr>
            <w:r>
              <w:rPr>
                <w:rFonts w:cstheme="minorHAnsi"/>
              </w:rPr>
              <w:t xml:space="preserve">1c. School reports that it held an introductory training for using the Data Wise protocols in March 2018 and will continue training staff on these protocols during the 2018-19 school year. </w:t>
            </w:r>
          </w:p>
        </w:tc>
      </w:tr>
      <w:tr w:rsidR="00713DBF" w:rsidRPr="00F43C38" w14:paraId="44D63692" w14:textId="77777777" w:rsidTr="00713DBF">
        <w:trPr>
          <w:trHeight w:val="20"/>
        </w:trPr>
        <w:tc>
          <w:tcPr>
            <w:tcW w:w="2308" w:type="pct"/>
            <w:tcBorders>
              <w:top w:val="single" w:sz="4" w:space="0" w:color="000000"/>
              <w:left w:val="single" w:sz="4" w:space="0" w:color="000000"/>
              <w:bottom w:val="single" w:sz="4" w:space="0" w:color="000000"/>
              <w:right w:val="single" w:sz="4" w:space="0" w:color="000000"/>
            </w:tcBorders>
          </w:tcPr>
          <w:p w14:paraId="6B4117E2" w14:textId="77777777" w:rsidR="00713DBF" w:rsidRPr="00F43C38" w:rsidRDefault="00713DBF" w:rsidP="00713DBF">
            <w:pPr>
              <w:ind w:left="423"/>
              <w:rPr>
                <w:rFonts w:cstheme="minorHAnsi"/>
              </w:rPr>
            </w:pPr>
            <w:r w:rsidRPr="00F43C38">
              <w:rPr>
                <w:rFonts w:cstheme="minorHAnsi"/>
              </w:rPr>
              <w:t>2.    Implement system for assessing student achievement in all content areas</w:t>
            </w:r>
          </w:p>
        </w:tc>
        <w:tc>
          <w:tcPr>
            <w:tcW w:w="772" w:type="pct"/>
            <w:tcBorders>
              <w:top w:val="single" w:sz="4" w:space="0" w:color="000000"/>
              <w:left w:val="single" w:sz="4" w:space="0" w:color="000000"/>
              <w:bottom w:val="single" w:sz="4" w:space="0" w:color="000000"/>
              <w:right w:val="single" w:sz="4" w:space="0" w:color="000000"/>
            </w:tcBorders>
          </w:tcPr>
          <w:p w14:paraId="3B3E27C5" w14:textId="77777777" w:rsidR="00713DBF" w:rsidRPr="00F43C38" w:rsidRDefault="00713DBF" w:rsidP="00713DBF">
            <w:pPr>
              <w:pStyle w:val="TableParagraph"/>
              <w:tabs>
                <w:tab w:val="left" w:pos="382"/>
              </w:tabs>
              <w:spacing w:before="53"/>
              <w:rPr>
                <w:rFonts w:eastAsia="Calibri" w:cstheme="minorHAnsi"/>
              </w:rPr>
            </w:pPr>
            <w:r>
              <w:rPr>
                <w:rFonts w:eastAsia="Calibri" w:cstheme="minorHAnsi"/>
              </w:rPr>
              <w:t>2. Not Met</w:t>
            </w:r>
          </w:p>
        </w:tc>
        <w:tc>
          <w:tcPr>
            <w:tcW w:w="1920" w:type="pct"/>
            <w:tcBorders>
              <w:top w:val="single" w:sz="4" w:space="0" w:color="000000"/>
              <w:left w:val="single" w:sz="4" w:space="0" w:color="000000"/>
              <w:bottom w:val="single" w:sz="4" w:space="0" w:color="000000"/>
              <w:right w:val="single" w:sz="4" w:space="0" w:color="000000"/>
            </w:tcBorders>
          </w:tcPr>
          <w:p w14:paraId="5A889558" w14:textId="77777777" w:rsidR="00713DBF" w:rsidRPr="00F43C38" w:rsidRDefault="00713DBF" w:rsidP="00713DBF">
            <w:pPr>
              <w:pStyle w:val="TableParagraph"/>
              <w:spacing w:after="60"/>
              <w:ind w:left="103"/>
              <w:rPr>
                <w:rFonts w:cstheme="minorHAnsi"/>
              </w:rPr>
            </w:pPr>
            <w:r>
              <w:rPr>
                <w:rFonts w:cstheme="minorHAnsi"/>
              </w:rPr>
              <w:t xml:space="preserve">2. School reports that in 2017-2018 it introduced the mastery learning outcomes system in Canvas to staff, but the school needed to keep developing processes to assess all competencies in the 2018-2019 school year. </w:t>
            </w:r>
          </w:p>
        </w:tc>
      </w:tr>
      <w:tr w:rsidR="00713DBF" w:rsidRPr="00F43C38" w14:paraId="5553DCF7" w14:textId="77777777" w:rsidTr="00713DBF">
        <w:trPr>
          <w:trHeight w:val="20"/>
        </w:trPr>
        <w:tc>
          <w:tcPr>
            <w:tcW w:w="2308" w:type="pct"/>
            <w:tcBorders>
              <w:top w:val="single" w:sz="4" w:space="0" w:color="000000"/>
              <w:left w:val="single" w:sz="4" w:space="0" w:color="000000"/>
              <w:bottom w:val="single" w:sz="4" w:space="0" w:color="000000"/>
              <w:right w:val="single" w:sz="4" w:space="0" w:color="000000"/>
            </w:tcBorders>
          </w:tcPr>
          <w:p w14:paraId="68F86491" w14:textId="77777777" w:rsidR="00713DBF" w:rsidRDefault="00713DBF" w:rsidP="00713DBF">
            <w:pPr>
              <w:ind w:left="423"/>
              <w:rPr>
                <w:rFonts w:cstheme="minorHAnsi"/>
              </w:rPr>
            </w:pPr>
            <w:r w:rsidRPr="00F43C38">
              <w:rPr>
                <w:rFonts w:cstheme="minorHAnsi"/>
              </w:rPr>
              <w:t xml:space="preserve">3.a. Review 2017 assessment data for trends and areas to target and as a baseline </w:t>
            </w:r>
            <w:r w:rsidRPr="00F43C38">
              <w:rPr>
                <w:rFonts w:cstheme="minorHAnsi"/>
              </w:rPr>
              <w:lastRenderedPageBreak/>
              <w:t>for setting measurable targets for future reviews.</w:t>
            </w:r>
          </w:p>
          <w:p w14:paraId="1C36ED3D" w14:textId="77777777" w:rsidR="00713DBF" w:rsidRPr="00F43C38" w:rsidRDefault="00713DBF" w:rsidP="00713DBF">
            <w:pPr>
              <w:ind w:left="423"/>
              <w:rPr>
                <w:rFonts w:cstheme="minorHAnsi"/>
              </w:rPr>
            </w:pPr>
          </w:p>
          <w:p w14:paraId="0237F97B" w14:textId="77777777" w:rsidR="00713DBF" w:rsidRPr="00F43C38" w:rsidRDefault="00713DBF" w:rsidP="00713DBF">
            <w:pPr>
              <w:pStyle w:val="TableParagraph"/>
              <w:tabs>
                <w:tab w:val="left" w:pos="464"/>
              </w:tabs>
              <w:spacing w:before="80"/>
              <w:ind w:left="463"/>
              <w:rPr>
                <w:rFonts w:eastAsia="Calibri" w:cstheme="minorHAnsi"/>
              </w:rPr>
            </w:pPr>
            <w:r w:rsidRPr="00F43C38">
              <w:rPr>
                <w:rFonts w:cstheme="minorHAnsi"/>
              </w:rPr>
              <w:t>3.b. Implement systematic reviews of data with action plans for addressing challenges in identified standards (e.g., measurement and data, writing anchors) and increasing growth in those standards over the remainder of the term of the certificate</w:t>
            </w:r>
          </w:p>
        </w:tc>
        <w:tc>
          <w:tcPr>
            <w:tcW w:w="772" w:type="pct"/>
            <w:tcBorders>
              <w:top w:val="single" w:sz="4" w:space="0" w:color="000000"/>
              <w:left w:val="single" w:sz="4" w:space="0" w:color="000000"/>
              <w:bottom w:val="single" w:sz="4" w:space="0" w:color="000000"/>
              <w:right w:val="single" w:sz="4" w:space="0" w:color="000000"/>
            </w:tcBorders>
          </w:tcPr>
          <w:p w14:paraId="386A9FA1" w14:textId="77777777" w:rsidR="00713DBF" w:rsidRDefault="00713DBF" w:rsidP="00713DBF">
            <w:pPr>
              <w:pStyle w:val="TableParagraph"/>
              <w:tabs>
                <w:tab w:val="left" w:pos="382"/>
              </w:tabs>
              <w:spacing w:before="53"/>
              <w:rPr>
                <w:rFonts w:eastAsia="Calibri" w:cstheme="minorHAnsi"/>
              </w:rPr>
            </w:pPr>
            <w:r>
              <w:rPr>
                <w:rFonts w:eastAsia="Calibri" w:cstheme="minorHAnsi"/>
              </w:rPr>
              <w:lastRenderedPageBreak/>
              <w:t>3a. Met</w:t>
            </w:r>
          </w:p>
          <w:p w14:paraId="6D7AA2F4" w14:textId="77777777" w:rsidR="00713DBF" w:rsidRDefault="00713DBF" w:rsidP="00713DBF">
            <w:pPr>
              <w:pStyle w:val="TableParagraph"/>
              <w:tabs>
                <w:tab w:val="left" w:pos="382"/>
              </w:tabs>
              <w:spacing w:before="53"/>
              <w:rPr>
                <w:rFonts w:eastAsia="Calibri" w:cstheme="minorHAnsi"/>
              </w:rPr>
            </w:pPr>
          </w:p>
          <w:p w14:paraId="14CA55B7" w14:textId="77777777" w:rsidR="00713DBF" w:rsidRDefault="00713DBF" w:rsidP="00713DBF">
            <w:pPr>
              <w:pStyle w:val="TableParagraph"/>
              <w:tabs>
                <w:tab w:val="left" w:pos="382"/>
              </w:tabs>
              <w:spacing w:before="53"/>
              <w:rPr>
                <w:rFonts w:eastAsia="Calibri" w:cstheme="minorHAnsi"/>
              </w:rPr>
            </w:pPr>
          </w:p>
          <w:p w14:paraId="314716B0" w14:textId="77777777" w:rsidR="00713DBF" w:rsidRDefault="00713DBF" w:rsidP="00713DBF">
            <w:pPr>
              <w:pStyle w:val="TableParagraph"/>
              <w:tabs>
                <w:tab w:val="left" w:pos="382"/>
              </w:tabs>
              <w:spacing w:before="53"/>
              <w:rPr>
                <w:rFonts w:eastAsia="Calibri" w:cstheme="minorHAnsi"/>
              </w:rPr>
            </w:pPr>
          </w:p>
          <w:p w14:paraId="0F3E232D" w14:textId="77777777" w:rsidR="00713DBF" w:rsidRDefault="00713DBF" w:rsidP="00713DBF">
            <w:pPr>
              <w:pStyle w:val="TableParagraph"/>
              <w:tabs>
                <w:tab w:val="left" w:pos="382"/>
              </w:tabs>
              <w:spacing w:before="53"/>
              <w:rPr>
                <w:rFonts w:eastAsia="Calibri" w:cstheme="minorHAnsi"/>
              </w:rPr>
            </w:pPr>
          </w:p>
          <w:p w14:paraId="5DD82287" w14:textId="77777777" w:rsidR="00713DBF" w:rsidRPr="00F43C38" w:rsidRDefault="00713DBF" w:rsidP="00713DBF">
            <w:pPr>
              <w:pStyle w:val="TableParagraph"/>
              <w:tabs>
                <w:tab w:val="left" w:pos="382"/>
              </w:tabs>
              <w:spacing w:before="53"/>
              <w:rPr>
                <w:rFonts w:eastAsia="Calibri" w:cstheme="minorHAnsi"/>
              </w:rPr>
            </w:pPr>
            <w:r>
              <w:rPr>
                <w:rFonts w:eastAsia="Calibri" w:cstheme="minorHAnsi"/>
              </w:rPr>
              <w:t>3b. Not Met</w:t>
            </w:r>
          </w:p>
        </w:tc>
        <w:tc>
          <w:tcPr>
            <w:tcW w:w="1920" w:type="pct"/>
            <w:tcBorders>
              <w:top w:val="single" w:sz="4" w:space="0" w:color="000000"/>
              <w:left w:val="single" w:sz="4" w:space="0" w:color="000000"/>
              <w:bottom w:val="single" w:sz="4" w:space="0" w:color="000000"/>
              <w:right w:val="single" w:sz="4" w:space="0" w:color="000000"/>
            </w:tcBorders>
          </w:tcPr>
          <w:p w14:paraId="47B18330" w14:textId="77777777" w:rsidR="00713DBF" w:rsidRDefault="00713DBF" w:rsidP="00713DBF">
            <w:pPr>
              <w:pStyle w:val="TableParagraph"/>
              <w:spacing w:after="60"/>
              <w:ind w:left="103"/>
              <w:rPr>
                <w:rFonts w:cstheme="minorHAnsi"/>
              </w:rPr>
            </w:pPr>
            <w:r>
              <w:rPr>
                <w:rFonts w:cstheme="minorHAnsi"/>
              </w:rPr>
              <w:lastRenderedPageBreak/>
              <w:t xml:space="preserve">3a. School reports that in 2017-2018 data were presented to board </w:t>
            </w:r>
            <w:r>
              <w:rPr>
                <w:rFonts w:cstheme="minorHAnsi"/>
              </w:rPr>
              <w:lastRenderedPageBreak/>
              <w:t xml:space="preserve">members, faculty, staff, and school council to show baseline data on Next Gen MCAS assessment. </w:t>
            </w:r>
          </w:p>
          <w:p w14:paraId="0002A2BB" w14:textId="77777777" w:rsidR="00713DBF" w:rsidRDefault="00713DBF" w:rsidP="00713DBF">
            <w:pPr>
              <w:pStyle w:val="TableParagraph"/>
              <w:spacing w:after="60"/>
              <w:ind w:left="103"/>
              <w:rPr>
                <w:rFonts w:cstheme="minorHAnsi"/>
              </w:rPr>
            </w:pPr>
          </w:p>
          <w:p w14:paraId="00298EB1" w14:textId="77777777" w:rsidR="00713DBF" w:rsidRPr="00F43C38" w:rsidRDefault="00713DBF" w:rsidP="00713DBF">
            <w:pPr>
              <w:pStyle w:val="TableParagraph"/>
              <w:spacing w:after="60"/>
              <w:ind w:left="103"/>
              <w:rPr>
                <w:rFonts w:cstheme="minorHAnsi"/>
              </w:rPr>
            </w:pPr>
            <w:r>
              <w:rPr>
                <w:rFonts w:cstheme="minorHAnsi"/>
              </w:rPr>
              <w:t xml:space="preserve">3b. School reports that in 2017-2018 it introduced protocols to review data, but implementation of systems to inform instruction would be implemented by PLCs during the 2018-2019 school year. </w:t>
            </w:r>
          </w:p>
        </w:tc>
      </w:tr>
      <w:tr w:rsidR="00713DBF" w:rsidRPr="00F43C38" w14:paraId="7E042B76" w14:textId="77777777" w:rsidTr="00713DBF">
        <w:trPr>
          <w:trHeight w:val="20"/>
        </w:trPr>
        <w:tc>
          <w:tcPr>
            <w:tcW w:w="2308" w:type="pct"/>
            <w:tcBorders>
              <w:top w:val="single" w:sz="4" w:space="0" w:color="000000"/>
              <w:left w:val="single" w:sz="4" w:space="0" w:color="000000"/>
              <w:bottom w:val="single" w:sz="4" w:space="0" w:color="000000"/>
              <w:right w:val="single" w:sz="4" w:space="0" w:color="000000"/>
            </w:tcBorders>
          </w:tcPr>
          <w:p w14:paraId="0D50CE0B" w14:textId="77777777" w:rsidR="00713DBF" w:rsidRPr="00F43C38" w:rsidRDefault="00713DBF" w:rsidP="00713DBF">
            <w:pPr>
              <w:pStyle w:val="TableParagraph"/>
              <w:tabs>
                <w:tab w:val="left" w:pos="464"/>
              </w:tabs>
              <w:spacing w:before="80"/>
              <w:ind w:left="463"/>
              <w:rPr>
                <w:rFonts w:eastAsia="Calibri" w:cstheme="minorHAnsi"/>
              </w:rPr>
            </w:pPr>
            <w:r w:rsidRPr="00F43C38">
              <w:rPr>
                <w:rFonts w:cstheme="minorHAnsi"/>
              </w:rPr>
              <w:lastRenderedPageBreak/>
              <w:t>4.a. GCVS Instructional Leadership Team will lead a study to implement changes to GCVS grading system to reflect mastery of competencies, with the goal of revising the grading system.</w:t>
            </w:r>
          </w:p>
        </w:tc>
        <w:tc>
          <w:tcPr>
            <w:tcW w:w="772" w:type="pct"/>
            <w:tcBorders>
              <w:top w:val="single" w:sz="4" w:space="0" w:color="000000"/>
              <w:left w:val="single" w:sz="4" w:space="0" w:color="000000"/>
              <w:bottom w:val="single" w:sz="4" w:space="0" w:color="000000"/>
              <w:right w:val="single" w:sz="4" w:space="0" w:color="000000"/>
            </w:tcBorders>
          </w:tcPr>
          <w:p w14:paraId="6FFD28F3" w14:textId="77777777" w:rsidR="00713DBF" w:rsidRPr="00F43C38" w:rsidRDefault="00713DBF" w:rsidP="00713DBF">
            <w:pPr>
              <w:pStyle w:val="TableParagraph"/>
              <w:tabs>
                <w:tab w:val="left" w:pos="382"/>
              </w:tabs>
              <w:spacing w:before="53"/>
              <w:rPr>
                <w:rFonts w:eastAsia="Calibri" w:cstheme="minorHAnsi"/>
              </w:rPr>
            </w:pPr>
            <w:r>
              <w:rPr>
                <w:rFonts w:eastAsia="Calibri" w:cstheme="minorHAnsi"/>
              </w:rPr>
              <w:t>4. Not Met</w:t>
            </w:r>
          </w:p>
        </w:tc>
        <w:tc>
          <w:tcPr>
            <w:tcW w:w="1920" w:type="pct"/>
            <w:tcBorders>
              <w:top w:val="single" w:sz="4" w:space="0" w:color="000000"/>
              <w:left w:val="single" w:sz="4" w:space="0" w:color="000000"/>
              <w:bottom w:val="single" w:sz="4" w:space="0" w:color="000000"/>
              <w:right w:val="single" w:sz="4" w:space="0" w:color="000000"/>
            </w:tcBorders>
          </w:tcPr>
          <w:p w14:paraId="5E18F1E1" w14:textId="77777777" w:rsidR="00713DBF" w:rsidRPr="00F43C38" w:rsidRDefault="00713DBF" w:rsidP="00713DBF">
            <w:pPr>
              <w:pStyle w:val="TableParagraph"/>
              <w:spacing w:after="60"/>
              <w:ind w:left="103"/>
              <w:rPr>
                <w:rFonts w:cstheme="minorHAnsi"/>
              </w:rPr>
            </w:pPr>
            <w:r>
              <w:rPr>
                <w:rFonts w:cstheme="minorHAnsi"/>
              </w:rPr>
              <w:t xml:space="preserve">4. School reports that in 2017-2018 it introduced these concepts to the school community, but work on development of competencies, rubrics, and aligning to assessments, grading system, and reports cards would take place during the 2018-2019 school year. </w:t>
            </w:r>
          </w:p>
        </w:tc>
      </w:tr>
      <w:tr w:rsidR="00713DBF" w:rsidRPr="00F43C38" w14:paraId="771C6446" w14:textId="77777777" w:rsidTr="00713DBF">
        <w:trPr>
          <w:trHeight w:val="20"/>
        </w:trPr>
        <w:tc>
          <w:tcPr>
            <w:tcW w:w="2308" w:type="pct"/>
            <w:tcBorders>
              <w:top w:val="single" w:sz="4" w:space="0" w:color="000000"/>
              <w:left w:val="single" w:sz="4" w:space="0" w:color="000000"/>
              <w:bottom w:val="single" w:sz="4" w:space="0" w:color="000000"/>
              <w:right w:val="single" w:sz="4" w:space="0" w:color="000000"/>
            </w:tcBorders>
          </w:tcPr>
          <w:p w14:paraId="01044F33" w14:textId="77777777" w:rsidR="00713DBF" w:rsidRPr="00F43C38" w:rsidRDefault="00713DBF" w:rsidP="00713DBF">
            <w:pPr>
              <w:pStyle w:val="TableParagraph"/>
              <w:tabs>
                <w:tab w:val="left" w:pos="464"/>
              </w:tabs>
              <w:spacing w:before="80"/>
              <w:ind w:left="463"/>
              <w:rPr>
                <w:rFonts w:eastAsia="Calibri" w:cstheme="minorHAnsi"/>
              </w:rPr>
            </w:pPr>
            <w:r w:rsidRPr="00F43C38">
              <w:rPr>
                <w:rFonts w:cstheme="minorHAnsi"/>
              </w:rPr>
              <w:t>5. Close the percentage gap of students meeting or exceeding expectations on MCAS between local and state averages for each reportable subgroup in grades 3-8 and 10 in all areas by June 2019. Decrease the gap by 50% in 2018 and by 25% in 2019.</w:t>
            </w:r>
          </w:p>
        </w:tc>
        <w:tc>
          <w:tcPr>
            <w:tcW w:w="772" w:type="pct"/>
            <w:tcBorders>
              <w:top w:val="single" w:sz="4" w:space="0" w:color="000000"/>
              <w:left w:val="single" w:sz="4" w:space="0" w:color="000000"/>
              <w:bottom w:val="single" w:sz="4" w:space="0" w:color="000000"/>
              <w:right w:val="single" w:sz="4" w:space="0" w:color="000000"/>
            </w:tcBorders>
          </w:tcPr>
          <w:p w14:paraId="1D5EF86C" w14:textId="77777777" w:rsidR="00713DBF" w:rsidRPr="00F43C38" w:rsidRDefault="00713DBF" w:rsidP="00713DBF">
            <w:pPr>
              <w:pStyle w:val="TableParagraph"/>
              <w:tabs>
                <w:tab w:val="left" w:pos="382"/>
              </w:tabs>
              <w:spacing w:before="53"/>
              <w:rPr>
                <w:rFonts w:eastAsia="Calibri" w:cstheme="minorHAnsi"/>
              </w:rPr>
            </w:pPr>
            <w:r>
              <w:rPr>
                <w:rFonts w:eastAsia="Calibri" w:cstheme="minorHAnsi"/>
              </w:rPr>
              <w:t>5. Not Met for 2018</w:t>
            </w:r>
          </w:p>
        </w:tc>
        <w:tc>
          <w:tcPr>
            <w:tcW w:w="1920" w:type="pct"/>
            <w:tcBorders>
              <w:top w:val="single" w:sz="4" w:space="0" w:color="000000"/>
              <w:left w:val="single" w:sz="4" w:space="0" w:color="000000"/>
              <w:bottom w:val="single" w:sz="4" w:space="0" w:color="000000"/>
              <w:right w:val="single" w:sz="4" w:space="0" w:color="000000"/>
            </w:tcBorders>
          </w:tcPr>
          <w:p w14:paraId="5F6D171C" w14:textId="77777777" w:rsidR="00713DBF" w:rsidRPr="00F43C38" w:rsidRDefault="00713DBF" w:rsidP="00713DBF">
            <w:pPr>
              <w:pStyle w:val="TableParagraph"/>
              <w:spacing w:after="60"/>
              <w:ind w:left="103"/>
              <w:rPr>
                <w:rFonts w:cstheme="minorHAnsi"/>
              </w:rPr>
            </w:pPr>
            <w:r>
              <w:rPr>
                <w:rFonts w:cstheme="minorHAnsi"/>
              </w:rPr>
              <w:t xml:space="preserve">5. MCAS data show that GVCS students declined in 2018 across every subject area and grade level when compared to 2017 (with the exception of grade 10 ELA, which showed a one percent increase in proficiency in 2018). Gaps increased for the “all students” group between 2017 and 2018 results. </w:t>
            </w:r>
          </w:p>
        </w:tc>
      </w:tr>
    </w:tbl>
    <w:p w14:paraId="173FC486" w14:textId="77777777" w:rsidR="00713DBF" w:rsidRPr="00F43C38" w:rsidRDefault="00713DBF" w:rsidP="00713DBF">
      <w:pPr>
        <w:spacing w:before="1"/>
        <w:rPr>
          <w:rFonts w:cstheme="minorHAnsi"/>
        </w:rPr>
      </w:pPr>
    </w:p>
    <w:p w14:paraId="0462FC29" w14:textId="77777777" w:rsidR="00713DBF" w:rsidRDefault="00713DBF" w:rsidP="00713DBF">
      <w:pPr>
        <w:rPr>
          <w:rFonts w:cstheme="minorHAnsi"/>
          <w:b/>
        </w:rPr>
      </w:pPr>
      <w:r>
        <w:rPr>
          <w:rFonts w:cstheme="minorHAnsi"/>
          <w:b/>
        </w:rPr>
        <w:t>GCVS Response:</w:t>
      </w:r>
    </w:p>
    <w:p w14:paraId="64705C34" w14:textId="77777777" w:rsidR="00713DBF" w:rsidRDefault="00713DBF" w:rsidP="00713DBF">
      <w:pPr>
        <w:rPr>
          <w:rFonts w:cstheme="minorHAnsi"/>
        </w:rPr>
      </w:pPr>
      <w:r>
        <w:rPr>
          <w:rFonts w:cstheme="minorHAnsi"/>
        </w:rPr>
        <w:t xml:space="preserve">Action item 1c, in the school’s view, is partially met. At the time of the visit, an initial training of staff on the data dashboard and Datawise protocols had been completed. The process of using protocols to analyze data, reflect on their meaning, and use them to improve both asynchronous curriculum and live lesson instruction is ongoing. The grade level and engagement teams have established times to engage in this work as PLCs. </w:t>
      </w:r>
    </w:p>
    <w:p w14:paraId="458E1048" w14:textId="77777777" w:rsidR="00713DBF" w:rsidRDefault="00713DBF" w:rsidP="00713DBF">
      <w:pPr>
        <w:rPr>
          <w:rFonts w:cstheme="minorHAnsi"/>
        </w:rPr>
      </w:pPr>
      <w:r>
        <w:rPr>
          <w:rFonts w:cstheme="minorHAnsi"/>
        </w:rPr>
        <w:t>Action item 2 is in progress. Teachers were paid stipends for summer assessment work after training on competency-based education and measuring outcomes held in June 2018. Teachers met in K-12 vertical teams to determine the competencies they would measure based on the Massachusetts standards. These competencies were uploaded into Canvas and the teachers have been working continuously throughout this year to align their assessments with the competencies they have determined as critical to student success. Our goal is to have the initial work completed by June 2019 and to begin to use the data generated to further inform curriculum and instruction.</w:t>
      </w:r>
    </w:p>
    <w:p w14:paraId="76136861" w14:textId="77777777" w:rsidR="00713DBF" w:rsidRDefault="00713DBF" w:rsidP="00713DBF">
      <w:pPr>
        <w:rPr>
          <w:rFonts w:cstheme="minorHAnsi"/>
        </w:rPr>
      </w:pPr>
      <w:r>
        <w:rPr>
          <w:rFonts w:cstheme="minorHAnsi"/>
        </w:rPr>
        <w:lastRenderedPageBreak/>
        <w:t>Action item 3b is also a work in progress. The target, as stated above, in the plan is to work toward a June 2019 date of completion. The evidence cited by the site visit team are active steps the school is taking this year.</w:t>
      </w:r>
    </w:p>
    <w:p w14:paraId="6198435A" w14:textId="77777777" w:rsidR="00713DBF" w:rsidRDefault="00713DBF" w:rsidP="00713DBF">
      <w:pPr>
        <w:rPr>
          <w:rFonts w:cstheme="minorHAnsi"/>
        </w:rPr>
      </w:pPr>
      <w:r>
        <w:rPr>
          <w:rFonts w:cstheme="minorHAnsi"/>
        </w:rPr>
        <w:t>Action item 4 has been partially met. The faculty have been trained in the principles of competency-based, personalized learning; have identified competencies that will be assessed within Canvas and have begun the process of mapping course assessments to those competencies. That work will, in turn, result in data in Canvas that will assist teachers in tracking students’ progress toward mastery. Discussions of how this will impact grading practices and what changes need to be made is in its early stages and will continue throughout the remainder of the school year.</w:t>
      </w:r>
    </w:p>
    <w:p w14:paraId="295CC61D" w14:textId="77777777" w:rsidR="00713DBF" w:rsidRDefault="00713DBF" w:rsidP="00713DBF">
      <w:pPr>
        <w:rPr>
          <w:rFonts w:cstheme="minorHAnsi"/>
        </w:rPr>
      </w:pPr>
      <w:r>
        <w:rPr>
          <w:rFonts w:cstheme="minorHAnsi"/>
        </w:rPr>
        <w:t>GCVS acknowledges that action item 5 has not been met and is fully aware of the work that lies ahead to meet this challenging goal. As noted above, this involves a focus on engagement as well as academics to achieve.</w:t>
      </w:r>
    </w:p>
    <w:p w14:paraId="67290805" w14:textId="77777777" w:rsidR="00713DBF" w:rsidRDefault="00713DBF" w:rsidP="00713DBF">
      <w:pPr>
        <w:rPr>
          <w:rFonts w:cstheme="minorHAnsi"/>
        </w:rPr>
      </w:pPr>
    </w:p>
    <w:p w14:paraId="2C259E94" w14:textId="77777777" w:rsidR="00713DBF" w:rsidRPr="00EC3E3B" w:rsidRDefault="00713DBF" w:rsidP="00713DBF">
      <w:pPr>
        <w:rPr>
          <w:rFonts w:cstheme="minorHAnsi"/>
        </w:rPr>
      </w:pPr>
      <w:r w:rsidRPr="00EC3E3B">
        <w:rPr>
          <w:rFonts w:cstheme="minorHAnsi"/>
          <w:b/>
          <w:i/>
        </w:rPr>
        <w:t>Accountability Goal #3</w:t>
      </w:r>
      <w:r w:rsidRPr="00EC3E3B">
        <w:rPr>
          <w:rFonts w:cstheme="minorHAnsi"/>
        </w:rPr>
        <w:t>: Increase faculty &amp; staff/student/family/community engagement in the life of the school through the personalized learning and activities designed to increase input into the school.</w:t>
      </w:r>
    </w:p>
    <w:p w14:paraId="3A4169C9" w14:textId="77777777" w:rsidR="00713DBF" w:rsidRDefault="00713DBF" w:rsidP="00713DBF">
      <w:pPr>
        <w:rPr>
          <w:sz w:val="26"/>
          <w:szCs w:val="26"/>
        </w:rPr>
      </w:pPr>
      <w:r w:rsidRPr="00EC3E3B">
        <w:rPr>
          <w:b/>
          <w:i/>
        </w:rPr>
        <w:t>Rationale</w:t>
      </w:r>
      <w:r w:rsidRPr="00EC3E3B">
        <w:t>: The school has experienced a history of varying degrees of engagement with families, agencies, and the broader community.  Increased engagement leads to increased student learning/achievement, an overarching goal that drives this plan.</w:t>
      </w:r>
    </w:p>
    <w:tbl>
      <w:tblPr>
        <w:tblW w:w="5000" w:type="pct"/>
        <w:tblCellMar>
          <w:left w:w="0" w:type="dxa"/>
          <w:right w:w="0" w:type="dxa"/>
        </w:tblCellMar>
        <w:tblLook w:val="01E0" w:firstRow="1" w:lastRow="1" w:firstColumn="1" w:lastColumn="1" w:noHBand="0" w:noVBand="0"/>
      </w:tblPr>
      <w:tblGrid>
        <w:gridCol w:w="4450"/>
        <w:gridCol w:w="1539"/>
        <w:gridCol w:w="3451"/>
      </w:tblGrid>
      <w:tr w:rsidR="00713DBF" w:rsidRPr="00EE123E" w14:paraId="39B2FF2A" w14:textId="77777777" w:rsidTr="00713DBF">
        <w:trPr>
          <w:trHeight w:val="20"/>
          <w:tblHeader/>
        </w:trPr>
        <w:tc>
          <w:tcPr>
            <w:tcW w:w="2357" w:type="pct"/>
            <w:tcBorders>
              <w:top w:val="single" w:sz="4" w:space="0" w:color="000000"/>
              <w:left w:val="single" w:sz="4" w:space="0" w:color="000000"/>
              <w:bottom w:val="single" w:sz="4" w:space="0" w:color="000000"/>
              <w:right w:val="single" w:sz="4" w:space="0" w:color="000000"/>
            </w:tcBorders>
            <w:shd w:val="clear" w:color="auto" w:fill="F1F1F1"/>
            <w:vAlign w:val="center"/>
          </w:tcPr>
          <w:p w14:paraId="7A840B93" w14:textId="77777777" w:rsidR="00713DBF" w:rsidRPr="00EE123E" w:rsidRDefault="00713DBF" w:rsidP="00713DBF">
            <w:pPr>
              <w:pStyle w:val="TableParagraph"/>
              <w:spacing w:before="60" w:after="60"/>
              <w:ind w:left="103"/>
              <w:rPr>
                <w:rFonts w:eastAsia="Calibri" w:cs="Calibri"/>
              </w:rPr>
            </w:pPr>
            <w:r w:rsidRPr="00EE123E">
              <w:rPr>
                <w:b/>
              </w:rPr>
              <w:t>Action Step</w:t>
            </w:r>
          </w:p>
        </w:tc>
        <w:tc>
          <w:tcPr>
            <w:tcW w:w="815" w:type="pct"/>
            <w:tcBorders>
              <w:top w:val="single" w:sz="4" w:space="0" w:color="000000"/>
              <w:left w:val="single" w:sz="4" w:space="0" w:color="000000"/>
              <w:bottom w:val="single" w:sz="4" w:space="0" w:color="000000"/>
              <w:right w:val="single" w:sz="4" w:space="0" w:color="000000"/>
            </w:tcBorders>
            <w:shd w:val="clear" w:color="auto" w:fill="F1F1F1"/>
            <w:vAlign w:val="center"/>
          </w:tcPr>
          <w:p w14:paraId="36BCF226" w14:textId="77777777" w:rsidR="00713DBF" w:rsidRPr="00EE123E" w:rsidRDefault="00713DBF" w:rsidP="00713DBF">
            <w:pPr>
              <w:pStyle w:val="TableParagraph"/>
              <w:spacing w:before="60" w:after="60"/>
              <w:ind w:left="103"/>
              <w:rPr>
                <w:rFonts w:eastAsia="Calibri" w:cs="Calibri"/>
              </w:rPr>
            </w:pPr>
            <w:r w:rsidRPr="00EE123E">
              <w:rPr>
                <w:b/>
              </w:rPr>
              <w:t>2017-18</w:t>
            </w:r>
          </w:p>
        </w:tc>
        <w:tc>
          <w:tcPr>
            <w:tcW w:w="1828" w:type="pct"/>
            <w:tcBorders>
              <w:top w:val="single" w:sz="4" w:space="0" w:color="000000"/>
              <w:left w:val="single" w:sz="4" w:space="0" w:color="000000"/>
              <w:bottom w:val="single" w:sz="4" w:space="0" w:color="000000"/>
              <w:right w:val="single" w:sz="4" w:space="0" w:color="000000"/>
            </w:tcBorders>
            <w:shd w:val="clear" w:color="auto" w:fill="F1F1F1"/>
            <w:vAlign w:val="center"/>
          </w:tcPr>
          <w:p w14:paraId="09A27D71" w14:textId="77777777" w:rsidR="00713DBF" w:rsidRPr="00EE123E" w:rsidRDefault="00713DBF" w:rsidP="00713DBF">
            <w:pPr>
              <w:pStyle w:val="TableParagraph"/>
              <w:spacing w:before="60" w:after="60"/>
              <w:ind w:left="103"/>
              <w:rPr>
                <w:rFonts w:eastAsia="Calibri" w:cs="Calibri"/>
              </w:rPr>
            </w:pPr>
            <w:r w:rsidRPr="00EE123E">
              <w:rPr>
                <w:b/>
              </w:rPr>
              <w:t>Evidence</w:t>
            </w:r>
          </w:p>
        </w:tc>
      </w:tr>
      <w:tr w:rsidR="00713DBF" w:rsidRPr="00EE123E" w14:paraId="5BD9391A" w14:textId="77777777" w:rsidTr="00713DBF">
        <w:trPr>
          <w:trHeight w:val="20"/>
        </w:trPr>
        <w:tc>
          <w:tcPr>
            <w:tcW w:w="2357" w:type="pct"/>
            <w:tcBorders>
              <w:top w:val="single" w:sz="4" w:space="0" w:color="000000"/>
              <w:left w:val="single" w:sz="4" w:space="0" w:color="000000"/>
              <w:bottom w:val="single" w:sz="4" w:space="0" w:color="000000"/>
              <w:right w:val="single" w:sz="4" w:space="0" w:color="000000"/>
            </w:tcBorders>
            <w:vAlign w:val="center"/>
          </w:tcPr>
          <w:p w14:paraId="22F3C10E" w14:textId="77777777" w:rsidR="00713DBF" w:rsidRPr="00EE123E" w:rsidRDefault="00713DBF" w:rsidP="00713DBF">
            <w:pPr>
              <w:pStyle w:val="TableParagraph"/>
              <w:tabs>
                <w:tab w:val="left" w:pos="463"/>
              </w:tabs>
              <w:ind w:left="280"/>
              <w:rPr>
                <w:rFonts w:eastAsia="Calibri" w:cstheme="minorHAnsi"/>
              </w:rPr>
            </w:pPr>
            <w:r w:rsidRPr="00EE123E">
              <w:rPr>
                <w:rFonts w:cstheme="minorHAnsi"/>
              </w:rPr>
              <w:t>1.    Engage with appropriate state/regional entities (ESE, Digital Learning Advisory Council, MAPLE Consortium, MassCUE, Superintendent Networks, Collaboratives, state legislative representatives, etc.)</w:t>
            </w:r>
          </w:p>
        </w:tc>
        <w:tc>
          <w:tcPr>
            <w:tcW w:w="815" w:type="pct"/>
            <w:tcBorders>
              <w:top w:val="single" w:sz="4" w:space="0" w:color="000000"/>
              <w:left w:val="single" w:sz="4" w:space="0" w:color="000000"/>
              <w:bottom w:val="single" w:sz="4" w:space="0" w:color="000000"/>
              <w:right w:val="single" w:sz="4" w:space="0" w:color="000000"/>
            </w:tcBorders>
          </w:tcPr>
          <w:p w14:paraId="7C4204E8" w14:textId="77777777" w:rsidR="00713DBF" w:rsidRPr="00EE123E" w:rsidRDefault="00713DBF" w:rsidP="00713DBF">
            <w:pPr>
              <w:pStyle w:val="TableParagraph"/>
              <w:tabs>
                <w:tab w:val="left" w:pos="382"/>
              </w:tabs>
              <w:spacing w:before="51" w:line="244" w:lineRule="auto"/>
              <w:ind w:left="103" w:right="402"/>
              <w:rPr>
                <w:rFonts w:eastAsia="Calibri" w:cs="Calibri"/>
              </w:rPr>
            </w:pPr>
            <w:r w:rsidRPr="00EE123E">
              <w:rPr>
                <w:rFonts w:eastAsia="Calibri" w:cs="Calibri"/>
              </w:rPr>
              <w:t>1. Met</w:t>
            </w:r>
          </w:p>
        </w:tc>
        <w:tc>
          <w:tcPr>
            <w:tcW w:w="1828" w:type="pct"/>
            <w:tcBorders>
              <w:top w:val="single" w:sz="4" w:space="0" w:color="000000"/>
              <w:left w:val="single" w:sz="4" w:space="0" w:color="000000"/>
              <w:bottom w:val="single" w:sz="4" w:space="0" w:color="000000"/>
              <w:right w:val="single" w:sz="4" w:space="0" w:color="000000"/>
            </w:tcBorders>
          </w:tcPr>
          <w:p w14:paraId="0BC33BC9" w14:textId="77777777" w:rsidR="00713DBF" w:rsidRPr="00EE123E" w:rsidRDefault="00713DBF" w:rsidP="00713DBF">
            <w:pPr>
              <w:pStyle w:val="TableParagraph"/>
              <w:ind w:left="103"/>
              <w:rPr>
                <w:rFonts w:eastAsia="Times New Roman" w:cs="Times New Roman"/>
              </w:rPr>
            </w:pPr>
            <w:r w:rsidRPr="00EE123E">
              <w:rPr>
                <w:rFonts w:eastAsia="Times New Roman" w:cs="Times New Roman"/>
              </w:rPr>
              <w:t xml:space="preserve">1. </w:t>
            </w:r>
            <w:r w:rsidRPr="00EE123E">
              <w:rPr>
                <w:rFonts w:cstheme="minorHAnsi"/>
              </w:rPr>
              <w:t xml:space="preserve">School reports that in 2017-2018, the ED attended a variety of meetings noted in the measure. </w:t>
            </w:r>
          </w:p>
        </w:tc>
      </w:tr>
      <w:tr w:rsidR="00713DBF" w:rsidRPr="00EE123E" w14:paraId="770EA70D" w14:textId="77777777" w:rsidTr="00713DBF">
        <w:trPr>
          <w:trHeight w:val="20"/>
        </w:trPr>
        <w:tc>
          <w:tcPr>
            <w:tcW w:w="2357" w:type="pct"/>
            <w:tcBorders>
              <w:top w:val="single" w:sz="4" w:space="0" w:color="000000"/>
              <w:left w:val="single" w:sz="4" w:space="0" w:color="000000"/>
              <w:bottom w:val="single" w:sz="4" w:space="0" w:color="000000"/>
              <w:right w:val="single" w:sz="4" w:space="0" w:color="000000"/>
            </w:tcBorders>
          </w:tcPr>
          <w:p w14:paraId="3770854B" w14:textId="77777777" w:rsidR="00713DBF" w:rsidRPr="00EE123E" w:rsidRDefault="00713DBF" w:rsidP="00713DBF">
            <w:pPr>
              <w:pStyle w:val="TableParagraph"/>
              <w:tabs>
                <w:tab w:val="left" w:pos="464"/>
              </w:tabs>
              <w:spacing w:before="60"/>
              <w:ind w:left="280"/>
              <w:rPr>
                <w:rFonts w:eastAsia="Calibri" w:cstheme="minorHAnsi"/>
              </w:rPr>
            </w:pPr>
            <w:r w:rsidRPr="00EE123E">
              <w:rPr>
                <w:rFonts w:cstheme="minorHAnsi"/>
              </w:rPr>
              <w:t>2.    Engage with families/community through the establishment of a School Council as established by the Education Reform Act of 1993.</w:t>
            </w:r>
          </w:p>
        </w:tc>
        <w:tc>
          <w:tcPr>
            <w:tcW w:w="815" w:type="pct"/>
            <w:tcBorders>
              <w:top w:val="single" w:sz="4" w:space="0" w:color="000000"/>
              <w:left w:val="single" w:sz="4" w:space="0" w:color="000000"/>
              <w:bottom w:val="single" w:sz="4" w:space="0" w:color="000000"/>
              <w:right w:val="single" w:sz="4" w:space="0" w:color="000000"/>
            </w:tcBorders>
          </w:tcPr>
          <w:p w14:paraId="72B668D5" w14:textId="77777777" w:rsidR="00713DBF" w:rsidRPr="00EE123E" w:rsidRDefault="00713DBF" w:rsidP="00713DBF">
            <w:pPr>
              <w:pStyle w:val="TableParagraph"/>
              <w:tabs>
                <w:tab w:val="left" w:pos="382"/>
              </w:tabs>
              <w:spacing w:before="51" w:line="244" w:lineRule="auto"/>
              <w:ind w:left="103" w:right="402"/>
              <w:rPr>
                <w:rFonts w:eastAsia="Calibri" w:cs="Calibri"/>
              </w:rPr>
            </w:pPr>
            <w:r w:rsidRPr="00EE123E">
              <w:rPr>
                <w:rFonts w:eastAsia="Calibri" w:cs="Calibri"/>
              </w:rPr>
              <w:t>2. Met</w:t>
            </w:r>
          </w:p>
        </w:tc>
        <w:tc>
          <w:tcPr>
            <w:tcW w:w="1828" w:type="pct"/>
            <w:tcBorders>
              <w:top w:val="single" w:sz="4" w:space="0" w:color="000000"/>
              <w:left w:val="single" w:sz="4" w:space="0" w:color="000000"/>
              <w:bottom w:val="single" w:sz="4" w:space="0" w:color="000000"/>
              <w:right w:val="single" w:sz="4" w:space="0" w:color="000000"/>
            </w:tcBorders>
          </w:tcPr>
          <w:p w14:paraId="5AE0A45F" w14:textId="77777777" w:rsidR="00713DBF" w:rsidRPr="00EE123E" w:rsidRDefault="00713DBF" w:rsidP="00713DBF">
            <w:pPr>
              <w:pStyle w:val="TableParagraph"/>
              <w:spacing w:line="206" w:lineRule="exact"/>
              <w:ind w:left="103" w:right="491"/>
              <w:rPr>
                <w:rFonts w:eastAsia="Times New Roman" w:cs="Times New Roman"/>
              </w:rPr>
            </w:pPr>
            <w:r w:rsidRPr="00EE123E">
              <w:rPr>
                <w:rFonts w:cstheme="minorHAnsi"/>
              </w:rPr>
              <w:t xml:space="preserve">2. School reports that in 2017-2018 it established a school council and it met. </w:t>
            </w:r>
          </w:p>
        </w:tc>
      </w:tr>
      <w:tr w:rsidR="00713DBF" w:rsidRPr="00EE123E" w14:paraId="137BD83C" w14:textId="77777777" w:rsidTr="00713DBF">
        <w:trPr>
          <w:trHeight w:val="20"/>
        </w:trPr>
        <w:tc>
          <w:tcPr>
            <w:tcW w:w="2357" w:type="pct"/>
            <w:tcBorders>
              <w:top w:val="single" w:sz="4" w:space="0" w:color="000000"/>
              <w:left w:val="single" w:sz="4" w:space="0" w:color="000000"/>
              <w:bottom w:val="single" w:sz="4" w:space="0" w:color="000000"/>
              <w:right w:val="single" w:sz="4" w:space="0" w:color="000000"/>
            </w:tcBorders>
          </w:tcPr>
          <w:p w14:paraId="082B9610" w14:textId="77777777" w:rsidR="00713DBF" w:rsidRPr="00EE123E" w:rsidRDefault="00713DBF" w:rsidP="00713DBF">
            <w:pPr>
              <w:ind w:left="280"/>
              <w:rPr>
                <w:rFonts w:cstheme="minorHAnsi"/>
              </w:rPr>
            </w:pPr>
            <w:r w:rsidRPr="00EE123E">
              <w:rPr>
                <w:rFonts w:cstheme="minorHAnsi"/>
              </w:rPr>
              <w:t xml:space="preserve">3.a.   Ensure 90% or more of students are engaged in live lessons and asynchronous work </w:t>
            </w:r>
          </w:p>
          <w:p w14:paraId="0B288C81" w14:textId="77777777" w:rsidR="00713DBF" w:rsidRPr="00EE123E" w:rsidRDefault="00713DBF" w:rsidP="00713DBF">
            <w:pPr>
              <w:pStyle w:val="TableParagraph"/>
              <w:tabs>
                <w:tab w:val="left" w:pos="464"/>
              </w:tabs>
              <w:spacing w:before="60"/>
              <w:ind w:left="280" w:right="699"/>
              <w:rPr>
                <w:rFonts w:eastAsia="Calibri" w:cstheme="minorHAnsi"/>
              </w:rPr>
            </w:pPr>
            <w:r w:rsidRPr="00EE123E">
              <w:rPr>
                <w:rFonts w:cstheme="minorHAnsi"/>
              </w:rPr>
              <w:t>3.b.   Increase engagement with students and families through virtual and face-to-face outings and Learning Coach activities designed to extend/enrich the curriculum offered through the school.</w:t>
            </w:r>
          </w:p>
        </w:tc>
        <w:tc>
          <w:tcPr>
            <w:tcW w:w="815" w:type="pct"/>
            <w:tcBorders>
              <w:top w:val="single" w:sz="4" w:space="0" w:color="000000"/>
              <w:left w:val="single" w:sz="4" w:space="0" w:color="000000"/>
              <w:bottom w:val="single" w:sz="4" w:space="0" w:color="000000"/>
              <w:right w:val="single" w:sz="4" w:space="0" w:color="000000"/>
            </w:tcBorders>
          </w:tcPr>
          <w:p w14:paraId="2DA2D62E" w14:textId="77777777" w:rsidR="00713DBF" w:rsidRDefault="00713DBF" w:rsidP="00713DBF">
            <w:pPr>
              <w:pStyle w:val="TableParagraph"/>
              <w:tabs>
                <w:tab w:val="left" w:pos="382"/>
              </w:tabs>
              <w:spacing w:before="51" w:line="242" w:lineRule="auto"/>
              <w:ind w:left="103" w:right="402"/>
              <w:rPr>
                <w:rFonts w:eastAsia="Calibri" w:cs="Calibri"/>
              </w:rPr>
            </w:pPr>
            <w:r w:rsidRPr="00EE123E">
              <w:rPr>
                <w:rFonts w:eastAsia="Calibri" w:cs="Calibri"/>
              </w:rPr>
              <w:t>3a. Not Met</w:t>
            </w:r>
          </w:p>
          <w:p w14:paraId="5AFF67B8" w14:textId="77777777" w:rsidR="00713DBF" w:rsidRDefault="00713DBF" w:rsidP="00713DBF">
            <w:pPr>
              <w:pStyle w:val="TableParagraph"/>
              <w:tabs>
                <w:tab w:val="left" w:pos="382"/>
              </w:tabs>
              <w:spacing w:before="51" w:line="242" w:lineRule="auto"/>
              <w:ind w:left="103" w:right="402"/>
              <w:rPr>
                <w:rFonts w:eastAsia="Calibri" w:cs="Calibri"/>
              </w:rPr>
            </w:pPr>
          </w:p>
          <w:p w14:paraId="133AE2DA" w14:textId="77777777" w:rsidR="00713DBF" w:rsidRPr="00EE123E" w:rsidRDefault="00713DBF" w:rsidP="00713DBF">
            <w:pPr>
              <w:pStyle w:val="TableParagraph"/>
              <w:tabs>
                <w:tab w:val="left" w:pos="382"/>
              </w:tabs>
              <w:spacing w:before="51" w:line="242" w:lineRule="auto"/>
              <w:ind w:left="103" w:right="402"/>
              <w:rPr>
                <w:rFonts w:eastAsia="Calibri" w:cs="Calibri"/>
              </w:rPr>
            </w:pPr>
            <w:r>
              <w:rPr>
                <w:rFonts w:eastAsia="Calibri" w:cs="Calibri"/>
              </w:rPr>
              <w:t>3b. Met</w:t>
            </w:r>
          </w:p>
        </w:tc>
        <w:tc>
          <w:tcPr>
            <w:tcW w:w="1828" w:type="pct"/>
            <w:tcBorders>
              <w:top w:val="single" w:sz="4" w:space="0" w:color="000000"/>
              <w:left w:val="single" w:sz="4" w:space="0" w:color="000000"/>
              <w:bottom w:val="single" w:sz="4" w:space="0" w:color="000000"/>
              <w:right w:val="single" w:sz="4" w:space="0" w:color="000000"/>
            </w:tcBorders>
          </w:tcPr>
          <w:p w14:paraId="551D72FA" w14:textId="77777777" w:rsidR="00713DBF" w:rsidRDefault="00713DBF" w:rsidP="00713DBF">
            <w:pPr>
              <w:pStyle w:val="TableParagraph"/>
              <w:spacing w:after="60"/>
              <w:ind w:left="103" w:right="103"/>
              <w:rPr>
                <w:rFonts w:cstheme="minorHAnsi"/>
              </w:rPr>
            </w:pPr>
            <w:r>
              <w:rPr>
                <w:rFonts w:eastAsia="Times New Roman" w:cs="Times New Roman"/>
              </w:rPr>
              <w:t xml:space="preserve">3a. </w:t>
            </w:r>
            <w:r>
              <w:rPr>
                <w:rFonts w:cstheme="minorHAnsi"/>
              </w:rPr>
              <w:t xml:space="preserve">School reports that in 2017-2018 it put structures in place to assess engagement but did not meet 90% of engagement. </w:t>
            </w:r>
          </w:p>
          <w:p w14:paraId="65D0B9FC" w14:textId="77777777" w:rsidR="00713DBF" w:rsidRPr="00EE123E" w:rsidRDefault="00713DBF" w:rsidP="00713DBF">
            <w:pPr>
              <w:pStyle w:val="TableParagraph"/>
              <w:spacing w:after="60"/>
              <w:ind w:left="103" w:right="103"/>
              <w:rPr>
                <w:rFonts w:eastAsia="Times New Roman" w:cs="Times New Roman"/>
              </w:rPr>
            </w:pPr>
            <w:r>
              <w:rPr>
                <w:rFonts w:cstheme="minorHAnsi"/>
              </w:rPr>
              <w:t xml:space="preserve">3b. School reports that in 2017-2018 it conducted virtual and face-to-face outings; some outings demonstrated 20% attendance from high school students. </w:t>
            </w:r>
          </w:p>
        </w:tc>
      </w:tr>
      <w:tr w:rsidR="00713DBF" w:rsidRPr="00EE123E" w14:paraId="3D38CB4A" w14:textId="77777777" w:rsidTr="00713DBF">
        <w:trPr>
          <w:trHeight w:val="20"/>
        </w:trPr>
        <w:tc>
          <w:tcPr>
            <w:tcW w:w="2357" w:type="pct"/>
            <w:tcBorders>
              <w:top w:val="single" w:sz="4" w:space="0" w:color="000000"/>
              <w:left w:val="single" w:sz="4" w:space="0" w:color="000000"/>
              <w:bottom w:val="single" w:sz="4" w:space="0" w:color="000000"/>
              <w:right w:val="single" w:sz="4" w:space="0" w:color="000000"/>
            </w:tcBorders>
          </w:tcPr>
          <w:p w14:paraId="1123278D" w14:textId="77777777" w:rsidR="00713DBF" w:rsidRPr="00EE123E" w:rsidRDefault="00713DBF" w:rsidP="00713DBF">
            <w:pPr>
              <w:ind w:left="280"/>
              <w:rPr>
                <w:rFonts w:cstheme="minorHAnsi"/>
              </w:rPr>
            </w:pPr>
            <w:r w:rsidRPr="00EE123E">
              <w:rPr>
                <w:rFonts w:cstheme="minorHAnsi"/>
              </w:rPr>
              <w:t>4.a. Increase engagement with students through the development of personalized learning plans in grade 9.</w:t>
            </w:r>
          </w:p>
          <w:p w14:paraId="0CB11714" w14:textId="77777777" w:rsidR="00713DBF" w:rsidRPr="00EE123E" w:rsidRDefault="00713DBF" w:rsidP="00713DBF">
            <w:pPr>
              <w:pStyle w:val="TableParagraph"/>
              <w:tabs>
                <w:tab w:val="left" w:pos="464"/>
              </w:tabs>
              <w:spacing w:before="60"/>
              <w:ind w:left="280" w:right="699"/>
              <w:rPr>
                <w:rFonts w:eastAsia="Calibri" w:cstheme="minorHAnsi"/>
              </w:rPr>
            </w:pPr>
            <w:r w:rsidRPr="00EE123E">
              <w:rPr>
                <w:rFonts w:cstheme="minorHAnsi"/>
              </w:rPr>
              <w:lastRenderedPageBreak/>
              <w:t>4.b. Extend the development of personalized learning plans to the middle school</w:t>
            </w:r>
          </w:p>
        </w:tc>
        <w:tc>
          <w:tcPr>
            <w:tcW w:w="815" w:type="pct"/>
            <w:tcBorders>
              <w:top w:val="single" w:sz="4" w:space="0" w:color="000000"/>
              <w:left w:val="single" w:sz="4" w:space="0" w:color="000000"/>
              <w:bottom w:val="single" w:sz="4" w:space="0" w:color="000000"/>
              <w:right w:val="single" w:sz="4" w:space="0" w:color="000000"/>
            </w:tcBorders>
          </w:tcPr>
          <w:p w14:paraId="00CF1F5B" w14:textId="77777777" w:rsidR="00713DBF" w:rsidRDefault="00713DBF" w:rsidP="00713DBF">
            <w:pPr>
              <w:pStyle w:val="TableParagraph"/>
              <w:tabs>
                <w:tab w:val="left" w:pos="382"/>
              </w:tabs>
              <w:spacing w:before="51" w:line="242" w:lineRule="auto"/>
              <w:ind w:left="103" w:right="402"/>
              <w:rPr>
                <w:rFonts w:eastAsia="Calibri" w:cs="Calibri"/>
              </w:rPr>
            </w:pPr>
            <w:r>
              <w:rPr>
                <w:rFonts w:eastAsia="Calibri" w:cs="Calibri"/>
              </w:rPr>
              <w:lastRenderedPageBreak/>
              <w:t>4a. Not Met</w:t>
            </w:r>
          </w:p>
          <w:p w14:paraId="24F2854E" w14:textId="77777777" w:rsidR="00713DBF" w:rsidRDefault="00713DBF" w:rsidP="00713DBF">
            <w:pPr>
              <w:pStyle w:val="TableParagraph"/>
              <w:tabs>
                <w:tab w:val="left" w:pos="382"/>
              </w:tabs>
              <w:spacing w:before="51" w:line="242" w:lineRule="auto"/>
              <w:ind w:left="103" w:right="402"/>
              <w:rPr>
                <w:rFonts w:eastAsia="Calibri" w:cs="Calibri"/>
              </w:rPr>
            </w:pPr>
          </w:p>
          <w:p w14:paraId="06F0D15D" w14:textId="77777777" w:rsidR="00713DBF" w:rsidRDefault="00713DBF" w:rsidP="00713DBF">
            <w:pPr>
              <w:pStyle w:val="TableParagraph"/>
              <w:tabs>
                <w:tab w:val="left" w:pos="382"/>
              </w:tabs>
              <w:spacing w:before="51" w:line="242" w:lineRule="auto"/>
              <w:ind w:right="402"/>
              <w:rPr>
                <w:rFonts w:eastAsia="Calibri" w:cs="Calibri"/>
              </w:rPr>
            </w:pPr>
          </w:p>
          <w:p w14:paraId="5F9C9B76" w14:textId="77777777" w:rsidR="00713DBF" w:rsidRPr="00EE123E" w:rsidRDefault="00713DBF" w:rsidP="00713DBF">
            <w:pPr>
              <w:pStyle w:val="TableParagraph"/>
              <w:tabs>
                <w:tab w:val="left" w:pos="382"/>
              </w:tabs>
              <w:spacing w:before="51" w:line="242" w:lineRule="auto"/>
              <w:ind w:left="103" w:right="402"/>
              <w:rPr>
                <w:rFonts w:eastAsia="Calibri" w:cs="Calibri"/>
              </w:rPr>
            </w:pPr>
            <w:r>
              <w:rPr>
                <w:rFonts w:eastAsia="Calibri" w:cs="Calibri"/>
              </w:rPr>
              <w:t>4b. Not Met</w:t>
            </w:r>
          </w:p>
        </w:tc>
        <w:tc>
          <w:tcPr>
            <w:tcW w:w="1828" w:type="pct"/>
            <w:tcBorders>
              <w:top w:val="single" w:sz="4" w:space="0" w:color="000000"/>
              <w:left w:val="single" w:sz="4" w:space="0" w:color="000000"/>
              <w:bottom w:val="single" w:sz="4" w:space="0" w:color="000000"/>
              <w:right w:val="single" w:sz="4" w:space="0" w:color="000000"/>
            </w:tcBorders>
          </w:tcPr>
          <w:p w14:paraId="1604E8AE" w14:textId="77777777" w:rsidR="00713DBF" w:rsidRDefault="00713DBF" w:rsidP="00713DBF">
            <w:pPr>
              <w:pStyle w:val="TableParagraph"/>
              <w:spacing w:after="60"/>
              <w:ind w:left="103" w:right="103"/>
              <w:rPr>
                <w:rFonts w:cstheme="minorHAnsi"/>
              </w:rPr>
            </w:pPr>
            <w:r>
              <w:rPr>
                <w:rFonts w:eastAsia="Times New Roman" w:cs="Times New Roman"/>
              </w:rPr>
              <w:lastRenderedPageBreak/>
              <w:t xml:space="preserve">4a. </w:t>
            </w:r>
            <w:r>
              <w:rPr>
                <w:rFonts w:cstheme="minorHAnsi"/>
              </w:rPr>
              <w:t xml:space="preserve">School reports that in 2017-2018 personalized learning plans were developed for 75% of students in grade 9. </w:t>
            </w:r>
          </w:p>
          <w:p w14:paraId="555F1F18" w14:textId="77777777" w:rsidR="00713DBF" w:rsidRPr="00EE123E" w:rsidRDefault="00713DBF" w:rsidP="00713DBF">
            <w:pPr>
              <w:pStyle w:val="TableParagraph"/>
              <w:spacing w:after="60"/>
              <w:ind w:left="103" w:right="103"/>
              <w:rPr>
                <w:rFonts w:eastAsia="Times New Roman" w:cs="Times New Roman"/>
              </w:rPr>
            </w:pPr>
            <w:r>
              <w:rPr>
                <w:rFonts w:cstheme="minorHAnsi"/>
              </w:rPr>
              <w:lastRenderedPageBreak/>
              <w:t xml:space="preserve">4b. School reports that development of personalized learning plans for middle school students will begin in the 2018-2019 school year. </w:t>
            </w:r>
          </w:p>
        </w:tc>
      </w:tr>
      <w:tr w:rsidR="00713DBF" w:rsidRPr="00EE123E" w14:paraId="50410A9A" w14:textId="77777777" w:rsidTr="00713DBF">
        <w:trPr>
          <w:trHeight w:val="20"/>
        </w:trPr>
        <w:tc>
          <w:tcPr>
            <w:tcW w:w="2357" w:type="pct"/>
            <w:tcBorders>
              <w:top w:val="single" w:sz="4" w:space="0" w:color="000000"/>
              <w:left w:val="single" w:sz="4" w:space="0" w:color="000000"/>
              <w:bottom w:val="single" w:sz="4" w:space="0" w:color="000000"/>
              <w:right w:val="single" w:sz="4" w:space="0" w:color="000000"/>
            </w:tcBorders>
          </w:tcPr>
          <w:p w14:paraId="46DB9B1E" w14:textId="77777777" w:rsidR="00713DBF" w:rsidRPr="00EE123E" w:rsidRDefault="00713DBF" w:rsidP="00713DBF">
            <w:pPr>
              <w:pStyle w:val="TableParagraph"/>
              <w:tabs>
                <w:tab w:val="left" w:pos="464"/>
              </w:tabs>
              <w:spacing w:before="60"/>
              <w:ind w:left="280" w:right="699"/>
              <w:rPr>
                <w:rFonts w:eastAsia="Calibri" w:cstheme="minorHAnsi"/>
              </w:rPr>
            </w:pPr>
            <w:r w:rsidRPr="00EE123E">
              <w:rPr>
                <w:rFonts w:cstheme="minorHAnsi"/>
              </w:rPr>
              <w:lastRenderedPageBreak/>
              <w:t>5.   Add blended learning possibilities for small/rural districts that enable expansion of curriculum offerings to both full- and potential part-time students.</w:t>
            </w:r>
          </w:p>
        </w:tc>
        <w:tc>
          <w:tcPr>
            <w:tcW w:w="815" w:type="pct"/>
            <w:tcBorders>
              <w:top w:val="single" w:sz="4" w:space="0" w:color="000000"/>
              <w:left w:val="single" w:sz="4" w:space="0" w:color="000000"/>
              <w:bottom w:val="single" w:sz="4" w:space="0" w:color="000000"/>
              <w:right w:val="single" w:sz="4" w:space="0" w:color="000000"/>
            </w:tcBorders>
          </w:tcPr>
          <w:p w14:paraId="71DAA171" w14:textId="77777777" w:rsidR="00713DBF" w:rsidRPr="00EE123E" w:rsidRDefault="00713DBF" w:rsidP="00713DBF">
            <w:pPr>
              <w:pStyle w:val="TableParagraph"/>
              <w:tabs>
                <w:tab w:val="left" w:pos="382"/>
              </w:tabs>
              <w:spacing w:before="51" w:line="242" w:lineRule="auto"/>
              <w:ind w:left="103" w:right="402"/>
              <w:rPr>
                <w:rFonts w:eastAsia="Calibri" w:cs="Calibri"/>
              </w:rPr>
            </w:pPr>
            <w:r>
              <w:rPr>
                <w:rFonts w:eastAsia="Calibri" w:cs="Calibri"/>
              </w:rPr>
              <w:t>5. Not Met</w:t>
            </w:r>
          </w:p>
        </w:tc>
        <w:tc>
          <w:tcPr>
            <w:tcW w:w="1828" w:type="pct"/>
            <w:tcBorders>
              <w:top w:val="single" w:sz="4" w:space="0" w:color="000000"/>
              <w:left w:val="single" w:sz="4" w:space="0" w:color="000000"/>
              <w:bottom w:val="single" w:sz="4" w:space="0" w:color="000000"/>
              <w:right w:val="single" w:sz="4" w:space="0" w:color="000000"/>
            </w:tcBorders>
          </w:tcPr>
          <w:p w14:paraId="6B705A31" w14:textId="77777777" w:rsidR="00713DBF" w:rsidRPr="00EE123E" w:rsidRDefault="00713DBF" w:rsidP="00713DBF">
            <w:pPr>
              <w:pStyle w:val="TableParagraph"/>
              <w:spacing w:after="60"/>
              <w:ind w:left="103" w:right="103"/>
              <w:rPr>
                <w:rFonts w:eastAsia="Times New Roman" w:cs="Times New Roman"/>
              </w:rPr>
            </w:pPr>
            <w:r>
              <w:rPr>
                <w:rFonts w:eastAsia="Times New Roman" w:cs="Times New Roman"/>
              </w:rPr>
              <w:t xml:space="preserve">5. The school reports that this may be considered as part of a future amendment to the certificate. </w:t>
            </w:r>
          </w:p>
        </w:tc>
      </w:tr>
    </w:tbl>
    <w:p w14:paraId="6A409913" w14:textId="77777777" w:rsidR="00713DBF" w:rsidRDefault="00713DBF" w:rsidP="00713DBF">
      <w:pPr>
        <w:spacing w:before="1"/>
        <w:rPr>
          <w:sz w:val="26"/>
          <w:szCs w:val="26"/>
        </w:rPr>
      </w:pPr>
    </w:p>
    <w:p w14:paraId="4B3D53A8" w14:textId="77777777" w:rsidR="00713DBF" w:rsidRPr="009051AD" w:rsidRDefault="00713DBF" w:rsidP="00713DBF">
      <w:pPr>
        <w:rPr>
          <w:rFonts w:cstheme="minorHAnsi"/>
        </w:rPr>
      </w:pPr>
      <w:r>
        <w:rPr>
          <w:rFonts w:cstheme="minorHAnsi"/>
          <w:b/>
        </w:rPr>
        <w:t>GCVS Response:</w:t>
      </w:r>
    </w:p>
    <w:p w14:paraId="0ABF2123" w14:textId="77777777" w:rsidR="00713DBF" w:rsidRDefault="00713DBF" w:rsidP="00713DBF">
      <w:pPr>
        <w:rPr>
          <w:rFonts w:cstheme="minorHAnsi"/>
        </w:rPr>
      </w:pPr>
      <w:r>
        <w:rPr>
          <w:rFonts w:cstheme="minorHAnsi"/>
        </w:rPr>
        <w:t>Action item 3a was not met in 2017-18, as the school did not have the resources to work toward that end. With the increase in per pupil funding, starting in FY19, staffing was increased in this area and a monitoring system for asynchronous engagement in Canvas was purchased. With these resources in hand, the school is working to find ways to meet this goal through targeted interventions with Learning Coaches and students who are not meeting the school’s requirements for engagement.</w:t>
      </w:r>
    </w:p>
    <w:p w14:paraId="6166EBAB" w14:textId="77777777" w:rsidR="00713DBF" w:rsidRDefault="00713DBF" w:rsidP="00713DBF">
      <w:pPr>
        <w:rPr>
          <w:rFonts w:cstheme="minorHAnsi"/>
        </w:rPr>
      </w:pPr>
      <w:r>
        <w:rPr>
          <w:rFonts w:cstheme="minorHAnsi"/>
        </w:rPr>
        <w:t>Action items 4a and 4b were in the early stages of implementation at the time of the site visit. During the 2017-18 school year, GCVS used a school-generated form to work with students on personalized learning plans. This was a laborious process that did not result in a database that would allow for careful monitoring. In the fall of 2018, GCVS purchased Naviance for its high school guidance counselors to use in creating personalized learning plans for high school students, as well as a way to help them move toward college and career goals. The license that was purchased also included middle school students, so they could create personalized learning plans. This system allows GCVS to gather data on these plans and better track students’ progress toward achieving them.</w:t>
      </w:r>
    </w:p>
    <w:p w14:paraId="446BE28D" w14:textId="77777777" w:rsidR="00713DBF" w:rsidRPr="004334A5" w:rsidRDefault="00713DBF" w:rsidP="00713DBF">
      <w:pPr>
        <w:rPr>
          <w:rFonts w:cstheme="minorHAnsi"/>
        </w:rPr>
      </w:pPr>
      <w:r>
        <w:rPr>
          <w:rFonts w:cstheme="minorHAnsi"/>
        </w:rPr>
        <w:t>Action item 5 has been one that the Board of Trustees has expressed a great interest in achieving as a school. Due to the geographic area in which the administrative offices are housed, they see a possibility for an affordable solution that could be offered to small, rural districts for blended learning that could help them increase their collective capacity for offering more options to their students. The Board realizes that this possibility hinges on the school’s certificate being renewed and has decided to pursue this as an amendment to a new certificate, should one be granted.</w:t>
      </w:r>
    </w:p>
    <w:p w14:paraId="79DF167B" w14:textId="77777777" w:rsidR="00713DBF" w:rsidRPr="00E46C39" w:rsidRDefault="00713DBF" w:rsidP="00713DBF">
      <w:pPr>
        <w:spacing w:after="0"/>
        <w:ind w:left="360"/>
      </w:pPr>
      <w:r>
        <w:t xml:space="preserve"> </w:t>
      </w:r>
    </w:p>
    <w:p w14:paraId="326EAA04" w14:textId="4E9C6378" w:rsidR="00AB40C4" w:rsidRPr="00AB40C4" w:rsidRDefault="00AB40C4" w:rsidP="00AB40C4"/>
    <w:sectPr w:rsidR="00AB40C4" w:rsidRPr="00AB40C4" w:rsidSect="00713DBF">
      <w:pgSz w:w="12240" w:h="15840"/>
      <w:pgMar w:top="1440" w:right="1440" w:bottom="1440" w:left="135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9CB48" w14:textId="77777777" w:rsidR="00221D89" w:rsidRDefault="00221D89" w:rsidP="000511B1">
      <w:pPr>
        <w:spacing w:after="0" w:line="240" w:lineRule="auto"/>
      </w:pPr>
      <w:r>
        <w:separator/>
      </w:r>
    </w:p>
  </w:endnote>
  <w:endnote w:type="continuationSeparator" w:id="0">
    <w:p w14:paraId="275596C3" w14:textId="77777777" w:rsidR="00221D89" w:rsidRDefault="00221D89" w:rsidP="00051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EA389" w14:textId="400F262F" w:rsidR="006D7A08" w:rsidRDefault="006D7A08">
    <w:pPr>
      <w:pStyle w:val="Footer"/>
      <w:jc w:val="center"/>
    </w:pPr>
    <w:r>
      <w:tab/>
    </w:r>
    <w:sdt>
      <w:sdtPr>
        <w:id w:val="-1297906756"/>
        <w:docPartObj>
          <w:docPartGallery w:val="Page Numbers (Bottom of Page)"/>
          <w:docPartUnique/>
        </w:docPartObj>
      </w:sdtPr>
      <w:sdtEndPr/>
      <w:sdtContent>
        <w:sdt>
          <w:sdtPr>
            <w:id w:val="1728636285"/>
            <w:docPartObj>
              <w:docPartGallery w:val="Page Numbers (Top of Page)"/>
              <w:docPartUnique/>
            </w:docPartObj>
          </w:sdtPr>
          <w:sdtEndPr/>
          <w:sdtContent>
            <w:r>
              <w:tab/>
              <w:t xml:space="preserve">Page </w:t>
            </w:r>
            <w:r>
              <w:rPr>
                <w:b/>
                <w:bCs/>
                <w:sz w:val="24"/>
                <w:szCs w:val="24"/>
              </w:rPr>
              <w:fldChar w:fldCharType="begin"/>
            </w:r>
            <w:r>
              <w:rPr>
                <w:b/>
                <w:bCs/>
              </w:rPr>
              <w:instrText xml:space="preserve"> PAGE </w:instrText>
            </w:r>
            <w:r>
              <w:rPr>
                <w:b/>
                <w:bCs/>
                <w:sz w:val="24"/>
                <w:szCs w:val="24"/>
              </w:rPr>
              <w:fldChar w:fldCharType="separate"/>
            </w:r>
            <w:r w:rsidR="00536676">
              <w:rPr>
                <w:b/>
                <w:bCs/>
                <w:noProof/>
              </w:rPr>
              <w:t>21</w:t>
            </w:r>
            <w:r>
              <w:rPr>
                <w:b/>
                <w:bCs/>
                <w:sz w:val="24"/>
                <w:szCs w:val="24"/>
              </w:rPr>
              <w:fldChar w:fldCharType="end"/>
            </w:r>
            <w:r>
              <w:t xml:space="preserve"> of </w:t>
            </w:r>
            <w:r>
              <w:rPr>
                <w:b/>
                <w:bCs/>
                <w:sz w:val="24"/>
                <w:szCs w:val="24"/>
              </w:rPr>
              <w:t>37</w:t>
            </w:r>
          </w:sdtContent>
        </w:sdt>
      </w:sdtContent>
    </w:sdt>
  </w:p>
  <w:p w14:paraId="5D91DC0B" w14:textId="3DD38EEB" w:rsidR="006D7A08" w:rsidRPr="00B85CDD" w:rsidRDefault="006D7A08" w:rsidP="009015A9">
    <w:pPr>
      <w:pStyle w:val="Footer"/>
      <w:jc w:val="right"/>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967FF" w14:textId="77777777" w:rsidR="006D7A08" w:rsidRPr="00230F70" w:rsidRDefault="006D7A08" w:rsidP="00230F70">
    <w:pPr>
      <w:pStyle w:val="Footer"/>
      <w:ind w:left="-2880"/>
      <w:rPr>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822344"/>
      <w:docPartObj>
        <w:docPartGallery w:val="Page Numbers (Bottom of Page)"/>
        <w:docPartUnique/>
      </w:docPartObj>
    </w:sdtPr>
    <w:sdtEndPr/>
    <w:sdtContent>
      <w:sdt>
        <w:sdtPr>
          <w:id w:val="-1104259740"/>
          <w:docPartObj>
            <w:docPartGallery w:val="Page Numbers (Top of Page)"/>
            <w:docPartUnique/>
          </w:docPartObj>
        </w:sdtPr>
        <w:sdtEndPr/>
        <w:sdtContent>
          <w:p w14:paraId="526B9E4C" w14:textId="2FA89C84" w:rsidR="006D7A08" w:rsidRDefault="006D7A0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3667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36676">
              <w:rPr>
                <w:b/>
                <w:bCs/>
                <w:noProof/>
              </w:rPr>
              <w:t>40</w:t>
            </w:r>
            <w:r>
              <w:rPr>
                <w:b/>
                <w:bCs/>
                <w:sz w:val="24"/>
                <w:szCs w:val="24"/>
              </w:rPr>
              <w:fldChar w:fldCharType="end"/>
            </w:r>
          </w:p>
        </w:sdtContent>
      </w:sdt>
    </w:sdtContent>
  </w:sdt>
  <w:p w14:paraId="05A4A7B9" w14:textId="77777777" w:rsidR="006D7A08" w:rsidRPr="00230F70" w:rsidRDefault="006D7A08" w:rsidP="00230F70">
    <w:pPr>
      <w:pStyle w:val="Footer"/>
      <w:ind w:left="-2880"/>
      <w:rPr>
        <w:sz w:val="19"/>
        <w:szCs w:val="19"/>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4112588"/>
      <w:docPartObj>
        <w:docPartGallery w:val="Page Numbers (Bottom of Page)"/>
        <w:docPartUnique/>
      </w:docPartObj>
    </w:sdtPr>
    <w:sdtEndPr/>
    <w:sdtContent>
      <w:sdt>
        <w:sdtPr>
          <w:id w:val="1093054723"/>
          <w:docPartObj>
            <w:docPartGallery w:val="Page Numbers (Top of Page)"/>
            <w:docPartUnique/>
          </w:docPartObj>
        </w:sdtPr>
        <w:sdtEndPr/>
        <w:sdtContent>
          <w:p w14:paraId="73A26829" w14:textId="4C286201" w:rsidR="006D7A08" w:rsidRDefault="006D7A0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36676">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36676">
              <w:rPr>
                <w:b/>
                <w:bCs/>
                <w:noProof/>
              </w:rPr>
              <w:t>25</w:t>
            </w:r>
            <w:r>
              <w:rPr>
                <w:b/>
                <w:bCs/>
                <w:sz w:val="24"/>
                <w:szCs w:val="24"/>
              </w:rPr>
              <w:fldChar w:fldCharType="end"/>
            </w:r>
          </w:p>
        </w:sdtContent>
      </w:sdt>
    </w:sdtContent>
  </w:sdt>
  <w:p w14:paraId="7BAE8E9B" w14:textId="77777777" w:rsidR="006D7A08" w:rsidRPr="00230F70" w:rsidRDefault="006D7A08" w:rsidP="00230F70">
    <w:pPr>
      <w:pStyle w:val="Footer"/>
      <w:ind w:left="-2880"/>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9F54E" w14:textId="77777777" w:rsidR="00221D89" w:rsidRDefault="00221D89" w:rsidP="000511B1">
      <w:pPr>
        <w:spacing w:after="0" w:line="240" w:lineRule="auto"/>
      </w:pPr>
      <w:r>
        <w:separator/>
      </w:r>
    </w:p>
  </w:footnote>
  <w:footnote w:type="continuationSeparator" w:id="0">
    <w:p w14:paraId="4DB92F26" w14:textId="77777777" w:rsidR="00221D89" w:rsidRDefault="00221D89" w:rsidP="000511B1">
      <w:pPr>
        <w:spacing w:after="0" w:line="240" w:lineRule="auto"/>
      </w:pPr>
      <w:r>
        <w:continuationSeparator/>
      </w:r>
    </w:p>
  </w:footnote>
  <w:footnote w:id="1">
    <w:p w14:paraId="1CA0F113" w14:textId="20F72309" w:rsidR="006D7A08" w:rsidRPr="008E19A3" w:rsidRDefault="006D7A08" w:rsidP="007621E2">
      <w:pPr>
        <w:pStyle w:val="FootnoteText"/>
        <w:spacing w:before="40" w:after="40"/>
        <w:ind w:left="-2880"/>
        <w:rPr>
          <w:rFonts w:asciiTheme="minorHAnsi" w:hAnsiTheme="minorHAnsi"/>
          <w:sz w:val="19"/>
          <w:szCs w:val="19"/>
        </w:rPr>
      </w:pPr>
      <w:r w:rsidRPr="008E19A3">
        <w:rPr>
          <w:rStyle w:val="FootnoteReference"/>
          <w:rFonts w:asciiTheme="minorHAnsi" w:hAnsiTheme="minorHAnsi"/>
          <w:sz w:val="19"/>
          <w:szCs w:val="19"/>
        </w:rPr>
        <w:footnoteRef/>
      </w:r>
      <w:r w:rsidRPr="008E19A3">
        <w:rPr>
          <w:rFonts w:asciiTheme="minorHAnsi" w:hAnsiTheme="minorHAnsi"/>
          <w:sz w:val="19"/>
          <w:szCs w:val="19"/>
        </w:rPr>
        <w:t xml:space="preserve"> </w:t>
      </w:r>
      <w:hyperlink r:id="rId1" w:history="1">
        <w:r w:rsidRPr="00E734A3">
          <w:rPr>
            <w:rStyle w:val="Hyperlink"/>
            <w:rFonts w:asciiTheme="minorHAnsi" w:hAnsiTheme="minorHAnsi"/>
            <w:sz w:val="19"/>
            <w:szCs w:val="19"/>
          </w:rPr>
          <w:t>http://www.doe.mass.edu/lawsregs/603cmr52.html?section=04</w:t>
        </w:r>
      </w:hyperlink>
    </w:p>
  </w:footnote>
  <w:footnote w:id="2">
    <w:p w14:paraId="654D1D92" w14:textId="6F57016D" w:rsidR="006D7A08" w:rsidRDefault="006D7A08" w:rsidP="007621E2">
      <w:pPr>
        <w:pStyle w:val="FootnoteText"/>
        <w:ind w:left="-2880"/>
      </w:pPr>
      <w:r w:rsidRPr="008E19A3">
        <w:rPr>
          <w:rStyle w:val="FootnoteReference"/>
          <w:rFonts w:asciiTheme="minorHAnsi" w:hAnsiTheme="minorHAnsi"/>
          <w:sz w:val="19"/>
          <w:szCs w:val="19"/>
        </w:rPr>
        <w:footnoteRef/>
      </w:r>
      <w:r w:rsidRPr="008E19A3">
        <w:rPr>
          <w:rStyle w:val="FootnoteReference"/>
          <w:rFonts w:asciiTheme="minorHAnsi" w:hAnsiTheme="minorHAnsi"/>
          <w:sz w:val="19"/>
          <w:szCs w:val="19"/>
        </w:rPr>
        <w:t xml:space="preserve"> </w:t>
      </w:r>
      <w:hyperlink r:id="rId2" w:history="1">
        <w:r w:rsidRPr="00E734A3">
          <w:rPr>
            <w:rStyle w:val="Hyperlink"/>
            <w:rFonts w:asciiTheme="minorHAnsi" w:hAnsiTheme="minorHAnsi"/>
            <w:sz w:val="19"/>
            <w:szCs w:val="19"/>
          </w:rPr>
          <w:t>http://www.doe.mass.edu/odl/cmvs/PerformanceCriteria.pdf</w:t>
        </w:r>
      </w:hyperlink>
    </w:p>
  </w:footnote>
  <w:footnote w:id="3">
    <w:p w14:paraId="5A7468AB" w14:textId="77777777" w:rsidR="006D7A08" w:rsidRPr="006B1FA9" w:rsidRDefault="006D7A08" w:rsidP="007621E2">
      <w:pPr>
        <w:pStyle w:val="FootnoteText"/>
        <w:spacing w:before="40" w:after="40"/>
        <w:rPr>
          <w:rFonts w:asciiTheme="minorHAnsi" w:hAnsiTheme="minorHAnsi"/>
          <w:sz w:val="19"/>
          <w:szCs w:val="19"/>
        </w:rPr>
      </w:pPr>
      <w:r w:rsidRPr="006B1FA9">
        <w:rPr>
          <w:rStyle w:val="FootnoteReference"/>
          <w:rFonts w:asciiTheme="minorHAnsi" w:hAnsiTheme="minorHAnsi"/>
          <w:sz w:val="19"/>
          <w:szCs w:val="19"/>
        </w:rPr>
        <w:footnoteRef/>
      </w:r>
      <w:r w:rsidRPr="006B1FA9">
        <w:rPr>
          <w:rFonts w:asciiTheme="minorHAnsi" w:hAnsiTheme="minorHAnsi"/>
          <w:sz w:val="19"/>
          <w:szCs w:val="19"/>
        </w:rPr>
        <w:t xml:space="preserve"> </w:t>
      </w:r>
      <w:hyperlink r:id="rId3" w:history="1">
        <w:r w:rsidRPr="006B1FA9">
          <w:rPr>
            <w:rStyle w:val="Hyperlink"/>
            <w:rFonts w:asciiTheme="minorHAnsi" w:hAnsiTheme="minorHAnsi"/>
            <w:sz w:val="19"/>
            <w:szCs w:val="19"/>
          </w:rPr>
          <w:t>https://malegislature.gov/Laws/SessionLaws/Acts/2012/Chapter379</w:t>
        </w:r>
      </w:hyperlink>
    </w:p>
  </w:footnote>
  <w:footnote w:id="4">
    <w:p w14:paraId="3EE040E9" w14:textId="77777777" w:rsidR="006D7A08" w:rsidRDefault="006D7A08" w:rsidP="007621E2">
      <w:pPr>
        <w:pStyle w:val="FootnoteText"/>
        <w:spacing w:before="40" w:after="40"/>
      </w:pPr>
      <w:r w:rsidRPr="006B1FA9">
        <w:rPr>
          <w:rStyle w:val="FootnoteReference"/>
          <w:rFonts w:asciiTheme="minorHAnsi" w:hAnsiTheme="minorHAnsi"/>
          <w:sz w:val="19"/>
          <w:szCs w:val="19"/>
        </w:rPr>
        <w:footnoteRef/>
      </w:r>
      <w:r w:rsidRPr="006B1FA9">
        <w:rPr>
          <w:rFonts w:asciiTheme="minorHAnsi" w:hAnsiTheme="minorHAnsi"/>
          <w:sz w:val="19"/>
          <w:szCs w:val="19"/>
        </w:rPr>
        <w:t xml:space="preserve"> These terms were described in the Commissioner’s June 18, 2013 memo to the Board</w:t>
      </w:r>
      <w:r>
        <w:rPr>
          <w:rFonts w:asciiTheme="minorHAnsi" w:hAnsiTheme="minorHAnsi"/>
          <w:sz w:val="19"/>
          <w:szCs w:val="19"/>
        </w:rPr>
        <w:t xml:space="preserve">: </w:t>
      </w:r>
      <w:hyperlink r:id="rId4" w:history="1">
        <w:r w:rsidRPr="007D427D">
          <w:rPr>
            <w:rStyle w:val="Hyperlink"/>
            <w:rFonts w:asciiTheme="minorHAnsi" w:hAnsiTheme="minorHAnsi"/>
            <w:sz w:val="19"/>
            <w:szCs w:val="19"/>
          </w:rPr>
          <w:t>http://www.doe.mass.edu/boe/docs/fy2013/2013-06/item3.html</w:t>
        </w:r>
      </w:hyperlink>
      <w:r>
        <w:rPr>
          <w:rFonts w:asciiTheme="minorHAnsi" w:hAnsiTheme="minorHAnsi"/>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C7938" w14:textId="3849AE50" w:rsidR="006D7A08" w:rsidRDefault="006D7A08" w:rsidP="00E5713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E01A3" w14:textId="77777777" w:rsidR="006D7A08" w:rsidRPr="00E5713E" w:rsidRDefault="006D7A08" w:rsidP="00E571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B5F6D"/>
    <w:multiLevelType w:val="hybridMultilevel"/>
    <w:tmpl w:val="325E94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278DF"/>
    <w:multiLevelType w:val="hybridMultilevel"/>
    <w:tmpl w:val="C0563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74AC5"/>
    <w:multiLevelType w:val="hybridMultilevel"/>
    <w:tmpl w:val="2CE80F58"/>
    <w:lvl w:ilvl="0" w:tplc="982EC18C">
      <w:start w:val="9"/>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FF6F1E"/>
    <w:multiLevelType w:val="hybridMultilevel"/>
    <w:tmpl w:val="D5CCA6C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EF51A0"/>
    <w:multiLevelType w:val="multilevel"/>
    <w:tmpl w:val="7A581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3A4495"/>
    <w:multiLevelType w:val="hybridMultilevel"/>
    <w:tmpl w:val="899467EC"/>
    <w:lvl w:ilvl="0" w:tplc="66D67D5C">
      <w:start w:val="1"/>
      <w:numFmt w:val="bullet"/>
      <w:lvlText w:val=""/>
      <w:lvlJc w:val="left"/>
      <w:pPr>
        <w:ind w:left="720" w:hanging="360"/>
      </w:pPr>
      <w:rPr>
        <w:rFonts w:ascii="Symbol" w:hAnsi="Symbol" w:hint="default"/>
      </w:rPr>
    </w:lvl>
    <w:lvl w:ilvl="1" w:tplc="9A540448">
      <w:start w:val="1"/>
      <w:numFmt w:val="bullet"/>
      <w:lvlText w:val="o"/>
      <w:lvlJc w:val="left"/>
      <w:pPr>
        <w:ind w:left="1440" w:hanging="360"/>
      </w:pPr>
      <w:rPr>
        <w:rFonts w:ascii="Courier New" w:hAnsi="Courier New" w:hint="default"/>
      </w:rPr>
    </w:lvl>
    <w:lvl w:ilvl="2" w:tplc="BD2CEBDE">
      <w:start w:val="1"/>
      <w:numFmt w:val="bullet"/>
      <w:lvlText w:val=""/>
      <w:lvlJc w:val="left"/>
      <w:pPr>
        <w:ind w:left="2160" w:hanging="360"/>
      </w:pPr>
      <w:rPr>
        <w:rFonts w:ascii="Wingdings" w:hAnsi="Wingdings" w:hint="default"/>
      </w:rPr>
    </w:lvl>
    <w:lvl w:ilvl="3" w:tplc="31B42664">
      <w:start w:val="1"/>
      <w:numFmt w:val="bullet"/>
      <w:lvlText w:val=""/>
      <w:lvlJc w:val="left"/>
      <w:pPr>
        <w:ind w:left="2880" w:hanging="360"/>
      </w:pPr>
      <w:rPr>
        <w:rFonts w:ascii="Symbol" w:hAnsi="Symbol" w:hint="default"/>
      </w:rPr>
    </w:lvl>
    <w:lvl w:ilvl="4" w:tplc="3378EE86">
      <w:start w:val="1"/>
      <w:numFmt w:val="bullet"/>
      <w:lvlText w:val="o"/>
      <w:lvlJc w:val="left"/>
      <w:pPr>
        <w:ind w:left="3600" w:hanging="360"/>
      </w:pPr>
      <w:rPr>
        <w:rFonts w:ascii="Courier New" w:hAnsi="Courier New" w:hint="default"/>
      </w:rPr>
    </w:lvl>
    <w:lvl w:ilvl="5" w:tplc="4EAA4442">
      <w:start w:val="1"/>
      <w:numFmt w:val="bullet"/>
      <w:lvlText w:val=""/>
      <w:lvlJc w:val="left"/>
      <w:pPr>
        <w:ind w:left="4320" w:hanging="360"/>
      </w:pPr>
      <w:rPr>
        <w:rFonts w:ascii="Wingdings" w:hAnsi="Wingdings" w:hint="default"/>
      </w:rPr>
    </w:lvl>
    <w:lvl w:ilvl="6" w:tplc="F70630D2">
      <w:start w:val="1"/>
      <w:numFmt w:val="bullet"/>
      <w:lvlText w:val=""/>
      <w:lvlJc w:val="left"/>
      <w:pPr>
        <w:ind w:left="5040" w:hanging="360"/>
      </w:pPr>
      <w:rPr>
        <w:rFonts w:ascii="Symbol" w:hAnsi="Symbol" w:hint="default"/>
      </w:rPr>
    </w:lvl>
    <w:lvl w:ilvl="7" w:tplc="340AAC70">
      <w:start w:val="1"/>
      <w:numFmt w:val="bullet"/>
      <w:lvlText w:val="o"/>
      <w:lvlJc w:val="left"/>
      <w:pPr>
        <w:ind w:left="5760" w:hanging="360"/>
      </w:pPr>
      <w:rPr>
        <w:rFonts w:ascii="Courier New" w:hAnsi="Courier New" w:hint="default"/>
      </w:rPr>
    </w:lvl>
    <w:lvl w:ilvl="8" w:tplc="B12EC648">
      <w:start w:val="1"/>
      <w:numFmt w:val="bullet"/>
      <w:lvlText w:val=""/>
      <w:lvlJc w:val="left"/>
      <w:pPr>
        <w:ind w:left="6480" w:hanging="360"/>
      </w:pPr>
      <w:rPr>
        <w:rFonts w:ascii="Wingdings" w:hAnsi="Wingdings" w:hint="default"/>
      </w:rPr>
    </w:lvl>
  </w:abstractNum>
  <w:abstractNum w:abstractNumId="6" w15:restartNumberingAfterBreak="0">
    <w:nsid w:val="40E41D82"/>
    <w:multiLevelType w:val="hybridMultilevel"/>
    <w:tmpl w:val="6C0C981E"/>
    <w:lvl w:ilvl="0" w:tplc="E766DD9A">
      <w:start w:val="1"/>
      <w:numFmt w:val="decimal"/>
      <w:lvlText w:val="%1."/>
      <w:lvlJc w:val="left"/>
      <w:pPr>
        <w:ind w:left="720" w:hanging="360"/>
      </w:pPr>
      <w:rPr>
        <w:rFonts w:asciiTheme="minorHAnsi" w:hAnsiTheme="minorHAnsi"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8E5C3A"/>
    <w:multiLevelType w:val="hybridMultilevel"/>
    <w:tmpl w:val="B9161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043A0D"/>
    <w:multiLevelType w:val="hybridMultilevel"/>
    <w:tmpl w:val="660C3AF6"/>
    <w:lvl w:ilvl="0" w:tplc="E766DD9A">
      <w:start w:val="1"/>
      <w:numFmt w:val="decimal"/>
      <w:lvlText w:val="%1."/>
      <w:lvlJc w:val="left"/>
      <w:pPr>
        <w:ind w:left="360" w:hanging="360"/>
      </w:pPr>
      <w:rPr>
        <w:rFonts w:asciiTheme="minorHAnsi" w:hAnsiTheme="minorHAnsi"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58D2FBD"/>
    <w:multiLevelType w:val="hybridMultilevel"/>
    <w:tmpl w:val="20A6EE0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94764F"/>
    <w:multiLevelType w:val="hybridMultilevel"/>
    <w:tmpl w:val="271A9A06"/>
    <w:lvl w:ilvl="0" w:tplc="48928F0C">
      <w:start w:val="1"/>
      <w:numFmt w:val="bullet"/>
      <w:lvlText w:val=""/>
      <w:lvlJc w:val="left"/>
      <w:pPr>
        <w:ind w:left="720" w:hanging="360"/>
      </w:pPr>
      <w:rPr>
        <w:rFonts w:ascii="Symbol" w:hAnsi="Symbol" w:hint="default"/>
      </w:rPr>
    </w:lvl>
    <w:lvl w:ilvl="1" w:tplc="3202D4C4">
      <w:start w:val="1"/>
      <w:numFmt w:val="bullet"/>
      <w:lvlText w:val="o"/>
      <w:lvlJc w:val="left"/>
      <w:pPr>
        <w:ind w:left="1440" w:hanging="360"/>
      </w:pPr>
      <w:rPr>
        <w:rFonts w:ascii="Courier New" w:hAnsi="Courier New" w:hint="default"/>
      </w:rPr>
    </w:lvl>
    <w:lvl w:ilvl="2" w:tplc="16041BC0">
      <w:start w:val="1"/>
      <w:numFmt w:val="bullet"/>
      <w:lvlText w:val=""/>
      <w:lvlJc w:val="left"/>
      <w:pPr>
        <w:ind w:left="2160" w:hanging="360"/>
      </w:pPr>
      <w:rPr>
        <w:rFonts w:ascii="Wingdings" w:hAnsi="Wingdings" w:hint="default"/>
      </w:rPr>
    </w:lvl>
    <w:lvl w:ilvl="3" w:tplc="1116EC22">
      <w:start w:val="1"/>
      <w:numFmt w:val="bullet"/>
      <w:lvlText w:val=""/>
      <w:lvlJc w:val="left"/>
      <w:pPr>
        <w:ind w:left="2880" w:hanging="360"/>
      </w:pPr>
      <w:rPr>
        <w:rFonts w:ascii="Symbol" w:hAnsi="Symbol" w:hint="default"/>
      </w:rPr>
    </w:lvl>
    <w:lvl w:ilvl="4" w:tplc="77242052">
      <w:start w:val="1"/>
      <w:numFmt w:val="bullet"/>
      <w:lvlText w:val="o"/>
      <w:lvlJc w:val="left"/>
      <w:pPr>
        <w:ind w:left="3600" w:hanging="360"/>
      </w:pPr>
      <w:rPr>
        <w:rFonts w:ascii="Courier New" w:hAnsi="Courier New" w:hint="default"/>
      </w:rPr>
    </w:lvl>
    <w:lvl w:ilvl="5" w:tplc="48123806">
      <w:start w:val="1"/>
      <w:numFmt w:val="bullet"/>
      <w:lvlText w:val=""/>
      <w:lvlJc w:val="left"/>
      <w:pPr>
        <w:ind w:left="4320" w:hanging="360"/>
      </w:pPr>
      <w:rPr>
        <w:rFonts w:ascii="Wingdings" w:hAnsi="Wingdings" w:hint="default"/>
      </w:rPr>
    </w:lvl>
    <w:lvl w:ilvl="6" w:tplc="C570F31C">
      <w:start w:val="1"/>
      <w:numFmt w:val="bullet"/>
      <w:lvlText w:val=""/>
      <w:lvlJc w:val="left"/>
      <w:pPr>
        <w:ind w:left="5040" w:hanging="360"/>
      </w:pPr>
      <w:rPr>
        <w:rFonts w:ascii="Symbol" w:hAnsi="Symbol" w:hint="default"/>
      </w:rPr>
    </w:lvl>
    <w:lvl w:ilvl="7" w:tplc="2B1C1A58">
      <w:start w:val="1"/>
      <w:numFmt w:val="bullet"/>
      <w:lvlText w:val="o"/>
      <w:lvlJc w:val="left"/>
      <w:pPr>
        <w:ind w:left="5760" w:hanging="360"/>
      </w:pPr>
      <w:rPr>
        <w:rFonts w:ascii="Courier New" w:hAnsi="Courier New" w:hint="default"/>
      </w:rPr>
    </w:lvl>
    <w:lvl w:ilvl="8" w:tplc="29343CEC">
      <w:start w:val="1"/>
      <w:numFmt w:val="bullet"/>
      <w:lvlText w:val=""/>
      <w:lvlJc w:val="left"/>
      <w:pPr>
        <w:ind w:left="6480" w:hanging="360"/>
      </w:pPr>
      <w:rPr>
        <w:rFonts w:ascii="Wingdings" w:hAnsi="Wingdings" w:hint="default"/>
      </w:rPr>
    </w:lvl>
  </w:abstractNum>
  <w:abstractNum w:abstractNumId="11" w15:restartNumberingAfterBreak="0">
    <w:nsid w:val="69A824A8"/>
    <w:multiLevelType w:val="hybridMultilevel"/>
    <w:tmpl w:val="797E6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C75A34"/>
    <w:multiLevelType w:val="hybridMultilevel"/>
    <w:tmpl w:val="6EF8B02A"/>
    <w:lvl w:ilvl="0" w:tplc="C2BC439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7C0524A"/>
    <w:multiLevelType w:val="hybridMultilevel"/>
    <w:tmpl w:val="6D246D7C"/>
    <w:lvl w:ilvl="0" w:tplc="773EF144">
      <w:start w:val="1"/>
      <w:numFmt w:val="decimal"/>
      <w:lvlText w:val="%1."/>
      <w:lvlJc w:val="left"/>
      <w:pPr>
        <w:ind w:left="360" w:hanging="360"/>
      </w:pPr>
      <w:rPr>
        <w:b/>
      </w:rPr>
    </w:lvl>
    <w:lvl w:ilvl="1" w:tplc="9E48D01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D3C4970"/>
    <w:multiLevelType w:val="multilevel"/>
    <w:tmpl w:val="7A581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40211A"/>
    <w:multiLevelType w:val="hybridMultilevel"/>
    <w:tmpl w:val="22B61218"/>
    <w:lvl w:ilvl="0" w:tplc="96A01372">
      <w:start w:val="1"/>
      <w:numFmt w:val="bullet"/>
      <w:lvlText w:val=""/>
      <w:lvlJc w:val="left"/>
      <w:pPr>
        <w:ind w:left="720" w:hanging="360"/>
      </w:pPr>
      <w:rPr>
        <w:rFonts w:ascii="Symbol" w:hAnsi="Symbol" w:hint="default"/>
      </w:rPr>
    </w:lvl>
    <w:lvl w:ilvl="1" w:tplc="44B09D2C">
      <w:start w:val="1"/>
      <w:numFmt w:val="bullet"/>
      <w:lvlText w:val="o"/>
      <w:lvlJc w:val="left"/>
      <w:pPr>
        <w:ind w:left="1440" w:hanging="360"/>
      </w:pPr>
      <w:rPr>
        <w:rFonts w:ascii="Courier New" w:hAnsi="Courier New" w:hint="default"/>
      </w:rPr>
    </w:lvl>
    <w:lvl w:ilvl="2" w:tplc="29C03254">
      <w:start w:val="1"/>
      <w:numFmt w:val="bullet"/>
      <w:lvlText w:val=""/>
      <w:lvlJc w:val="left"/>
      <w:pPr>
        <w:ind w:left="2160" w:hanging="360"/>
      </w:pPr>
      <w:rPr>
        <w:rFonts w:ascii="Wingdings" w:hAnsi="Wingdings" w:hint="default"/>
      </w:rPr>
    </w:lvl>
    <w:lvl w:ilvl="3" w:tplc="31F6F378">
      <w:start w:val="1"/>
      <w:numFmt w:val="bullet"/>
      <w:lvlText w:val=""/>
      <w:lvlJc w:val="left"/>
      <w:pPr>
        <w:ind w:left="2880" w:hanging="360"/>
      </w:pPr>
      <w:rPr>
        <w:rFonts w:ascii="Symbol" w:hAnsi="Symbol" w:hint="default"/>
      </w:rPr>
    </w:lvl>
    <w:lvl w:ilvl="4" w:tplc="C7523256">
      <w:start w:val="1"/>
      <w:numFmt w:val="bullet"/>
      <w:lvlText w:val="o"/>
      <w:lvlJc w:val="left"/>
      <w:pPr>
        <w:ind w:left="3600" w:hanging="360"/>
      </w:pPr>
      <w:rPr>
        <w:rFonts w:ascii="Courier New" w:hAnsi="Courier New" w:hint="default"/>
      </w:rPr>
    </w:lvl>
    <w:lvl w:ilvl="5" w:tplc="9932BE72">
      <w:start w:val="1"/>
      <w:numFmt w:val="bullet"/>
      <w:lvlText w:val=""/>
      <w:lvlJc w:val="left"/>
      <w:pPr>
        <w:ind w:left="4320" w:hanging="360"/>
      </w:pPr>
      <w:rPr>
        <w:rFonts w:ascii="Wingdings" w:hAnsi="Wingdings" w:hint="default"/>
      </w:rPr>
    </w:lvl>
    <w:lvl w:ilvl="6" w:tplc="BC164210">
      <w:start w:val="1"/>
      <w:numFmt w:val="bullet"/>
      <w:lvlText w:val=""/>
      <w:lvlJc w:val="left"/>
      <w:pPr>
        <w:ind w:left="5040" w:hanging="360"/>
      </w:pPr>
      <w:rPr>
        <w:rFonts w:ascii="Symbol" w:hAnsi="Symbol" w:hint="default"/>
      </w:rPr>
    </w:lvl>
    <w:lvl w:ilvl="7" w:tplc="D5584E32">
      <w:start w:val="1"/>
      <w:numFmt w:val="bullet"/>
      <w:lvlText w:val="o"/>
      <w:lvlJc w:val="left"/>
      <w:pPr>
        <w:ind w:left="5760" w:hanging="360"/>
      </w:pPr>
      <w:rPr>
        <w:rFonts w:ascii="Courier New" w:hAnsi="Courier New" w:hint="default"/>
      </w:rPr>
    </w:lvl>
    <w:lvl w:ilvl="8" w:tplc="5E0C6E82">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4"/>
  </w:num>
  <w:num w:numId="4">
    <w:abstractNumId w:val="7"/>
  </w:num>
  <w:num w:numId="5">
    <w:abstractNumId w:val="8"/>
  </w:num>
  <w:num w:numId="6">
    <w:abstractNumId w:val="6"/>
  </w:num>
  <w:num w:numId="7">
    <w:abstractNumId w:val="11"/>
  </w:num>
  <w:num w:numId="8">
    <w:abstractNumId w:val="9"/>
  </w:num>
  <w:num w:numId="9">
    <w:abstractNumId w:val="12"/>
  </w:num>
  <w:num w:numId="10">
    <w:abstractNumId w:val="1"/>
  </w:num>
  <w:num w:numId="11">
    <w:abstractNumId w:val="0"/>
  </w:num>
  <w:num w:numId="12">
    <w:abstractNumId w:val="15"/>
  </w:num>
  <w:num w:numId="13">
    <w:abstractNumId w:val="10"/>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D91"/>
    <w:rsid w:val="000132D7"/>
    <w:rsid w:val="00025B6B"/>
    <w:rsid w:val="00025F44"/>
    <w:rsid w:val="000511B1"/>
    <w:rsid w:val="0006475E"/>
    <w:rsid w:val="00081C8C"/>
    <w:rsid w:val="0008436D"/>
    <w:rsid w:val="000A1600"/>
    <w:rsid w:val="000B784E"/>
    <w:rsid w:val="000D0CB4"/>
    <w:rsid w:val="000D548B"/>
    <w:rsid w:val="000E0832"/>
    <w:rsid w:val="000E6C15"/>
    <w:rsid w:val="000E7193"/>
    <w:rsid w:val="001011B0"/>
    <w:rsid w:val="00101891"/>
    <w:rsid w:val="00106B0B"/>
    <w:rsid w:val="00111590"/>
    <w:rsid w:val="0011279F"/>
    <w:rsid w:val="00124505"/>
    <w:rsid w:val="00143AEF"/>
    <w:rsid w:val="00165F1D"/>
    <w:rsid w:val="00194118"/>
    <w:rsid w:val="001963B2"/>
    <w:rsid w:val="0019721D"/>
    <w:rsid w:val="001B113D"/>
    <w:rsid w:val="001B1867"/>
    <w:rsid w:val="001B6920"/>
    <w:rsid w:val="00221D89"/>
    <w:rsid w:val="00230F70"/>
    <w:rsid w:val="00241AD7"/>
    <w:rsid w:val="002563B3"/>
    <w:rsid w:val="002616A3"/>
    <w:rsid w:val="00267E33"/>
    <w:rsid w:val="00286289"/>
    <w:rsid w:val="00295AA8"/>
    <w:rsid w:val="002C01C8"/>
    <w:rsid w:val="002D732C"/>
    <w:rsid w:val="002F22B4"/>
    <w:rsid w:val="002F257C"/>
    <w:rsid w:val="00314D03"/>
    <w:rsid w:val="00343A49"/>
    <w:rsid w:val="003714CD"/>
    <w:rsid w:val="003966AD"/>
    <w:rsid w:val="003D0904"/>
    <w:rsid w:val="003D0AFD"/>
    <w:rsid w:val="003D1073"/>
    <w:rsid w:val="003D7B03"/>
    <w:rsid w:val="00422B0E"/>
    <w:rsid w:val="004570F7"/>
    <w:rsid w:val="00480AD5"/>
    <w:rsid w:val="004D5DE1"/>
    <w:rsid w:val="004E1A6B"/>
    <w:rsid w:val="004E21CF"/>
    <w:rsid w:val="004E2623"/>
    <w:rsid w:val="00516454"/>
    <w:rsid w:val="00517149"/>
    <w:rsid w:val="00521D83"/>
    <w:rsid w:val="00525B10"/>
    <w:rsid w:val="00534349"/>
    <w:rsid w:val="005356A2"/>
    <w:rsid w:val="00536676"/>
    <w:rsid w:val="005462F3"/>
    <w:rsid w:val="00554083"/>
    <w:rsid w:val="00575628"/>
    <w:rsid w:val="005A2C10"/>
    <w:rsid w:val="005C5F4F"/>
    <w:rsid w:val="00607BC1"/>
    <w:rsid w:val="006202BC"/>
    <w:rsid w:val="00622B90"/>
    <w:rsid w:val="00653A4A"/>
    <w:rsid w:val="00654E01"/>
    <w:rsid w:val="0067316C"/>
    <w:rsid w:val="0067561C"/>
    <w:rsid w:val="00680D9E"/>
    <w:rsid w:val="006A1A60"/>
    <w:rsid w:val="006C4A27"/>
    <w:rsid w:val="006D7A08"/>
    <w:rsid w:val="006E2193"/>
    <w:rsid w:val="006F2600"/>
    <w:rsid w:val="00713DBF"/>
    <w:rsid w:val="00752942"/>
    <w:rsid w:val="007621E2"/>
    <w:rsid w:val="00765FA6"/>
    <w:rsid w:val="00772625"/>
    <w:rsid w:val="00780FBF"/>
    <w:rsid w:val="00781483"/>
    <w:rsid w:val="007937AE"/>
    <w:rsid w:val="00797A4B"/>
    <w:rsid w:val="007A6D45"/>
    <w:rsid w:val="007A7DB0"/>
    <w:rsid w:val="007D6385"/>
    <w:rsid w:val="0080752E"/>
    <w:rsid w:val="00826236"/>
    <w:rsid w:val="00847440"/>
    <w:rsid w:val="0086279B"/>
    <w:rsid w:val="008812A0"/>
    <w:rsid w:val="008936A4"/>
    <w:rsid w:val="008E0C76"/>
    <w:rsid w:val="008E57A0"/>
    <w:rsid w:val="008F0B4E"/>
    <w:rsid w:val="008F3F30"/>
    <w:rsid w:val="009015A9"/>
    <w:rsid w:val="009351FD"/>
    <w:rsid w:val="00937B63"/>
    <w:rsid w:val="00957219"/>
    <w:rsid w:val="009769FF"/>
    <w:rsid w:val="009837C6"/>
    <w:rsid w:val="009B3B9A"/>
    <w:rsid w:val="009B559D"/>
    <w:rsid w:val="009D1984"/>
    <w:rsid w:val="009E0E50"/>
    <w:rsid w:val="009E3627"/>
    <w:rsid w:val="009F03BB"/>
    <w:rsid w:val="009F062A"/>
    <w:rsid w:val="009F6A95"/>
    <w:rsid w:val="00A0677B"/>
    <w:rsid w:val="00A11671"/>
    <w:rsid w:val="00A125BF"/>
    <w:rsid w:val="00A21B69"/>
    <w:rsid w:val="00A222A5"/>
    <w:rsid w:val="00A52B74"/>
    <w:rsid w:val="00A53B7B"/>
    <w:rsid w:val="00A6569D"/>
    <w:rsid w:val="00A7006D"/>
    <w:rsid w:val="00A91B0A"/>
    <w:rsid w:val="00AA2CAB"/>
    <w:rsid w:val="00AB1BD0"/>
    <w:rsid w:val="00AB40C4"/>
    <w:rsid w:val="00AB4514"/>
    <w:rsid w:val="00AC4A0F"/>
    <w:rsid w:val="00AE1CB5"/>
    <w:rsid w:val="00AF22A5"/>
    <w:rsid w:val="00B0306C"/>
    <w:rsid w:val="00B25D91"/>
    <w:rsid w:val="00B43912"/>
    <w:rsid w:val="00B61740"/>
    <w:rsid w:val="00B85CDD"/>
    <w:rsid w:val="00B91257"/>
    <w:rsid w:val="00BA1653"/>
    <w:rsid w:val="00BA31E5"/>
    <w:rsid w:val="00BB539E"/>
    <w:rsid w:val="00BD50FE"/>
    <w:rsid w:val="00BF6DA2"/>
    <w:rsid w:val="00C20125"/>
    <w:rsid w:val="00C230E9"/>
    <w:rsid w:val="00C30580"/>
    <w:rsid w:val="00C30639"/>
    <w:rsid w:val="00C42130"/>
    <w:rsid w:val="00C577C0"/>
    <w:rsid w:val="00C640BE"/>
    <w:rsid w:val="00C74034"/>
    <w:rsid w:val="00C74493"/>
    <w:rsid w:val="00C84E51"/>
    <w:rsid w:val="00CB5CF7"/>
    <w:rsid w:val="00D062C2"/>
    <w:rsid w:val="00D10D39"/>
    <w:rsid w:val="00D2350B"/>
    <w:rsid w:val="00D261FF"/>
    <w:rsid w:val="00D3709F"/>
    <w:rsid w:val="00D41216"/>
    <w:rsid w:val="00D417A3"/>
    <w:rsid w:val="00D42219"/>
    <w:rsid w:val="00D47735"/>
    <w:rsid w:val="00D93D1E"/>
    <w:rsid w:val="00D94C97"/>
    <w:rsid w:val="00D9505F"/>
    <w:rsid w:val="00DC6162"/>
    <w:rsid w:val="00E062CE"/>
    <w:rsid w:val="00E1072C"/>
    <w:rsid w:val="00E16647"/>
    <w:rsid w:val="00E330CF"/>
    <w:rsid w:val="00E3412D"/>
    <w:rsid w:val="00E35C4C"/>
    <w:rsid w:val="00E4361B"/>
    <w:rsid w:val="00E510A2"/>
    <w:rsid w:val="00E5713E"/>
    <w:rsid w:val="00E6438E"/>
    <w:rsid w:val="00E66018"/>
    <w:rsid w:val="00E7321B"/>
    <w:rsid w:val="00E734A3"/>
    <w:rsid w:val="00E96756"/>
    <w:rsid w:val="00EA796B"/>
    <w:rsid w:val="00EA7CC0"/>
    <w:rsid w:val="00EB1499"/>
    <w:rsid w:val="00EB17F2"/>
    <w:rsid w:val="00EC1CDE"/>
    <w:rsid w:val="00ED6313"/>
    <w:rsid w:val="00F07200"/>
    <w:rsid w:val="00F15592"/>
    <w:rsid w:val="00F24C69"/>
    <w:rsid w:val="00F30999"/>
    <w:rsid w:val="00F61679"/>
    <w:rsid w:val="00F71CCB"/>
    <w:rsid w:val="00F95E28"/>
    <w:rsid w:val="00F97A79"/>
    <w:rsid w:val="00FA28A7"/>
    <w:rsid w:val="00FB1BE1"/>
    <w:rsid w:val="00FD06BF"/>
    <w:rsid w:val="00FD64B4"/>
    <w:rsid w:val="00FE4118"/>
    <w:rsid w:val="00FE6BBE"/>
    <w:rsid w:val="00FF27D2"/>
    <w:rsid w:val="00FF3A6C"/>
    <w:rsid w:val="00FF43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F45B74"/>
  <w15:chartTrackingRefBased/>
  <w15:docId w15:val="{C725D49F-0FE1-41C0-A49C-2640639D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3912"/>
  </w:style>
  <w:style w:type="paragraph" w:styleId="Heading1">
    <w:name w:val="heading 1"/>
    <w:next w:val="Normal"/>
    <w:link w:val="Heading1Char"/>
    <w:uiPriority w:val="1"/>
    <w:qFormat/>
    <w:rsid w:val="004E1A6B"/>
    <w:pPr>
      <w:keepNext/>
      <w:spacing w:before="280" w:after="12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head">
    <w:name w:val="sidehead"/>
    <w:basedOn w:val="Normal"/>
    <w:qFormat/>
    <w:rsid w:val="00B25D91"/>
    <w:pPr>
      <w:framePr w:w="2880" w:vSpace="288" w:wrap="around" w:vAnchor="text" w:hAnchor="page" w:y="1"/>
      <w:pBdr>
        <w:top w:val="single" w:sz="36" w:space="1" w:color="auto"/>
      </w:pBdr>
    </w:pPr>
  </w:style>
  <w:style w:type="paragraph" w:customStyle="1" w:styleId="sidetitle">
    <w:name w:val="sidetitle"/>
    <w:basedOn w:val="Normal"/>
    <w:link w:val="sidetitleChar"/>
    <w:qFormat/>
    <w:rsid w:val="00B25D91"/>
    <w:pPr>
      <w:ind w:left="-2880"/>
    </w:pPr>
  </w:style>
  <w:style w:type="character" w:styleId="Hyperlink">
    <w:name w:val="Hyperlink"/>
    <w:basedOn w:val="DefaultParagraphFont"/>
    <w:uiPriority w:val="99"/>
    <w:rsid w:val="002C01C8"/>
    <w:rPr>
      <w:color w:val="0000FF"/>
      <w:u w:val="single"/>
    </w:rPr>
  </w:style>
  <w:style w:type="character" w:customStyle="1" w:styleId="sidetitleChar">
    <w:name w:val="sidetitle Char"/>
    <w:basedOn w:val="DefaultParagraphFont"/>
    <w:link w:val="sidetitle"/>
    <w:rsid w:val="00B25D91"/>
  </w:style>
  <w:style w:type="table" w:customStyle="1" w:styleId="LightShading1">
    <w:name w:val="Light Shading1"/>
    <w:basedOn w:val="TableNormal"/>
    <w:uiPriority w:val="60"/>
    <w:rsid w:val="00DC6162"/>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PlainTable2">
    <w:name w:val="Plain Table 2"/>
    <w:basedOn w:val="TableNormal"/>
    <w:uiPriority w:val="42"/>
    <w:rsid w:val="00DC616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encyTitle">
    <w:name w:val="Agency Title"/>
    <w:basedOn w:val="Normal"/>
    <w:semiHidden/>
    <w:rsid w:val="000511B1"/>
    <w:pPr>
      <w:spacing w:after="0" w:line="240" w:lineRule="auto"/>
    </w:pPr>
    <w:rPr>
      <w:rFonts w:ascii="Arial" w:eastAsia="Times New Roman" w:hAnsi="Arial" w:cs="Times New Roman"/>
      <w:b/>
      <w:sz w:val="18"/>
      <w:szCs w:val="24"/>
    </w:rPr>
  </w:style>
  <w:style w:type="paragraph" w:styleId="FootnoteText">
    <w:name w:val="footnote text"/>
    <w:basedOn w:val="Normal"/>
    <w:link w:val="FootnoteTextChar"/>
    <w:unhideWhenUsed/>
    <w:rsid w:val="000511B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0511B1"/>
    <w:rPr>
      <w:rFonts w:ascii="Times New Roman" w:eastAsia="Times New Roman" w:hAnsi="Times New Roman" w:cs="Times New Roman"/>
      <w:sz w:val="20"/>
      <w:szCs w:val="20"/>
    </w:rPr>
  </w:style>
  <w:style w:type="character" w:styleId="FootnoteReference">
    <w:name w:val="footnote reference"/>
    <w:basedOn w:val="DefaultParagraphFont"/>
    <w:unhideWhenUsed/>
    <w:rsid w:val="000511B1"/>
    <w:rPr>
      <w:vertAlign w:val="superscript"/>
    </w:rPr>
  </w:style>
  <w:style w:type="table" w:styleId="TableGrid">
    <w:name w:val="Table Grid"/>
    <w:basedOn w:val="TableNormal"/>
    <w:uiPriority w:val="59"/>
    <w:rsid w:val="007621E2"/>
    <w:pPr>
      <w:spacing w:after="200" w:line="276" w:lineRule="auto"/>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621E2"/>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1"/>
    <w:rsid w:val="007621E2"/>
    <w:rPr>
      <w:rFonts w:ascii="Times New Roman" w:eastAsia="Times New Roman" w:hAnsi="Times New Roman" w:cs="Times New Roman"/>
      <w:sz w:val="24"/>
      <w:szCs w:val="24"/>
    </w:rPr>
  </w:style>
  <w:style w:type="paragraph" w:styleId="NormalWeb">
    <w:name w:val="Normal (Web)"/>
    <w:basedOn w:val="Normal"/>
    <w:uiPriority w:val="99"/>
    <w:unhideWhenUsed/>
    <w:rsid w:val="007621E2"/>
    <w:pPr>
      <w:spacing w:before="100" w:beforeAutospacing="1" w:after="100" w:afterAutospacing="1"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0D54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1"/>
    <w:rsid w:val="004E1A6B"/>
    <w:rPr>
      <w:rFonts w:ascii="Arial" w:eastAsia="Times New Roman" w:hAnsi="Arial" w:cs="Arial"/>
      <w:b/>
      <w:bCs/>
      <w:kern w:val="32"/>
      <w:sz w:val="32"/>
      <w:szCs w:val="32"/>
    </w:rPr>
  </w:style>
  <w:style w:type="paragraph" w:customStyle="1" w:styleId="arial9">
    <w:name w:val="arial9"/>
    <w:basedOn w:val="Normal"/>
    <w:semiHidden/>
    <w:rsid w:val="00111590"/>
    <w:pPr>
      <w:spacing w:after="0" w:line="240" w:lineRule="auto"/>
      <w:ind w:right="-108"/>
    </w:pPr>
    <w:rPr>
      <w:rFonts w:ascii="Arial" w:eastAsia="Times New Roman" w:hAnsi="Arial" w:cs="Times New Roman"/>
      <w:sz w:val="18"/>
      <w:szCs w:val="24"/>
    </w:rPr>
  </w:style>
  <w:style w:type="paragraph" w:customStyle="1" w:styleId="BoardMembers">
    <w:name w:val="BoardMembers"/>
    <w:basedOn w:val="Normal"/>
    <w:semiHidden/>
    <w:rsid w:val="00111590"/>
    <w:pPr>
      <w:spacing w:after="0" w:line="240" w:lineRule="auto"/>
      <w:jc w:val="center"/>
    </w:pPr>
    <w:rPr>
      <w:rFonts w:ascii="Arial" w:eastAsia="Times New Roman" w:hAnsi="Arial" w:cs="Times New Roman"/>
      <w:sz w:val="18"/>
      <w:szCs w:val="20"/>
    </w:rPr>
  </w:style>
  <w:style w:type="paragraph" w:customStyle="1" w:styleId="Permission">
    <w:name w:val="Permission"/>
    <w:basedOn w:val="Normal"/>
    <w:semiHidden/>
    <w:rsid w:val="00111590"/>
    <w:pPr>
      <w:spacing w:after="0" w:line="240" w:lineRule="auto"/>
      <w:jc w:val="center"/>
    </w:pPr>
    <w:rPr>
      <w:rFonts w:ascii="Arial" w:eastAsia="Times New Roman" w:hAnsi="Arial" w:cs="Times New Roman"/>
      <w:i/>
      <w:iCs/>
      <w:sz w:val="18"/>
      <w:szCs w:val="20"/>
    </w:rPr>
  </w:style>
  <w:style w:type="paragraph" w:styleId="Header">
    <w:name w:val="header"/>
    <w:basedOn w:val="Normal"/>
    <w:link w:val="HeaderChar"/>
    <w:uiPriority w:val="99"/>
    <w:unhideWhenUsed/>
    <w:rsid w:val="002F25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57C"/>
  </w:style>
  <w:style w:type="paragraph" w:styleId="Footer">
    <w:name w:val="footer"/>
    <w:basedOn w:val="Normal"/>
    <w:link w:val="FooterChar"/>
    <w:uiPriority w:val="99"/>
    <w:unhideWhenUsed/>
    <w:rsid w:val="002F2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57C"/>
  </w:style>
  <w:style w:type="table" w:customStyle="1" w:styleId="ESETablesGridStyle">
    <w:name w:val="ESE Tables Grid Style"/>
    <w:basedOn w:val="TableNormal"/>
    <w:rsid w:val="00E5713E"/>
    <w:pPr>
      <w:spacing w:after="0" w:line="240" w:lineRule="auto"/>
      <w:jc w:val="center"/>
    </w:pPr>
    <w:rPr>
      <w:rFonts w:ascii="Arial Narrow" w:eastAsia="Times New Roman" w:hAnsi="Arial Narrow"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styleId="TOCHeading">
    <w:name w:val="TOC Heading"/>
    <w:basedOn w:val="Heading1"/>
    <w:next w:val="Normal"/>
    <w:uiPriority w:val="39"/>
    <w:unhideWhenUsed/>
    <w:qFormat/>
    <w:rsid w:val="00E5713E"/>
    <w:pPr>
      <w:keepLines/>
      <w:spacing w:before="240"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E5713E"/>
    <w:pPr>
      <w:spacing w:after="100"/>
      <w:ind w:left="220"/>
    </w:pPr>
    <w:rPr>
      <w:rFonts w:eastAsiaTheme="minorEastAsia" w:cs="Times New Roman"/>
    </w:rPr>
  </w:style>
  <w:style w:type="paragraph" w:styleId="TOC1">
    <w:name w:val="toc 1"/>
    <w:basedOn w:val="Normal"/>
    <w:next w:val="Normal"/>
    <w:autoRedefine/>
    <w:uiPriority w:val="39"/>
    <w:unhideWhenUsed/>
    <w:rsid w:val="00E5713E"/>
    <w:pPr>
      <w:spacing w:after="100"/>
    </w:pPr>
    <w:rPr>
      <w:rFonts w:eastAsiaTheme="minorEastAsia" w:cs="Times New Roman"/>
    </w:rPr>
  </w:style>
  <w:style w:type="paragraph" w:styleId="TOC3">
    <w:name w:val="toc 3"/>
    <w:basedOn w:val="Normal"/>
    <w:next w:val="Normal"/>
    <w:autoRedefine/>
    <w:uiPriority w:val="39"/>
    <w:unhideWhenUsed/>
    <w:rsid w:val="00E5713E"/>
    <w:pPr>
      <w:spacing w:after="100"/>
      <w:ind w:left="440"/>
    </w:pPr>
    <w:rPr>
      <w:rFonts w:eastAsiaTheme="minorEastAsia" w:cs="Times New Roman"/>
    </w:rPr>
  </w:style>
  <w:style w:type="character" w:styleId="CommentReference">
    <w:name w:val="annotation reference"/>
    <w:basedOn w:val="DefaultParagraphFont"/>
    <w:uiPriority w:val="99"/>
    <w:semiHidden/>
    <w:unhideWhenUsed/>
    <w:rsid w:val="00B85CDD"/>
    <w:rPr>
      <w:sz w:val="16"/>
      <w:szCs w:val="16"/>
    </w:rPr>
  </w:style>
  <w:style w:type="paragraph" w:styleId="CommentText">
    <w:name w:val="annotation text"/>
    <w:basedOn w:val="Normal"/>
    <w:link w:val="CommentTextChar"/>
    <w:uiPriority w:val="99"/>
    <w:semiHidden/>
    <w:unhideWhenUsed/>
    <w:rsid w:val="00B85CDD"/>
    <w:pPr>
      <w:spacing w:line="240" w:lineRule="auto"/>
    </w:pPr>
    <w:rPr>
      <w:sz w:val="20"/>
      <w:szCs w:val="20"/>
    </w:rPr>
  </w:style>
  <w:style w:type="character" w:customStyle="1" w:styleId="CommentTextChar">
    <w:name w:val="Comment Text Char"/>
    <w:basedOn w:val="DefaultParagraphFont"/>
    <w:link w:val="CommentText"/>
    <w:uiPriority w:val="99"/>
    <w:semiHidden/>
    <w:rsid w:val="00B85CDD"/>
    <w:rPr>
      <w:sz w:val="20"/>
      <w:szCs w:val="20"/>
    </w:rPr>
  </w:style>
  <w:style w:type="paragraph" w:styleId="CommentSubject">
    <w:name w:val="annotation subject"/>
    <w:basedOn w:val="CommentText"/>
    <w:next w:val="CommentText"/>
    <w:link w:val="CommentSubjectChar"/>
    <w:uiPriority w:val="99"/>
    <w:semiHidden/>
    <w:unhideWhenUsed/>
    <w:rsid w:val="00B85CDD"/>
    <w:rPr>
      <w:b/>
      <w:bCs/>
    </w:rPr>
  </w:style>
  <w:style w:type="character" w:customStyle="1" w:styleId="CommentSubjectChar">
    <w:name w:val="Comment Subject Char"/>
    <w:basedOn w:val="CommentTextChar"/>
    <w:link w:val="CommentSubject"/>
    <w:uiPriority w:val="99"/>
    <w:semiHidden/>
    <w:rsid w:val="00B85CDD"/>
    <w:rPr>
      <w:b/>
      <w:bCs/>
      <w:sz w:val="20"/>
      <w:szCs w:val="20"/>
    </w:rPr>
  </w:style>
  <w:style w:type="paragraph" w:styleId="BalloonText">
    <w:name w:val="Balloon Text"/>
    <w:basedOn w:val="Normal"/>
    <w:link w:val="BalloonTextChar"/>
    <w:uiPriority w:val="99"/>
    <w:semiHidden/>
    <w:unhideWhenUsed/>
    <w:rsid w:val="00B85C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CDD"/>
    <w:rPr>
      <w:rFonts w:ascii="Segoe UI" w:hAnsi="Segoe UI" w:cs="Segoe UI"/>
      <w:sz w:val="18"/>
      <w:szCs w:val="18"/>
    </w:rPr>
  </w:style>
  <w:style w:type="paragraph" w:customStyle="1" w:styleId="FinePrint">
    <w:name w:val="Fine Print"/>
    <w:qFormat/>
    <w:rsid w:val="00C577C0"/>
    <w:pPr>
      <w:spacing w:after="0" w:line="276" w:lineRule="auto"/>
      <w:jc w:val="center"/>
    </w:pPr>
    <w:rPr>
      <w:rFonts w:eastAsiaTheme="minorEastAsia"/>
      <w:sz w:val="18"/>
      <w:szCs w:val="24"/>
      <w:lang w:bidi="en-US"/>
    </w:rPr>
  </w:style>
  <w:style w:type="paragraph" w:customStyle="1" w:styleId="Table">
    <w:name w:val="Table"/>
    <w:basedOn w:val="Normal"/>
    <w:qFormat/>
    <w:rsid w:val="00C577C0"/>
    <w:pPr>
      <w:spacing w:before="80" w:after="80" w:line="240" w:lineRule="auto"/>
    </w:pPr>
    <w:rPr>
      <w:rFonts w:eastAsiaTheme="minorEastAsia"/>
      <w:sz w:val="24"/>
      <w:szCs w:val="20"/>
      <w:lang w:bidi="en-US"/>
    </w:rPr>
  </w:style>
  <w:style w:type="character" w:styleId="FollowedHyperlink">
    <w:name w:val="FollowedHyperlink"/>
    <w:basedOn w:val="DefaultParagraphFont"/>
    <w:uiPriority w:val="99"/>
    <w:semiHidden/>
    <w:unhideWhenUsed/>
    <w:rsid w:val="00C577C0"/>
    <w:rPr>
      <w:color w:val="954F72" w:themeColor="followedHyperlink"/>
      <w:u w:val="single"/>
    </w:rPr>
  </w:style>
  <w:style w:type="paragraph" w:customStyle="1" w:styleId="TableParagraph">
    <w:name w:val="Table Paragraph"/>
    <w:basedOn w:val="Normal"/>
    <w:uiPriority w:val="1"/>
    <w:qFormat/>
    <w:rsid w:val="00A6569D"/>
    <w:pPr>
      <w:widowControl w:val="0"/>
      <w:spacing w:after="0" w:line="240" w:lineRule="auto"/>
    </w:pPr>
  </w:style>
  <w:style w:type="table" w:customStyle="1" w:styleId="TableGrid3">
    <w:name w:val="Table Grid3"/>
    <w:basedOn w:val="TableNormal"/>
    <w:next w:val="TableGrid"/>
    <w:uiPriority w:val="59"/>
    <w:rsid w:val="00E7321B"/>
    <w:pPr>
      <w:spacing w:after="0" w:line="240" w:lineRule="auto"/>
    </w:pPr>
    <w:rPr>
      <w:rFonts w:eastAsiaTheme="minorEastAsia"/>
      <w:sz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2600"/>
    <w:pPr>
      <w:spacing w:after="0" w:line="240" w:lineRule="auto"/>
    </w:pPr>
  </w:style>
  <w:style w:type="paragraph" w:styleId="NoSpacing">
    <w:name w:val="No Spacing"/>
    <w:uiPriority w:val="1"/>
    <w:qFormat/>
    <w:rsid w:val="00713D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680878">
      <w:bodyDiv w:val="1"/>
      <w:marLeft w:val="0"/>
      <w:marRight w:val="0"/>
      <w:marTop w:val="0"/>
      <w:marBottom w:val="0"/>
      <w:divBdr>
        <w:top w:val="none" w:sz="0" w:space="0" w:color="auto"/>
        <w:left w:val="none" w:sz="0" w:space="0" w:color="auto"/>
        <w:bottom w:val="none" w:sz="0" w:space="0" w:color="auto"/>
        <w:right w:val="none" w:sz="0" w:space="0" w:color="auto"/>
      </w:divBdr>
    </w:div>
    <w:div w:id="51249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 TargetMode="External"/><Relationship Id="rId18" Type="http://schemas.openxmlformats.org/officeDocument/2006/relationships/header" Target="header2.xml"/><Relationship Id="rId26" Type="http://schemas.openxmlformats.org/officeDocument/2006/relationships/hyperlink" Target="http://www.doe.mass.edu/bese/docs/fy2016/2016-02/"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doe.mass.edu/odl/cmvs/PerformanceCriteria.pdf" TargetMode="External"/><Relationship Id="rId34" Type="http://schemas.openxmlformats.org/officeDocument/2006/relationships/hyperlink" Target="http://profiles.doe.mass.edu/accountability/report/school.aspx?linkid=31&amp;orgcode=39010900&amp;orgtypecode=6&am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www.doe.mass.edu/boe/minutes/2016/0223reg-0222spec.pdf" TargetMode="External"/><Relationship Id="rId33" Type="http://schemas.openxmlformats.org/officeDocument/2006/relationships/footer" Target="footer4.xml"/><Relationship Id="rId38" Type="http://schemas.openxmlformats.org/officeDocument/2006/relationships/hyperlink" Target="http://visiblelearningplus.com/content/250-influences-student-achievement"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doe.mass.edu/lawsregs/603cmr52.html?section=04" TargetMode="External"/><Relationship Id="rId29" Type="http://schemas.openxmlformats.org/officeDocument/2006/relationships/hyperlink" Target="http://www.doe.mass.edu/odl/cmvs/RenewalApp.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odl/cmvs/GCVS-2015-12Renewal.pdf" TargetMode="External"/><Relationship Id="rId32" Type="http://schemas.openxmlformats.org/officeDocument/2006/relationships/footer" Target="footer3.xml"/><Relationship Id="rId37" Type="http://schemas.openxmlformats.org/officeDocument/2006/relationships/hyperlink" Target="https://www.inacol.org/"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www.doe.mass.edu/odl/cmvs/RenewalApp.pdf" TargetMode="External"/><Relationship Id="rId28" Type="http://schemas.openxmlformats.org/officeDocument/2006/relationships/hyperlink" Target="http://www.doe.mass.edu/lawsregs/603cmr52.html?section=11" TargetMode="External"/><Relationship Id="rId36"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http://www.doe.mass.edu/lawsregs/603cmr52.html?section=0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doe.mass.edu/lawsregs/603cmr52.html?section=11" TargetMode="External"/><Relationship Id="rId27" Type="http://schemas.openxmlformats.org/officeDocument/2006/relationships/hyperlink" Target="http://www.doe.mass.edu/bese/docs/fy2018/2018-03/item7.html" TargetMode="External"/><Relationship Id="rId30" Type="http://schemas.openxmlformats.org/officeDocument/2006/relationships/hyperlink" Target="http://www.doe.mass.edu/pqa/review/" TargetMode="External"/><Relationship Id="rId35" Type="http://schemas.openxmlformats.org/officeDocument/2006/relationships/image" Target="media/image3.emf"/></Relationships>
</file>

<file path=word/_rels/footnotes.xml.rels><?xml version="1.0" encoding="UTF-8" standalone="yes"?>
<Relationships xmlns="http://schemas.openxmlformats.org/package/2006/relationships"><Relationship Id="rId3" Type="http://schemas.openxmlformats.org/officeDocument/2006/relationships/hyperlink" Target="https://malegislature.gov/Laws/SessionLaws/Acts/2012/Chapter379" TargetMode="External"/><Relationship Id="rId2" Type="http://schemas.openxmlformats.org/officeDocument/2006/relationships/hyperlink" Target="http://www.doe.mass.edu/odl/cmvs/PerformanceCriteria.pdf" TargetMode="External"/><Relationship Id="rId1" Type="http://schemas.openxmlformats.org/officeDocument/2006/relationships/hyperlink" Target="http://www.doe.mass.edu/lawsregs/603cmr52.html?section=04" TargetMode="External"/><Relationship Id="rId4" Type="http://schemas.openxmlformats.org/officeDocument/2006/relationships/hyperlink" Target="http://www.doe.mass.edu/boe/docs/fy2013/2013-06/item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DESE-231-49509</_dlc_DocId>
    <_dlc_DocIdUrl xmlns="733efe1c-5bbe-4968-87dc-d400e65c879f">
      <Url>https://sharepoint.doemass.org/ese/webteam/cps/_layouts/DocIdRedir.aspx?ID=DESE-231-49509</Url>
      <Description>DESE-231-49509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7DD68-3CA3-4C61-859B-7D79BC337FC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36C6A9DE-85C1-4437-BA29-5FB5F7117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2F3F9E-2B91-4F14-9318-039FD994C4C7}">
  <ds:schemaRefs>
    <ds:schemaRef ds:uri="http://schemas.microsoft.com/sharepoint/events"/>
  </ds:schemaRefs>
</ds:datastoreItem>
</file>

<file path=customXml/itemProps4.xml><?xml version="1.0" encoding="utf-8"?>
<ds:datastoreItem xmlns:ds="http://schemas.openxmlformats.org/officeDocument/2006/customXml" ds:itemID="{7FB9E230-0215-485C-A3D5-9899EF2E8F91}">
  <ds:schemaRefs>
    <ds:schemaRef ds:uri="http://schemas.microsoft.com/sharepoint/v3/contenttype/forms"/>
  </ds:schemaRefs>
</ds:datastoreItem>
</file>

<file path=customXml/itemProps5.xml><?xml version="1.0" encoding="utf-8"?>
<ds:datastoreItem xmlns:ds="http://schemas.openxmlformats.org/officeDocument/2006/customXml" ds:itemID="{514C2A0D-6A5A-418E-B361-8B13166C4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40</Pages>
  <Words>13389</Words>
  <Characters>76321</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BESE March Agenda item 3 Attachment B: Summary of Review</vt:lpstr>
    </vt:vector>
  </TitlesOfParts>
  <Company/>
  <LinksUpToDate>false</LinksUpToDate>
  <CharactersWithSpaces>89531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2019 Item 3 Attachment B: Summary of Review</dc:title>
  <dc:subject/>
  <dc:creator>DESE</dc:creator>
  <cp:keywords/>
  <dc:description/>
  <cp:lastModifiedBy>Zou, Dong (EOE)</cp:lastModifiedBy>
  <cp:revision>9</cp:revision>
  <dcterms:created xsi:type="dcterms:W3CDTF">2019-03-08T18:17:00Z</dcterms:created>
  <dcterms:modified xsi:type="dcterms:W3CDTF">2019-04-25T16:09:00Z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18 2019</vt:lpwstr>
  </property>
</Properties>
</file>