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24A47A" w14:textId="77777777" w:rsidR="00A20194" w:rsidRDefault="004E5697">
      <w:pPr>
        <w:spacing w:line="192" w:lineRule="auto"/>
        <w:outlineLvl w:val="0"/>
        <w:rPr>
          <w:rFonts w:ascii="Arial" w:hAnsi="Arial"/>
          <w:b/>
          <w:i/>
          <w:sz w:val="40"/>
        </w:rPr>
      </w:pPr>
      <w:bookmarkStart w:id="0" w:name="_GoBack"/>
      <w:bookmarkEnd w:id="0"/>
      <w:r>
        <w:rPr>
          <w:rFonts w:ascii="Arial" w:hAnsi="Arial"/>
          <w:i/>
          <w:noProof/>
          <w:snapToGrid/>
          <w:sz w:val="40"/>
          <w:lang w:eastAsia="zh-CN"/>
        </w:rPr>
        <w:drawing>
          <wp:anchor distT="0" distB="0" distL="114300" distR="274320" simplePos="0" relativeHeight="251657216" behindDoc="0" locked="0" layoutInCell="0" allowOverlap="1" wp14:anchorId="5F0A2617" wp14:editId="23641D91">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12C6B4AA"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6C0D9727" w14:textId="77777777" w:rsidR="00A20194" w:rsidRDefault="00F878C5">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52CF1C04" wp14:editId="68954CD6">
                <wp:simplePos x="0" y="0"/>
                <wp:positionH relativeFrom="column">
                  <wp:posOffset>914400</wp:posOffset>
                </wp:positionH>
                <wp:positionV relativeFrom="paragraph">
                  <wp:posOffset>68580</wp:posOffset>
                </wp:positionV>
                <wp:extent cx="4800600" cy="0"/>
                <wp:effectExtent l="0" t="0" r="19050" b="19050"/>
                <wp:wrapNone/>
                <wp:docPr id="1" name="Line 3"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7CA27" id="Line 3" o:spid="_x0000_s1026" alt="horizontal line"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" o:allowincell="f" strokeweight="1pt"/>
            </w:pict>
          </mc:Fallback>
        </mc:AlternateContent>
      </w:r>
    </w:p>
    <w:p w14:paraId="606C9240" w14:textId="178706D3"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072E6C">
        <w:rPr>
          <w:sz w:val="16"/>
          <w:szCs w:val="16"/>
        </w:rPr>
        <w:br/>
      </w:r>
      <w:r w:rsidR="00A20194" w:rsidRPr="00C974A6">
        <w:rPr>
          <w:sz w:val="16"/>
          <w:szCs w:val="16"/>
        </w:rPr>
        <w:t>TTY: N.E.T. Relay 1-800-439-2370</w:t>
      </w:r>
    </w:p>
    <w:p w14:paraId="40338E6C" w14:textId="77777777" w:rsidR="00A20194" w:rsidRPr="00C974A6" w:rsidRDefault="00A20194">
      <w:pPr>
        <w:ind w:left="720"/>
        <w:rPr>
          <w:rFonts w:ascii="Arial" w:hAnsi="Arial"/>
          <w:i/>
          <w:sz w:val="16"/>
          <w:szCs w:val="16"/>
        </w:rPr>
      </w:pPr>
    </w:p>
    <w:p w14:paraId="14EB91AA" w14:textId="77777777" w:rsidR="00A20194" w:rsidRDefault="00A20194">
      <w:pPr>
        <w:ind w:left="720"/>
        <w:rPr>
          <w:rFonts w:ascii="Arial" w:hAnsi="Arial"/>
          <w:i/>
          <w:sz w:val="18"/>
        </w:rPr>
        <w:sectPr w:rsidR="00A20194" w:rsidSect="002A10A3">
          <w:footerReference w:type="default" r:id="rId13"/>
          <w:endnotePr>
            <w:numFmt w:val="decimal"/>
          </w:endnotePr>
          <w:pgSz w:w="12240" w:h="15840"/>
          <w:pgMar w:top="864" w:right="1080" w:bottom="1440" w:left="1800" w:header="1440" w:footer="1440" w:gutter="0"/>
          <w:cols w:space="720"/>
          <w:noEndnote/>
          <w:titlePg/>
          <w:docGrid w:linePitch="326"/>
        </w:sectPr>
      </w:pPr>
    </w:p>
    <w:p w14:paraId="2C3FE4BA"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Description w:val="Jeffrey C. Riley&#10;Commissioner &#10;"/>
      </w:tblPr>
      <w:tblGrid>
        <w:gridCol w:w="2951"/>
        <w:gridCol w:w="8425"/>
      </w:tblGrid>
      <w:tr w:rsidR="00C974A6" w:rsidRPr="00C974A6" w14:paraId="16B96558" w14:textId="77777777" w:rsidTr="003B0C56">
        <w:trPr>
          <w:tblHeader/>
        </w:trPr>
        <w:tc>
          <w:tcPr>
            <w:tcW w:w="2988" w:type="dxa"/>
          </w:tcPr>
          <w:p w14:paraId="2A366F5D"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055B1AAE"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131B3B2A" w14:textId="77777777" w:rsidR="00C974A6" w:rsidRPr="00C974A6" w:rsidRDefault="00C974A6" w:rsidP="00C974A6">
            <w:pPr>
              <w:jc w:val="center"/>
              <w:rPr>
                <w:rFonts w:ascii="Arial" w:hAnsi="Arial"/>
                <w:i/>
                <w:sz w:val="16"/>
                <w:szCs w:val="16"/>
              </w:rPr>
            </w:pPr>
          </w:p>
        </w:tc>
      </w:tr>
    </w:tbl>
    <w:p w14:paraId="6171A574" w14:textId="77777777" w:rsidR="00A20194" w:rsidRDefault="00A20194">
      <w:pPr>
        <w:rPr>
          <w:rFonts w:ascii="Arial" w:hAnsi="Arial"/>
          <w:i/>
          <w:sz w:val="18"/>
        </w:rPr>
      </w:pPr>
    </w:p>
    <w:p w14:paraId="5FE52DBA"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618298F" w14:textId="77777777" w:rsidR="0059178C" w:rsidRDefault="0059178C" w:rsidP="0059178C">
      <w:pPr>
        <w:pStyle w:val="Heading1"/>
        <w:tabs>
          <w:tab w:val="clear" w:pos="4680"/>
        </w:tabs>
      </w:pPr>
      <w:r>
        <w:t>MEMORANDUM</w:t>
      </w:r>
    </w:p>
    <w:p w14:paraId="17FF4FDC" w14:textId="77777777" w:rsidR="0059178C" w:rsidRDefault="0059178C" w:rsidP="0059178C">
      <w:pPr>
        <w:pStyle w:val="Footer"/>
        <w:widowControl w:val="0"/>
        <w:tabs>
          <w:tab w:val="clear" w:pos="4320"/>
          <w:tab w:val="clear" w:pos="8640"/>
        </w:tabs>
        <w:rPr>
          <w:snapToGrid w:val="0"/>
          <w:szCs w:val="20"/>
        </w:rPr>
      </w:pPr>
    </w:p>
    <w:p w14:paraId="38A7569B" w14:textId="77777777" w:rsidR="0059178C" w:rsidRDefault="0059178C" w:rsidP="0059178C">
      <w:pPr>
        <w:pStyle w:val="Footer"/>
        <w:widowControl w:val="0"/>
        <w:tabs>
          <w:tab w:val="clear" w:pos="4320"/>
          <w:tab w:val="clear" w:pos="8640"/>
        </w:tabs>
        <w:rPr>
          <w:snapToGrid w:val="0"/>
          <w:szCs w:val="20"/>
        </w:rPr>
      </w:pPr>
    </w:p>
    <w:tbl>
      <w:tblPr>
        <w:tblW w:w="0" w:type="auto"/>
        <w:tblLook w:val="01E0" w:firstRow="1" w:lastRow="1" w:firstColumn="1" w:lastColumn="1" w:noHBand="0" w:noVBand="0"/>
      </w:tblPr>
      <w:tblGrid>
        <w:gridCol w:w="1184"/>
        <w:gridCol w:w="8176"/>
      </w:tblGrid>
      <w:tr w:rsidR="0059178C" w14:paraId="72432E80" w14:textId="77777777" w:rsidTr="00E83069">
        <w:tc>
          <w:tcPr>
            <w:tcW w:w="1188" w:type="dxa"/>
          </w:tcPr>
          <w:p w14:paraId="06B24E2E" w14:textId="77777777" w:rsidR="0059178C" w:rsidRDefault="0059178C" w:rsidP="00E83069">
            <w:pPr>
              <w:rPr>
                <w:b/>
              </w:rPr>
            </w:pPr>
            <w:r>
              <w:rPr>
                <w:b/>
              </w:rPr>
              <w:t>To:</w:t>
            </w:r>
          </w:p>
        </w:tc>
        <w:tc>
          <w:tcPr>
            <w:tcW w:w="8388" w:type="dxa"/>
          </w:tcPr>
          <w:p w14:paraId="016DF456" w14:textId="77777777" w:rsidR="0059178C" w:rsidRDefault="0059178C" w:rsidP="00E83069">
            <w:pPr>
              <w:pStyle w:val="Footer"/>
              <w:widowControl w:val="0"/>
              <w:tabs>
                <w:tab w:val="clear" w:pos="4320"/>
                <w:tab w:val="clear" w:pos="8640"/>
              </w:tabs>
              <w:rPr>
                <w:bCs/>
                <w:snapToGrid w:val="0"/>
                <w:szCs w:val="20"/>
              </w:rPr>
            </w:pPr>
            <w:r>
              <w:rPr>
                <w:bCs/>
                <w:snapToGrid w:val="0"/>
                <w:szCs w:val="20"/>
              </w:rPr>
              <w:t>Members of the Board of Elementary and Secondary Education</w:t>
            </w:r>
          </w:p>
        </w:tc>
      </w:tr>
      <w:tr w:rsidR="0059178C" w14:paraId="052B9C1A" w14:textId="77777777" w:rsidTr="00E83069">
        <w:tc>
          <w:tcPr>
            <w:tcW w:w="1188" w:type="dxa"/>
          </w:tcPr>
          <w:p w14:paraId="165BEB9A" w14:textId="77777777" w:rsidR="0059178C" w:rsidRDefault="0059178C" w:rsidP="00E83069">
            <w:pPr>
              <w:rPr>
                <w:b/>
              </w:rPr>
            </w:pPr>
            <w:r>
              <w:rPr>
                <w:b/>
              </w:rPr>
              <w:t>From:</w:t>
            </w:r>
            <w:r>
              <w:tab/>
            </w:r>
          </w:p>
        </w:tc>
        <w:tc>
          <w:tcPr>
            <w:tcW w:w="8388" w:type="dxa"/>
          </w:tcPr>
          <w:p w14:paraId="5F6A1EC7" w14:textId="145F8244" w:rsidR="00205D30" w:rsidRDefault="0059178C" w:rsidP="00E83069">
            <w:pPr>
              <w:pStyle w:val="Footer"/>
              <w:widowControl w:val="0"/>
              <w:tabs>
                <w:tab w:val="clear" w:pos="4320"/>
                <w:tab w:val="clear" w:pos="8640"/>
              </w:tabs>
              <w:rPr>
                <w:bCs/>
                <w:snapToGrid w:val="0"/>
                <w:szCs w:val="20"/>
              </w:rPr>
            </w:pPr>
            <w:r>
              <w:rPr>
                <w:bCs/>
                <w:snapToGrid w:val="0"/>
                <w:szCs w:val="20"/>
              </w:rPr>
              <w:t>Jeffrey C. Riley, Commissioner</w:t>
            </w:r>
          </w:p>
        </w:tc>
      </w:tr>
      <w:tr w:rsidR="0059178C" w14:paraId="3ADD5162" w14:textId="77777777" w:rsidTr="00E83069">
        <w:tc>
          <w:tcPr>
            <w:tcW w:w="1188" w:type="dxa"/>
          </w:tcPr>
          <w:p w14:paraId="751042D2" w14:textId="77777777" w:rsidR="0059178C" w:rsidRDefault="0059178C" w:rsidP="00E83069">
            <w:pPr>
              <w:rPr>
                <w:b/>
              </w:rPr>
            </w:pPr>
            <w:r>
              <w:rPr>
                <w:b/>
              </w:rPr>
              <w:t>Date:</w:t>
            </w:r>
            <w:r>
              <w:tab/>
            </w:r>
          </w:p>
        </w:tc>
        <w:tc>
          <w:tcPr>
            <w:tcW w:w="8388" w:type="dxa"/>
          </w:tcPr>
          <w:p w14:paraId="0BE06708" w14:textId="77777777" w:rsidR="0059178C" w:rsidRDefault="005E35E6" w:rsidP="00E83069">
            <w:pPr>
              <w:pStyle w:val="Footer"/>
              <w:widowControl w:val="0"/>
              <w:tabs>
                <w:tab w:val="clear" w:pos="4320"/>
                <w:tab w:val="clear" w:pos="8640"/>
              </w:tabs>
              <w:rPr>
                <w:bCs/>
                <w:snapToGrid w:val="0"/>
                <w:szCs w:val="20"/>
              </w:rPr>
            </w:pPr>
            <w:r>
              <w:rPr>
                <w:bCs/>
                <w:snapToGrid w:val="0"/>
                <w:szCs w:val="20"/>
              </w:rPr>
              <w:t>March 15, 2019</w:t>
            </w:r>
          </w:p>
        </w:tc>
      </w:tr>
      <w:tr w:rsidR="0059178C" w14:paraId="0FDA6284" w14:textId="77777777" w:rsidTr="00E83069">
        <w:tc>
          <w:tcPr>
            <w:tcW w:w="1188" w:type="dxa"/>
          </w:tcPr>
          <w:p w14:paraId="5787EE46" w14:textId="77777777" w:rsidR="0059178C" w:rsidRDefault="0059178C" w:rsidP="00E83069">
            <w:pPr>
              <w:rPr>
                <w:b/>
              </w:rPr>
            </w:pPr>
            <w:r>
              <w:rPr>
                <w:b/>
              </w:rPr>
              <w:t>Subject:</w:t>
            </w:r>
          </w:p>
        </w:tc>
        <w:tc>
          <w:tcPr>
            <w:tcW w:w="8388" w:type="dxa"/>
          </w:tcPr>
          <w:p w14:paraId="14CCCCD2" w14:textId="77777777" w:rsidR="0059178C" w:rsidRPr="007A22FF" w:rsidRDefault="005E35E6" w:rsidP="005E35E6">
            <w:pPr>
              <w:pStyle w:val="Footer"/>
              <w:widowControl w:val="0"/>
              <w:tabs>
                <w:tab w:val="clear" w:pos="4320"/>
                <w:tab w:val="clear" w:pos="8640"/>
              </w:tabs>
              <w:rPr>
                <w:bCs/>
                <w:snapToGrid w:val="0"/>
                <w:szCs w:val="20"/>
              </w:rPr>
            </w:pPr>
            <w:r w:rsidRPr="002F7DF1">
              <w:rPr>
                <w:color w:val="000000"/>
              </w:rPr>
              <w:t xml:space="preserve">Commonwealth of Massachusetts Virtual Schools </w:t>
            </w:r>
            <w:r>
              <w:rPr>
                <w:color w:val="000000"/>
              </w:rPr>
              <w:t xml:space="preserve">– </w:t>
            </w:r>
            <w:r>
              <w:t>Renewal Recommendation for Greenfield Commonwealth Virtual School</w:t>
            </w:r>
          </w:p>
        </w:tc>
      </w:tr>
    </w:tbl>
    <w:p w14:paraId="48022DB5" w14:textId="77777777" w:rsidR="0059178C" w:rsidRDefault="0059178C" w:rsidP="0059178C">
      <w:pPr>
        <w:pBdr>
          <w:bottom w:val="single" w:sz="4" w:space="1" w:color="auto"/>
        </w:pBdr>
      </w:pPr>
      <w:bookmarkStart w:id="1" w:name="TO"/>
      <w:bookmarkStart w:id="2" w:name="FROM"/>
      <w:bookmarkStart w:id="3" w:name="DATE"/>
      <w:bookmarkStart w:id="4" w:name="RE"/>
      <w:bookmarkEnd w:id="1"/>
      <w:bookmarkEnd w:id="2"/>
      <w:bookmarkEnd w:id="3"/>
      <w:bookmarkEnd w:id="4"/>
    </w:p>
    <w:p w14:paraId="16A044BC"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1D799AD1" w14:textId="77777777" w:rsidR="0059178C" w:rsidRDefault="0059178C" w:rsidP="0059178C">
      <w:pPr>
        <w:rPr>
          <w:sz w:val="16"/>
        </w:rPr>
      </w:pPr>
    </w:p>
    <w:p w14:paraId="5D351872" w14:textId="10D35EF9" w:rsidR="005E35E6" w:rsidRDefault="005E35E6" w:rsidP="005E35E6">
      <w:pPr>
        <w:widowControl/>
      </w:pPr>
      <w:r w:rsidRPr="002F7DF1">
        <w:rPr>
          <w:color w:val="000000"/>
          <w:szCs w:val="24"/>
        </w:rPr>
        <w:t xml:space="preserve">Pursuant to the </w:t>
      </w:r>
      <w:r>
        <w:rPr>
          <w:color w:val="000000"/>
          <w:szCs w:val="24"/>
        </w:rPr>
        <w:t xml:space="preserve">virtual school statute, G.L. c. 71, § 94(j), and the </w:t>
      </w:r>
      <w:r w:rsidRPr="002F7DF1">
        <w:rPr>
          <w:color w:val="000000"/>
          <w:szCs w:val="24"/>
        </w:rPr>
        <w:t xml:space="preserve">regulations for Commonwealth of Massachusetts Virtual Schools </w:t>
      </w:r>
      <w:r>
        <w:rPr>
          <w:color w:val="000000"/>
          <w:szCs w:val="24"/>
        </w:rPr>
        <w:t xml:space="preserve">(CMVS) </w:t>
      </w:r>
      <w:r w:rsidRPr="002F7DF1">
        <w:rPr>
          <w:color w:val="000000"/>
          <w:szCs w:val="24"/>
        </w:rPr>
        <w:t>at 603 CMR</w:t>
      </w:r>
      <w:r>
        <w:rPr>
          <w:color w:val="000000"/>
          <w:szCs w:val="24"/>
        </w:rPr>
        <w:t xml:space="preserve"> 52.11,</w:t>
      </w:r>
      <w:r w:rsidRPr="002F7DF1">
        <w:rPr>
          <w:color w:val="000000"/>
          <w:szCs w:val="24"/>
        </w:rPr>
        <w:t xml:space="preserve"> I recommend that the Board </w:t>
      </w:r>
      <w:r>
        <w:rPr>
          <w:color w:val="000000"/>
          <w:szCs w:val="24"/>
        </w:rPr>
        <w:t xml:space="preserve">of Elementary and Secondary Education (Board) </w:t>
      </w:r>
      <w:r w:rsidRPr="002F7DF1">
        <w:rPr>
          <w:color w:val="000000"/>
          <w:szCs w:val="24"/>
        </w:rPr>
        <w:t xml:space="preserve">renew the certificate </w:t>
      </w:r>
      <w:r w:rsidRPr="002F7DF1">
        <w:rPr>
          <w:szCs w:val="24"/>
        </w:rPr>
        <w:t xml:space="preserve">for </w:t>
      </w:r>
      <w:r>
        <w:t>Greenfield Commonwealth Virtual School</w:t>
      </w:r>
      <w:r w:rsidRPr="002F7DF1">
        <w:rPr>
          <w:szCs w:val="24"/>
        </w:rPr>
        <w:t xml:space="preserve"> (</w:t>
      </w:r>
      <w:r>
        <w:rPr>
          <w:szCs w:val="24"/>
        </w:rPr>
        <w:t>GCVS</w:t>
      </w:r>
      <w:r w:rsidRPr="002F7DF1">
        <w:rPr>
          <w:szCs w:val="24"/>
        </w:rPr>
        <w:t xml:space="preserve">) </w:t>
      </w:r>
      <w:r w:rsidR="00064CD8" w:rsidRPr="002F7DF1">
        <w:rPr>
          <w:szCs w:val="24"/>
        </w:rPr>
        <w:t>for</w:t>
      </w:r>
      <w:r w:rsidR="00064CD8" w:rsidRPr="002F7DF1">
        <w:rPr>
          <w:color w:val="000000"/>
          <w:szCs w:val="24"/>
        </w:rPr>
        <w:t xml:space="preserve"> an additional three years, the minimum permitted by </w:t>
      </w:r>
      <w:r w:rsidR="00064CD8">
        <w:rPr>
          <w:color w:val="000000"/>
          <w:szCs w:val="24"/>
        </w:rPr>
        <w:t>statute.</w:t>
      </w:r>
      <w:r w:rsidRPr="002F7DF1">
        <w:rPr>
          <w:color w:val="000000"/>
          <w:szCs w:val="24"/>
        </w:rPr>
        <w:t xml:space="preserve"> </w:t>
      </w:r>
      <w:r>
        <w:rPr>
          <w:color w:val="000000"/>
          <w:szCs w:val="24"/>
        </w:rPr>
        <w:t>I further recommend that the Board remove probation from the school’s certificate</w:t>
      </w:r>
      <w:r w:rsidR="00130065">
        <w:rPr>
          <w:color w:val="000000"/>
          <w:szCs w:val="24"/>
        </w:rPr>
        <w:t xml:space="preserve"> and </w:t>
      </w:r>
      <w:r>
        <w:rPr>
          <w:color w:val="000000"/>
          <w:szCs w:val="24"/>
        </w:rPr>
        <w:t xml:space="preserve">continue </w:t>
      </w:r>
      <w:r w:rsidRPr="002F7DF1">
        <w:rPr>
          <w:color w:val="000000"/>
          <w:szCs w:val="24"/>
        </w:rPr>
        <w:t>conditions</w:t>
      </w:r>
      <w:r w:rsidRPr="00863697">
        <w:rPr>
          <w:rStyle w:val="FootnoteReference"/>
          <w:color w:val="000000"/>
          <w:szCs w:val="24"/>
          <w:vertAlign w:val="superscript"/>
        </w:rPr>
        <w:footnoteReference w:id="1"/>
      </w:r>
      <w:r w:rsidRPr="002F7DF1">
        <w:rPr>
          <w:color w:val="000000"/>
          <w:szCs w:val="24"/>
        </w:rPr>
        <w:t xml:space="preserve"> on </w:t>
      </w:r>
      <w:r>
        <w:rPr>
          <w:szCs w:val="24"/>
        </w:rPr>
        <w:t>the school’s certificate to address concerns related to</w:t>
      </w:r>
      <w:r w:rsidR="00381F3C">
        <w:rPr>
          <w:szCs w:val="24"/>
        </w:rPr>
        <w:t>: academic results, the school’s academic program</w:t>
      </w:r>
      <w:r w:rsidR="006A4AC1">
        <w:rPr>
          <w:szCs w:val="24"/>
        </w:rPr>
        <w:t>,</w:t>
      </w:r>
      <w:r w:rsidRPr="00381F3C">
        <w:rPr>
          <w:szCs w:val="24"/>
        </w:rPr>
        <w:t xml:space="preserve"> </w:t>
      </w:r>
      <w:r w:rsidR="00381F3C">
        <w:rPr>
          <w:szCs w:val="24"/>
        </w:rPr>
        <w:t>and issues related to access and equity for all students</w:t>
      </w:r>
      <w:r w:rsidRPr="00381F3C">
        <w:rPr>
          <w:szCs w:val="24"/>
        </w:rPr>
        <w:t>.</w:t>
      </w:r>
      <w:r w:rsidR="003C5415">
        <w:rPr>
          <w:szCs w:val="24"/>
        </w:rPr>
        <w:t xml:space="preserve"> The rationale for these recommendations is provided </w:t>
      </w:r>
      <w:r w:rsidR="00130065">
        <w:rPr>
          <w:szCs w:val="24"/>
        </w:rPr>
        <w:t>in this memorandum</w:t>
      </w:r>
      <w:r w:rsidR="003C5415">
        <w:rPr>
          <w:szCs w:val="24"/>
        </w:rPr>
        <w:t>.</w:t>
      </w:r>
    </w:p>
    <w:p w14:paraId="58F7A30E" w14:textId="77777777" w:rsidR="005E35E6" w:rsidRDefault="005E35E6" w:rsidP="005E35E6">
      <w:pPr>
        <w:widowControl/>
      </w:pPr>
    </w:p>
    <w:p w14:paraId="2F374187" w14:textId="541B2A0A" w:rsidR="005E35E6" w:rsidRDefault="005E35E6" w:rsidP="005E35E6">
      <w:pPr>
        <w:widowControl/>
        <w:rPr>
          <w:szCs w:val="24"/>
        </w:rPr>
      </w:pPr>
      <w:r>
        <w:rPr>
          <w:szCs w:val="24"/>
        </w:rPr>
        <w:t xml:space="preserve">The Department of </w:t>
      </w:r>
      <w:r>
        <w:rPr>
          <w:color w:val="000000"/>
          <w:szCs w:val="24"/>
        </w:rPr>
        <w:t>Elementary and Secondary Education (Department)</w:t>
      </w:r>
      <w:r w:rsidRPr="002F7DF1">
        <w:rPr>
          <w:szCs w:val="24"/>
        </w:rPr>
        <w:t xml:space="preserve"> evaluated the performance of </w:t>
      </w:r>
      <w:r>
        <w:rPr>
          <w:szCs w:val="24"/>
        </w:rPr>
        <w:t>GCVS against the Commonwealth Virtual School Performance Criteria</w:t>
      </w:r>
      <w:r w:rsidRPr="00B67970">
        <w:rPr>
          <w:rStyle w:val="FootnoteReference"/>
          <w:szCs w:val="24"/>
          <w:vertAlign w:val="superscript"/>
        </w:rPr>
        <w:footnoteReference w:id="2"/>
      </w:r>
      <w:r>
        <w:rPr>
          <w:szCs w:val="24"/>
        </w:rPr>
        <w:t xml:space="preserve"> </w:t>
      </w:r>
      <w:r w:rsidRPr="002F7DF1">
        <w:rPr>
          <w:szCs w:val="24"/>
        </w:rPr>
        <w:t xml:space="preserve">using quantitative and qualitative evidence reported by the school and collected by </w:t>
      </w:r>
      <w:r>
        <w:rPr>
          <w:szCs w:val="24"/>
        </w:rPr>
        <w:t xml:space="preserve">the </w:t>
      </w:r>
      <w:r w:rsidRPr="002F7DF1">
        <w:rPr>
          <w:szCs w:val="24"/>
        </w:rPr>
        <w:t xml:space="preserve">Department throughout the school’s </w:t>
      </w:r>
      <w:r>
        <w:rPr>
          <w:szCs w:val="24"/>
        </w:rPr>
        <w:t xml:space="preserve">second </w:t>
      </w:r>
      <w:r w:rsidRPr="002F7DF1">
        <w:rPr>
          <w:szCs w:val="24"/>
        </w:rPr>
        <w:t>certificate</w:t>
      </w:r>
      <w:r>
        <w:rPr>
          <w:szCs w:val="24"/>
        </w:rPr>
        <w:t xml:space="preserve"> </w:t>
      </w:r>
      <w:r w:rsidR="00CD116D">
        <w:rPr>
          <w:szCs w:val="24"/>
        </w:rPr>
        <w:t>term</w:t>
      </w:r>
      <w:r>
        <w:rPr>
          <w:szCs w:val="24"/>
        </w:rPr>
        <w:t>,</w:t>
      </w:r>
      <w:r w:rsidRPr="002F7DF1">
        <w:rPr>
          <w:szCs w:val="24"/>
        </w:rPr>
        <w:t xml:space="preserve"> </w:t>
      </w:r>
      <w:r w:rsidR="008E1CEF">
        <w:rPr>
          <w:szCs w:val="24"/>
        </w:rPr>
        <w:t>2016-2017 through 2018-2019</w:t>
      </w:r>
      <w:r>
        <w:rPr>
          <w:szCs w:val="24"/>
        </w:rPr>
        <w:t>. The evidence</w:t>
      </w:r>
      <w:r w:rsidRPr="002F7DF1">
        <w:rPr>
          <w:szCs w:val="24"/>
        </w:rPr>
        <w:t xml:space="preserve"> includ</w:t>
      </w:r>
      <w:r>
        <w:rPr>
          <w:szCs w:val="24"/>
        </w:rPr>
        <w:t>ed,</w:t>
      </w:r>
      <w:r w:rsidRPr="002F7DF1">
        <w:rPr>
          <w:szCs w:val="24"/>
        </w:rPr>
        <w:t xml:space="preserve"> but </w:t>
      </w:r>
      <w:r>
        <w:rPr>
          <w:szCs w:val="24"/>
        </w:rPr>
        <w:t xml:space="preserve">was </w:t>
      </w:r>
      <w:r w:rsidRPr="002F7DF1">
        <w:rPr>
          <w:szCs w:val="24"/>
        </w:rPr>
        <w:t>not limited to</w:t>
      </w:r>
      <w:r>
        <w:rPr>
          <w:szCs w:val="24"/>
        </w:rPr>
        <w:t>,</w:t>
      </w:r>
      <w:r w:rsidRPr="002F7DF1">
        <w:rPr>
          <w:szCs w:val="24"/>
        </w:rPr>
        <w:t xml:space="preserve"> state academic assessment data, the school’s </w:t>
      </w:r>
      <w:r w:rsidR="00130065">
        <w:rPr>
          <w:szCs w:val="24"/>
        </w:rPr>
        <w:t>goals in its</w:t>
      </w:r>
      <w:r w:rsidRPr="002F7DF1">
        <w:rPr>
          <w:szCs w:val="24"/>
        </w:rPr>
        <w:t xml:space="preserve"> Accountability Plan, annual reports, audited financial information, and data collected from accountability reviews</w:t>
      </w:r>
      <w:r>
        <w:rPr>
          <w:szCs w:val="24"/>
        </w:rPr>
        <w:t xml:space="preserve"> conducted in </w:t>
      </w:r>
      <w:r w:rsidR="003C5415">
        <w:rPr>
          <w:szCs w:val="24"/>
        </w:rPr>
        <w:t xml:space="preserve">February 2017 and December 2017. </w:t>
      </w:r>
      <w:r>
        <w:rPr>
          <w:szCs w:val="24"/>
        </w:rPr>
        <w:t xml:space="preserve">Furthermore, </w:t>
      </w:r>
      <w:r w:rsidR="003C5415">
        <w:rPr>
          <w:szCs w:val="24"/>
        </w:rPr>
        <w:t>GCVS</w:t>
      </w:r>
      <w:r w:rsidRPr="002F7DF1">
        <w:rPr>
          <w:szCs w:val="24"/>
        </w:rPr>
        <w:t xml:space="preserve"> underwent a </w:t>
      </w:r>
      <w:r>
        <w:rPr>
          <w:szCs w:val="24"/>
        </w:rPr>
        <w:t>comprehensive</w:t>
      </w:r>
      <w:r w:rsidRPr="002F7DF1">
        <w:rPr>
          <w:szCs w:val="24"/>
        </w:rPr>
        <w:t xml:space="preserve"> renewal process that included the sub</w:t>
      </w:r>
      <w:r>
        <w:rPr>
          <w:szCs w:val="24"/>
        </w:rPr>
        <w:t xml:space="preserve">mission of an </w:t>
      </w:r>
      <w:r w:rsidRPr="002F7DF1">
        <w:rPr>
          <w:szCs w:val="24"/>
        </w:rPr>
        <w:t>application in June 201</w:t>
      </w:r>
      <w:r w:rsidR="003C5415">
        <w:rPr>
          <w:szCs w:val="24"/>
        </w:rPr>
        <w:t>8</w:t>
      </w:r>
      <w:r>
        <w:rPr>
          <w:szCs w:val="24"/>
        </w:rPr>
        <w:t xml:space="preserve"> and an </w:t>
      </w:r>
      <w:r w:rsidRPr="002F7DF1">
        <w:rPr>
          <w:szCs w:val="24"/>
        </w:rPr>
        <w:t xml:space="preserve">inspection visit in </w:t>
      </w:r>
      <w:r w:rsidR="003C5415">
        <w:rPr>
          <w:szCs w:val="24"/>
        </w:rPr>
        <w:t>October</w:t>
      </w:r>
      <w:r>
        <w:rPr>
          <w:szCs w:val="24"/>
        </w:rPr>
        <w:t xml:space="preserve"> 201</w:t>
      </w:r>
      <w:r w:rsidR="003C5415">
        <w:rPr>
          <w:szCs w:val="24"/>
        </w:rPr>
        <w:t>8</w:t>
      </w:r>
      <w:r>
        <w:rPr>
          <w:szCs w:val="24"/>
        </w:rPr>
        <w:t xml:space="preserve"> (see Attachment A)</w:t>
      </w:r>
      <w:r w:rsidRPr="002F7DF1">
        <w:rPr>
          <w:szCs w:val="24"/>
        </w:rPr>
        <w:t xml:space="preserve">. </w:t>
      </w:r>
      <w:r w:rsidR="00064CD8" w:rsidRPr="002F7DF1">
        <w:rPr>
          <w:szCs w:val="24"/>
        </w:rPr>
        <w:t>My recommendation is the culmination of this process.</w:t>
      </w:r>
    </w:p>
    <w:p w14:paraId="31289CF9" w14:textId="26CD8787" w:rsidR="002A10A3" w:rsidRDefault="002A10A3" w:rsidP="005E35E6">
      <w:pPr>
        <w:widowControl/>
        <w:rPr>
          <w:szCs w:val="24"/>
        </w:rPr>
      </w:pPr>
    </w:p>
    <w:p w14:paraId="35D4FF10" w14:textId="77777777" w:rsidR="002A10A3" w:rsidRDefault="002A10A3" w:rsidP="005E35E6">
      <w:pPr>
        <w:widowControl/>
        <w:rPr>
          <w:szCs w:val="24"/>
        </w:rPr>
      </w:pPr>
    </w:p>
    <w:p w14:paraId="75D9B207" w14:textId="77777777" w:rsidR="0059178C" w:rsidRDefault="0059178C" w:rsidP="0059178C">
      <w:pPr>
        <w:widowControl/>
        <w:autoSpaceDE w:val="0"/>
        <w:autoSpaceDN w:val="0"/>
        <w:adjustRightInd w:val="0"/>
      </w:pPr>
    </w:p>
    <w:tbl>
      <w:tblPr>
        <w:tblStyle w:val="TableGrid"/>
        <w:tblW w:w="0" w:type="auto"/>
        <w:tblLook w:val="04A0" w:firstRow="1" w:lastRow="0" w:firstColumn="1" w:lastColumn="0" w:noHBand="0" w:noVBand="1"/>
        <w:tblDescription w:val="Greenfield Commonwealth Virtual School&#10;Year opened: July 1, 2013&#10;Year(s) renewed: 2016 (with probationary conditions)&#10;Educational management organization: None (former contract with K12, Inc., terminated in October 2017)&#10;Location of administrative offices: 238 Main Street, 3rd Floor, Greenfield, MA 01301&#10;Maximum enrollment: 750&#10;Current enrollment: 590 as of October 1, 2018&#10;Grade span: K-12&#10;Number of sending districts served: 168 as of October 1, 2018&#10;Number of instructional days per year: 180&#10;Students waitlisted: 0 as of October 1, 2018&#10;Mission statement: The Greenfield Commonwealth Virtual School, a public school of choice, serves students from across Massachusetts who need a learning community that is accessible and flexible. We give our students and their families choices in what, how, when, and where they learn. &#10;As a pioneer of online personalized learning, we empower our educators to tailor learning experiences to each student’s strengths, interests, and challenges. We redefine and change how students and teachers engage through innovative technology, while ensuring mastery of competencies embedded in a rigorous curriculum.&#10;"/>
      </w:tblPr>
      <w:tblGrid>
        <w:gridCol w:w="2337"/>
        <w:gridCol w:w="2518"/>
        <w:gridCol w:w="2250"/>
        <w:gridCol w:w="2245"/>
      </w:tblGrid>
      <w:tr w:rsidR="005E35E6" w:rsidRPr="002A10A3" w14:paraId="143FE51A" w14:textId="77777777" w:rsidTr="00E83069">
        <w:trPr>
          <w:tblHeader/>
        </w:trPr>
        <w:tc>
          <w:tcPr>
            <w:tcW w:w="9350" w:type="dxa"/>
            <w:gridSpan w:val="4"/>
          </w:tcPr>
          <w:p w14:paraId="3B8FBC84" w14:textId="77777777" w:rsidR="005E35E6" w:rsidRPr="002A10A3" w:rsidRDefault="003C5415" w:rsidP="00E83069">
            <w:pPr>
              <w:widowControl/>
              <w:jc w:val="center"/>
              <w:rPr>
                <w:b/>
                <w:szCs w:val="24"/>
              </w:rPr>
            </w:pPr>
            <w:r w:rsidRPr="002A10A3">
              <w:rPr>
                <w:b/>
                <w:szCs w:val="24"/>
              </w:rPr>
              <w:lastRenderedPageBreak/>
              <w:t>Greenfield Commonwealth Virtual School</w:t>
            </w:r>
          </w:p>
        </w:tc>
      </w:tr>
      <w:tr w:rsidR="005E35E6" w:rsidRPr="002A10A3" w14:paraId="5A1646AE" w14:textId="77777777" w:rsidTr="00E83069">
        <w:tc>
          <w:tcPr>
            <w:tcW w:w="2337" w:type="dxa"/>
          </w:tcPr>
          <w:p w14:paraId="7244E56B" w14:textId="77777777" w:rsidR="005E35E6" w:rsidRPr="002A10A3" w:rsidRDefault="005E35E6" w:rsidP="00E83069">
            <w:pPr>
              <w:widowControl/>
              <w:spacing w:before="80" w:after="80"/>
              <w:rPr>
                <w:b/>
                <w:szCs w:val="24"/>
              </w:rPr>
            </w:pPr>
            <w:r w:rsidRPr="002A10A3">
              <w:rPr>
                <w:b/>
                <w:szCs w:val="24"/>
              </w:rPr>
              <w:t>Year opened:</w:t>
            </w:r>
          </w:p>
        </w:tc>
        <w:tc>
          <w:tcPr>
            <w:tcW w:w="2518" w:type="dxa"/>
          </w:tcPr>
          <w:p w14:paraId="582224F1" w14:textId="77777777" w:rsidR="005E35E6" w:rsidRPr="002A10A3" w:rsidRDefault="003C5415" w:rsidP="00E83069">
            <w:pPr>
              <w:widowControl/>
              <w:spacing w:before="80" w:after="80"/>
              <w:rPr>
                <w:szCs w:val="24"/>
              </w:rPr>
            </w:pPr>
            <w:r w:rsidRPr="002A10A3">
              <w:rPr>
                <w:szCs w:val="24"/>
              </w:rPr>
              <w:t>July 1, 2013</w:t>
            </w:r>
          </w:p>
        </w:tc>
        <w:tc>
          <w:tcPr>
            <w:tcW w:w="2250" w:type="dxa"/>
          </w:tcPr>
          <w:p w14:paraId="30F0211F" w14:textId="77777777" w:rsidR="005E35E6" w:rsidRPr="002A10A3" w:rsidRDefault="005E35E6" w:rsidP="00E83069">
            <w:pPr>
              <w:widowControl/>
              <w:spacing w:before="80" w:after="80"/>
              <w:rPr>
                <w:b/>
                <w:szCs w:val="24"/>
              </w:rPr>
            </w:pPr>
            <w:r w:rsidRPr="002A10A3">
              <w:rPr>
                <w:b/>
                <w:szCs w:val="24"/>
              </w:rPr>
              <w:t>Year(s) renewed:</w:t>
            </w:r>
          </w:p>
        </w:tc>
        <w:tc>
          <w:tcPr>
            <w:tcW w:w="2245" w:type="dxa"/>
          </w:tcPr>
          <w:p w14:paraId="07336780" w14:textId="77777777" w:rsidR="005E35E6" w:rsidRPr="002A10A3" w:rsidRDefault="003C5415" w:rsidP="00E83069">
            <w:pPr>
              <w:widowControl/>
              <w:spacing w:before="80" w:after="80"/>
              <w:rPr>
                <w:szCs w:val="24"/>
              </w:rPr>
            </w:pPr>
            <w:r w:rsidRPr="002A10A3">
              <w:rPr>
                <w:szCs w:val="24"/>
              </w:rPr>
              <w:t>2016 (with probationary conditions)</w:t>
            </w:r>
          </w:p>
        </w:tc>
      </w:tr>
      <w:tr w:rsidR="005E35E6" w:rsidRPr="002A10A3" w14:paraId="0560E660" w14:textId="77777777" w:rsidTr="00E83069">
        <w:tc>
          <w:tcPr>
            <w:tcW w:w="2337" w:type="dxa"/>
          </w:tcPr>
          <w:p w14:paraId="23A26F5C" w14:textId="77777777" w:rsidR="005E35E6" w:rsidRPr="002A10A3" w:rsidRDefault="005E35E6" w:rsidP="00E83069">
            <w:pPr>
              <w:widowControl/>
              <w:spacing w:before="80" w:after="80"/>
              <w:rPr>
                <w:b/>
                <w:szCs w:val="24"/>
              </w:rPr>
            </w:pPr>
            <w:r w:rsidRPr="002A10A3">
              <w:rPr>
                <w:b/>
                <w:szCs w:val="24"/>
              </w:rPr>
              <w:t>Educational management organization:</w:t>
            </w:r>
          </w:p>
        </w:tc>
        <w:tc>
          <w:tcPr>
            <w:tcW w:w="2518" w:type="dxa"/>
          </w:tcPr>
          <w:p w14:paraId="2996D059" w14:textId="4D26A342" w:rsidR="005E35E6" w:rsidRPr="002A10A3" w:rsidRDefault="003C5415" w:rsidP="00130065">
            <w:pPr>
              <w:widowControl/>
              <w:spacing w:before="80" w:after="80"/>
              <w:rPr>
                <w:szCs w:val="24"/>
              </w:rPr>
            </w:pPr>
            <w:r w:rsidRPr="002A10A3">
              <w:rPr>
                <w:szCs w:val="24"/>
              </w:rPr>
              <w:t>None (former contract with K12, Inc.</w:t>
            </w:r>
            <w:r w:rsidR="00130065" w:rsidRPr="002A10A3">
              <w:rPr>
                <w:szCs w:val="24"/>
              </w:rPr>
              <w:t>,</w:t>
            </w:r>
            <w:r w:rsidRPr="002A10A3">
              <w:rPr>
                <w:szCs w:val="24"/>
              </w:rPr>
              <w:t xml:space="preserve"> terminated in October 2017)</w:t>
            </w:r>
          </w:p>
        </w:tc>
        <w:tc>
          <w:tcPr>
            <w:tcW w:w="2250" w:type="dxa"/>
          </w:tcPr>
          <w:p w14:paraId="19C3BB74" w14:textId="77777777" w:rsidR="005E35E6" w:rsidRPr="002A10A3" w:rsidRDefault="005E35E6" w:rsidP="00E83069">
            <w:pPr>
              <w:widowControl/>
              <w:spacing w:before="80" w:after="80"/>
              <w:rPr>
                <w:b/>
                <w:szCs w:val="24"/>
              </w:rPr>
            </w:pPr>
            <w:r w:rsidRPr="002A10A3">
              <w:rPr>
                <w:b/>
                <w:szCs w:val="24"/>
              </w:rPr>
              <w:t>Location of administrative offices:</w:t>
            </w:r>
          </w:p>
        </w:tc>
        <w:tc>
          <w:tcPr>
            <w:tcW w:w="2245" w:type="dxa"/>
          </w:tcPr>
          <w:p w14:paraId="04FB11CF" w14:textId="4608F898" w:rsidR="003C5415" w:rsidRPr="002A10A3" w:rsidRDefault="003C5415" w:rsidP="003C5415">
            <w:pPr>
              <w:rPr>
                <w:rFonts w:cstheme="minorHAnsi"/>
                <w:color w:val="000000"/>
                <w:szCs w:val="24"/>
                <w:shd w:val="clear" w:color="auto" w:fill="FFFFFF"/>
              </w:rPr>
            </w:pPr>
            <w:r w:rsidRPr="002A10A3">
              <w:rPr>
                <w:rFonts w:cstheme="minorHAnsi"/>
                <w:color w:val="000000"/>
                <w:szCs w:val="24"/>
                <w:shd w:val="clear" w:color="auto" w:fill="FFFFFF"/>
              </w:rPr>
              <w:t>238 Main Street</w:t>
            </w:r>
            <w:r w:rsidR="006A4AC1" w:rsidRPr="002A10A3">
              <w:rPr>
                <w:rFonts w:cstheme="minorHAnsi"/>
                <w:color w:val="000000"/>
                <w:szCs w:val="24"/>
                <w:shd w:val="clear" w:color="auto" w:fill="FFFFFF"/>
              </w:rPr>
              <w:t>,</w:t>
            </w:r>
          </w:p>
          <w:p w14:paraId="4C57BD07" w14:textId="18597DAF" w:rsidR="006A4AC1" w:rsidRPr="002A10A3" w:rsidRDefault="003C5415" w:rsidP="003C5415">
            <w:pPr>
              <w:rPr>
                <w:rFonts w:cstheme="minorHAnsi"/>
                <w:color w:val="000000"/>
                <w:szCs w:val="24"/>
                <w:shd w:val="clear" w:color="auto" w:fill="FFFFFF"/>
              </w:rPr>
            </w:pPr>
            <w:r w:rsidRPr="002A10A3">
              <w:rPr>
                <w:rFonts w:cstheme="minorHAnsi"/>
                <w:color w:val="000000"/>
                <w:szCs w:val="24"/>
                <w:shd w:val="clear" w:color="auto" w:fill="FFFFFF"/>
              </w:rPr>
              <w:t>3rd Floor</w:t>
            </w:r>
            <w:r w:rsidR="006A4AC1" w:rsidRPr="002A10A3">
              <w:rPr>
                <w:rFonts w:cstheme="minorHAnsi"/>
                <w:color w:val="000000"/>
                <w:szCs w:val="24"/>
                <w:shd w:val="clear" w:color="auto" w:fill="FFFFFF"/>
              </w:rPr>
              <w:t xml:space="preserve"> </w:t>
            </w:r>
          </w:p>
          <w:p w14:paraId="699E9FAF" w14:textId="77777777" w:rsidR="005E35E6" w:rsidRPr="002A10A3" w:rsidRDefault="003C5415" w:rsidP="0072749F">
            <w:pPr>
              <w:rPr>
                <w:szCs w:val="24"/>
              </w:rPr>
            </w:pPr>
            <w:r w:rsidRPr="002A10A3">
              <w:rPr>
                <w:rFonts w:cstheme="minorHAnsi"/>
                <w:color w:val="000000"/>
                <w:szCs w:val="24"/>
                <w:shd w:val="clear" w:color="auto" w:fill="FFFFFF"/>
              </w:rPr>
              <w:t>Greenfield, MA 01301</w:t>
            </w:r>
          </w:p>
        </w:tc>
      </w:tr>
      <w:tr w:rsidR="005E35E6" w:rsidRPr="002A10A3" w14:paraId="3526CBFE" w14:textId="77777777" w:rsidTr="00E83069">
        <w:tc>
          <w:tcPr>
            <w:tcW w:w="2337" w:type="dxa"/>
            <w:shd w:val="clear" w:color="auto" w:fill="auto"/>
          </w:tcPr>
          <w:p w14:paraId="7172B6A1" w14:textId="77777777" w:rsidR="005E35E6" w:rsidRPr="002A10A3" w:rsidRDefault="005E35E6" w:rsidP="00E83069">
            <w:pPr>
              <w:widowControl/>
              <w:spacing w:before="80" w:after="80"/>
              <w:rPr>
                <w:b/>
                <w:szCs w:val="24"/>
              </w:rPr>
            </w:pPr>
            <w:r w:rsidRPr="002A10A3">
              <w:rPr>
                <w:b/>
                <w:szCs w:val="24"/>
              </w:rPr>
              <w:t>Maximum enrollment</w:t>
            </w:r>
          </w:p>
        </w:tc>
        <w:tc>
          <w:tcPr>
            <w:tcW w:w="2518" w:type="dxa"/>
            <w:shd w:val="clear" w:color="auto" w:fill="auto"/>
          </w:tcPr>
          <w:p w14:paraId="58D542CF" w14:textId="77777777" w:rsidR="005E35E6" w:rsidRPr="002A10A3" w:rsidRDefault="003C5415" w:rsidP="00E83069">
            <w:pPr>
              <w:widowControl/>
              <w:spacing w:before="80" w:after="80"/>
              <w:rPr>
                <w:szCs w:val="24"/>
              </w:rPr>
            </w:pPr>
            <w:r w:rsidRPr="002A10A3">
              <w:rPr>
                <w:szCs w:val="24"/>
              </w:rPr>
              <w:t>750</w:t>
            </w:r>
          </w:p>
        </w:tc>
        <w:tc>
          <w:tcPr>
            <w:tcW w:w="2250" w:type="dxa"/>
          </w:tcPr>
          <w:p w14:paraId="0870F703" w14:textId="77777777" w:rsidR="005E35E6" w:rsidRPr="002A10A3" w:rsidRDefault="005E35E6" w:rsidP="00E83069">
            <w:pPr>
              <w:widowControl/>
              <w:spacing w:before="80" w:after="80"/>
              <w:rPr>
                <w:b/>
                <w:szCs w:val="24"/>
              </w:rPr>
            </w:pPr>
            <w:r w:rsidRPr="002A10A3">
              <w:rPr>
                <w:b/>
                <w:szCs w:val="24"/>
              </w:rPr>
              <w:t>Current enrollment:</w:t>
            </w:r>
          </w:p>
        </w:tc>
        <w:tc>
          <w:tcPr>
            <w:tcW w:w="2245" w:type="dxa"/>
          </w:tcPr>
          <w:p w14:paraId="70C0F292" w14:textId="77777777" w:rsidR="005E35E6" w:rsidRPr="002A10A3" w:rsidRDefault="003C5415" w:rsidP="00E83069">
            <w:pPr>
              <w:widowControl/>
              <w:spacing w:before="80" w:after="80"/>
              <w:rPr>
                <w:szCs w:val="24"/>
              </w:rPr>
            </w:pPr>
            <w:r w:rsidRPr="002A10A3">
              <w:rPr>
                <w:szCs w:val="24"/>
              </w:rPr>
              <w:t>590 as of October 1, 2018</w:t>
            </w:r>
          </w:p>
        </w:tc>
      </w:tr>
      <w:tr w:rsidR="005E35E6" w:rsidRPr="002A10A3" w14:paraId="4C4B19D6" w14:textId="77777777" w:rsidTr="00E83069">
        <w:tc>
          <w:tcPr>
            <w:tcW w:w="2337" w:type="dxa"/>
          </w:tcPr>
          <w:p w14:paraId="2C6C99FA" w14:textId="77777777" w:rsidR="005E35E6" w:rsidRPr="002A10A3" w:rsidRDefault="005E35E6" w:rsidP="00E83069">
            <w:pPr>
              <w:widowControl/>
              <w:spacing w:before="80" w:after="80"/>
              <w:rPr>
                <w:b/>
                <w:szCs w:val="24"/>
              </w:rPr>
            </w:pPr>
            <w:r w:rsidRPr="002A10A3">
              <w:rPr>
                <w:b/>
                <w:szCs w:val="24"/>
              </w:rPr>
              <w:t>Grade span:</w:t>
            </w:r>
          </w:p>
        </w:tc>
        <w:tc>
          <w:tcPr>
            <w:tcW w:w="2518" w:type="dxa"/>
          </w:tcPr>
          <w:p w14:paraId="5D5BE954" w14:textId="77777777" w:rsidR="005E35E6" w:rsidRPr="002A10A3" w:rsidRDefault="003C5415" w:rsidP="00E83069">
            <w:pPr>
              <w:widowControl/>
              <w:spacing w:before="80" w:after="80"/>
              <w:rPr>
                <w:szCs w:val="24"/>
              </w:rPr>
            </w:pPr>
            <w:r w:rsidRPr="002A10A3">
              <w:rPr>
                <w:szCs w:val="24"/>
              </w:rPr>
              <w:t>K-12</w:t>
            </w:r>
          </w:p>
        </w:tc>
        <w:tc>
          <w:tcPr>
            <w:tcW w:w="2250" w:type="dxa"/>
          </w:tcPr>
          <w:p w14:paraId="2A132FBB" w14:textId="77777777" w:rsidR="005E35E6" w:rsidRPr="002A10A3" w:rsidRDefault="005E35E6" w:rsidP="00E83069">
            <w:pPr>
              <w:widowControl/>
              <w:spacing w:before="80" w:after="80"/>
              <w:rPr>
                <w:b/>
                <w:szCs w:val="24"/>
              </w:rPr>
            </w:pPr>
            <w:r w:rsidRPr="002A10A3">
              <w:rPr>
                <w:b/>
                <w:szCs w:val="24"/>
              </w:rPr>
              <w:t>Number of sending districts served:</w:t>
            </w:r>
          </w:p>
        </w:tc>
        <w:tc>
          <w:tcPr>
            <w:tcW w:w="2245" w:type="dxa"/>
          </w:tcPr>
          <w:p w14:paraId="3D1AE835" w14:textId="77777777" w:rsidR="005E35E6" w:rsidRPr="002A10A3" w:rsidRDefault="003C5415" w:rsidP="00E83069">
            <w:pPr>
              <w:widowControl/>
              <w:spacing w:before="80" w:after="80"/>
              <w:rPr>
                <w:szCs w:val="24"/>
              </w:rPr>
            </w:pPr>
            <w:r w:rsidRPr="002A10A3">
              <w:rPr>
                <w:szCs w:val="24"/>
              </w:rPr>
              <w:t>168 as of October 1, 2018</w:t>
            </w:r>
          </w:p>
        </w:tc>
      </w:tr>
      <w:tr w:rsidR="005E35E6" w:rsidRPr="002A10A3" w14:paraId="156C31B3" w14:textId="77777777" w:rsidTr="00E83069">
        <w:tc>
          <w:tcPr>
            <w:tcW w:w="2337" w:type="dxa"/>
          </w:tcPr>
          <w:p w14:paraId="782B05C0" w14:textId="77777777" w:rsidR="005E35E6" w:rsidRPr="002A10A3" w:rsidRDefault="005E35E6" w:rsidP="00E83069">
            <w:pPr>
              <w:widowControl/>
              <w:spacing w:before="80" w:after="80"/>
              <w:rPr>
                <w:b/>
                <w:szCs w:val="24"/>
              </w:rPr>
            </w:pPr>
            <w:r w:rsidRPr="002A10A3">
              <w:rPr>
                <w:b/>
                <w:szCs w:val="24"/>
              </w:rPr>
              <w:t>Number of instructional days per year:</w:t>
            </w:r>
          </w:p>
        </w:tc>
        <w:tc>
          <w:tcPr>
            <w:tcW w:w="2518" w:type="dxa"/>
          </w:tcPr>
          <w:p w14:paraId="25887CE1" w14:textId="77777777" w:rsidR="005E35E6" w:rsidRPr="002A10A3" w:rsidRDefault="003C5415" w:rsidP="00E83069">
            <w:pPr>
              <w:widowControl/>
              <w:spacing w:before="80" w:after="80"/>
              <w:rPr>
                <w:szCs w:val="24"/>
              </w:rPr>
            </w:pPr>
            <w:r w:rsidRPr="002A10A3">
              <w:rPr>
                <w:szCs w:val="24"/>
              </w:rPr>
              <w:t>180</w:t>
            </w:r>
          </w:p>
        </w:tc>
        <w:tc>
          <w:tcPr>
            <w:tcW w:w="2250" w:type="dxa"/>
          </w:tcPr>
          <w:p w14:paraId="002B8D66" w14:textId="77777777" w:rsidR="005E35E6" w:rsidRPr="002A10A3" w:rsidRDefault="005E35E6" w:rsidP="00E83069">
            <w:pPr>
              <w:widowControl/>
              <w:spacing w:before="80" w:after="80"/>
              <w:rPr>
                <w:b/>
                <w:szCs w:val="24"/>
              </w:rPr>
            </w:pPr>
            <w:r w:rsidRPr="002A10A3">
              <w:rPr>
                <w:b/>
                <w:szCs w:val="24"/>
              </w:rPr>
              <w:t>Students waitlisted:</w:t>
            </w:r>
          </w:p>
        </w:tc>
        <w:tc>
          <w:tcPr>
            <w:tcW w:w="2245" w:type="dxa"/>
          </w:tcPr>
          <w:p w14:paraId="21DC2460" w14:textId="77777777" w:rsidR="005E35E6" w:rsidRPr="002A10A3" w:rsidRDefault="003C5415" w:rsidP="00E83069">
            <w:pPr>
              <w:widowControl/>
              <w:spacing w:before="80" w:after="80"/>
              <w:rPr>
                <w:szCs w:val="24"/>
              </w:rPr>
            </w:pPr>
            <w:r w:rsidRPr="002A10A3">
              <w:rPr>
                <w:szCs w:val="24"/>
              </w:rPr>
              <w:t>0 as of October 1, 2018</w:t>
            </w:r>
          </w:p>
        </w:tc>
      </w:tr>
      <w:tr w:rsidR="005E35E6" w:rsidRPr="002A10A3" w14:paraId="0DBE9124" w14:textId="77777777" w:rsidTr="00E83069">
        <w:tc>
          <w:tcPr>
            <w:tcW w:w="9350" w:type="dxa"/>
            <w:gridSpan w:val="4"/>
          </w:tcPr>
          <w:p w14:paraId="72BB5214" w14:textId="77777777" w:rsidR="003C5415" w:rsidRPr="002A10A3" w:rsidRDefault="005E35E6" w:rsidP="003C5415">
            <w:pPr>
              <w:rPr>
                <w:szCs w:val="24"/>
              </w:rPr>
            </w:pPr>
            <w:r w:rsidRPr="002A10A3">
              <w:rPr>
                <w:b/>
                <w:szCs w:val="24"/>
              </w:rPr>
              <w:t>Mission statement:</w:t>
            </w:r>
            <w:r w:rsidRPr="002A10A3">
              <w:rPr>
                <w:szCs w:val="24"/>
              </w:rPr>
              <w:t xml:space="preserve"> </w:t>
            </w:r>
            <w:r w:rsidR="003C5415" w:rsidRPr="002A10A3">
              <w:rPr>
                <w:szCs w:val="24"/>
              </w:rPr>
              <w:t xml:space="preserve">The </w:t>
            </w:r>
            <w:bookmarkStart w:id="5" w:name="_Hlk2944984"/>
            <w:r w:rsidR="003C5415" w:rsidRPr="002A10A3">
              <w:rPr>
                <w:szCs w:val="24"/>
              </w:rPr>
              <w:t>Greenfield Commonwealth Virtual School</w:t>
            </w:r>
            <w:bookmarkEnd w:id="5"/>
            <w:r w:rsidR="003C5415" w:rsidRPr="002A10A3">
              <w:rPr>
                <w:szCs w:val="24"/>
              </w:rPr>
              <w:t xml:space="preserve">, a public school of choice, serves students from across Massachusetts who need a learning community that is accessible and flexible. We give our students and their families choices in what, how, when, and where they learn. </w:t>
            </w:r>
          </w:p>
          <w:p w14:paraId="5A947E4F" w14:textId="77777777" w:rsidR="005E35E6" w:rsidRPr="002A10A3" w:rsidRDefault="003C5415" w:rsidP="003C5415">
            <w:pPr>
              <w:widowControl/>
              <w:spacing w:before="80" w:after="80"/>
              <w:rPr>
                <w:szCs w:val="24"/>
              </w:rPr>
            </w:pPr>
            <w:r w:rsidRPr="002A10A3">
              <w:rPr>
                <w:szCs w:val="24"/>
              </w:rPr>
              <w:t>As a pioneer of online personalized learning, we empower our educators to tailor learning experiences to each student’s strengths, interests, and challenges. We redefine and change how students and teachers engage through innovative technology, while ensuring mastery of competencies embedded in a rigorous curriculum.</w:t>
            </w:r>
          </w:p>
        </w:tc>
      </w:tr>
    </w:tbl>
    <w:p w14:paraId="62D2CFE4" w14:textId="77777777" w:rsidR="00201172" w:rsidRDefault="00201172"/>
    <w:p w14:paraId="6048D6CC" w14:textId="673AD4E2" w:rsidR="00A960D7" w:rsidRPr="00AB42B0" w:rsidRDefault="00A960D7" w:rsidP="00A960D7">
      <w:pPr>
        <w:widowControl/>
        <w:rPr>
          <w:b/>
          <w:szCs w:val="24"/>
          <w:u w:val="single"/>
        </w:rPr>
      </w:pPr>
      <w:r>
        <w:rPr>
          <w:b/>
          <w:szCs w:val="24"/>
          <w:u w:val="single"/>
        </w:rPr>
        <w:t>School History</w:t>
      </w:r>
    </w:p>
    <w:p w14:paraId="29C5EAA0" w14:textId="77777777" w:rsidR="00A960D7" w:rsidRDefault="00A960D7" w:rsidP="00A960D7">
      <w:pPr>
        <w:widowControl/>
        <w:autoSpaceDE w:val="0"/>
        <w:autoSpaceDN w:val="0"/>
        <w:adjustRightInd w:val="0"/>
        <w:rPr>
          <w:szCs w:val="24"/>
        </w:rPr>
      </w:pPr>
    </w:p>
    <w:p w14:paraId="0EC798E3" w14:textId="1992828A" w:rsidR="00A960D7" w:rsidRPr="002F7DF1" w:rsidRDefault="00A960D7" w:rsidP="00A960D7">
      <w:pPr>
        <w:widowControl/>
        <w:autoSpaceDE w:val="0"/>
        <w:autoSpaceDN w:val="0"/>
        <w:adjustRightInd w:val="0"/>
        <w:rPr>
          <w:szCs w:val="24"/>
        </w:rPr>
      </w:pPr>
      <w:r w:rsidRPr="002F7DF1">
        <w:rPr>
          <w:szCs w:val="24"/>
        </w:rPr>
        <w:t>The Massachusetts Virtual Academy of Greenfield (MAVA) opened in 2010 under the innovation school law</w:t>
      </w:r>
      <w:r w:rsidR="007554BB">
        <w:rPr>
          <w:szCs w:val="24"/>
        </w:rPr>
        <w:t xml:space="preserve">. </w:t>
      </w:r>
      <w:r w:rsidR="007554BB" w:rsidRPr="002A10A3">
        <w:rPr>
          <w:szCs w:val="24"/>
        </w:rPr>
        <w:t>See</w:t>
      </w:r>
      <w:r w:rsidRPr="002F7DF1">
        <w:rPr>
          <w:szCs w:val="24"/>
        </w:rPr>
        <w:t xml:space="preserve"> G.L. c. 71, § 92</w:t>
      </w:r>
      <w:r w:rsidR="007554BB">
        <w:rPr>
          <w:szCs w:val="24"/>
        </w:rPr>
        <w:t xml:space="preserve"> (innovation schools)</w:t>
      </w:r>
      <w:r w:rsidRPr="002F7DF1">
        <w:rPr>
          <w:szCs w:val="24"/>
        </w:rPr>
        <w:t xml:space="preserve">. On January 2, 2013, Governor Patrick signed into law Chapter 379 of the Acts of 2012, “An Act Establishing Commonwealth Virtual Schools” (Act), most of which is codified as G.L. c. 71, § 94. By statute, MAVA ceased to exist </w:t>
      </w:r>
      <w:r>
        <w:rPr>
          <w:szCs w:val="24"/>
        </w:rPr>
        <w:t>as of</w:t>
      </w:r>
      <w:r w:rsidRPr="002F7DF1">
        <w:rPr>
          <w:szCs w:val="24"/>
        </w:rPr>
        <w:t xml:space="preserve"> July 1, 2013. Section 6 of the Act required the Board to grant a certificate </w:t>
      </w:r>
      <w:r w:rsidR="00BD7550">
        <w:rPr>
          <w:szCs w:val="24"/>
        </w:rPr>
        <w:t>for GCVS</w:t>
      </w:r>
      <w:r w:rsidR="00BD7550" w:rsidRPr="002F7DF1">
        <w:rPr>
          <w:szCs w:val="24"/>
        </w:rPr>
        <w:t xml:space="preserve"> </w:t>
      </w:r>
      <w:r w:rsidRPr="002F7DF1">
        <w:rPr>
          <w:szCs w:val="24"/>
        </w:rPr>
        <w:t>to operate a CMVS upon submission of a timely application that addressed the information specified in G.L. c. 71, § 94.</w:t>
      </w:r>
    </w:p>
    <w:p w14:paraId="1A40FFAE" w14:textId="77777777" w:rsidR="00A960D7" w:rsidRPr="002F7DF1" w:rsidRDefault="00A960D7" w:rsidP="00A960D7">
      <w:pPr>
        <w:widowControl/>
        <w:autoSpaceDE w:val="0"/>
        <w:autoSpaceDN w:val="0"/>
        <w:adjustRightInd w:val="0"/>
        <w:rPr>
          <w:szCs w:val="24"/>
        </w:rPr>
      </w:pPr>
    </w:p>
    <w:p w14:paraId="4A9D6710" w14:textId="739774C8" w:rsidR="00A960D7" w:rsidRPr="002F7DF1" w:rsidRDefault="00A960D7" w:rsidP="002538B7">
      <w:pPr>
        <w:rPr>
          <w:szCs w:val="24"/>
        </w:rPr>
      </w:pPr>
      <w:r w:rsidRPr="00A960D7">
        <w:rPr>
          <w:szCs w:val="24"/>
        </w:rPr>
        <w:t>The Department received an application from Greenfield on April 22, 2013</w:t>
      </w:r>
      <w:r w:rsidR="00037A1E">
        <w:rPr>
          <w:szCs w:val="24"/>
        </w:rPr>
        <w:t>,</w:t>
      </w:r>
      <w:r w:rsidRPr="00A960D7">
        <w:rPr>
          <w:szCs w:val="24"/>
        </w:rPr>
        <w:t xml:space="preserve"> to establish a new CMVS beginning in the 2013-</w:t>
      </w:r>
      <w:r w:rsidR="002A10A3">
        <w:rPr>
          <w:szCs w:val="24"/>
        </w:rPr>
        <w:t>20</w:t>
      </w:r>
      <w:r w:rsidRPr="00A960D7">
        <w:rPr>
          <w:szCs w:val="24"/>
        </w:rPr>
        <w:t>14 school year. On</w:t>
      </w:r>
      <w:r w:rsidRPr="002F7DF1">
        <w:rPr>
          <w:szCs w:val="24"/>
        </w:rPr>
        <w:t xml:space="preserve"> June 25, 2013, the Board granted a three-year certificate to </w:t>
      </w:r>
      <w:r>
        <w:rPr>
          <w:szCs w:val="24"/>
        </w:rPr>
        <w:t>the</w:t>
      </w:r>
      <w:r w:rsidRPr="002F7DF1">
        <w:rPr>
          <w:szCs w:val="24"/>
        </w:rPr>
        <w:t xml:space="preserve"> board of trustees </w:t>
      </w:r>
      <w:r>
        <w:rPr>
          <w:szCs w:val="24"/>
        </w:rPr>
        <w:t xml:space="preserve">of GCVS, effective July 1, 2013. The board of trustees </w:t>
      </w:r>
      <w:r w:rsidRPr="002F7DF1">
        <w:rPr>
          <w:szCs w:val="24"/>
        </w:rPr>
        <w:t>assume</w:t>
      </w:r>
      <w:r>
        <w:rPr>
          <w:szCs w:val="24"/>
        </w:rPr>
        <w:t>d</w:t>
      </w:r>
      <w:r w:rsidRPr="002F7DF1">
        <w:rPr>
          <w:szCs w:val="24"/>
        </w:rPr>
        <w:t xml:space="preserve"> governance </w:t>
      </w:r>
      <w:r>
        <w:rPr>
          <w:szCs w:val="24"/>
        </w:rPr>
        <w:t>of the virtual school, now known as GCVS, a CMVS</w:t>
      </w:r>
      <w:r w:rsidRPr="002F7DF1">
        <w:rPr>
          <w:szCs w:val="24"/>
        </w:rPr>
        <w:t>. During the transition, the Greenfield Public Schools provided services to the school through April 1, 2014</w:t>
      </w:r>
      <w:r>
        <w:rPr>
          <w:szCs w:val="24"/>
        </w:rPr>
        <w:t>,</w:t>
      </w:r>
      <w:r w:rsidRPr="002F7DF1" w:rsidDel="00801967">
        <w:rPr>
          <w:szCs w:val="24"/>
        </w:rPr>
        <w:t xml:space="preserve"> </w:t>
      </w:r>
      <w:r w:rsidRPr="002F7DF1">
        <w:rPr>
          <w:szCs w:val="24"/>
        </w:rPr>
        <w:t xml:space="preserve">under a memorandum of </w:t>
      </w:r>
      <w:r w:rsidRPr="00A960D7">
        <w:rPr>
          <w:szCs w:val="24"/>
        </w:rPr>
        <w:t>understanding. To assist GCVS in meeting th</w:t>
      </w:r>
      <w:r w:rsidR="00037A1E">
        <w:rPr>
          <w:szCs w:val="24"/>
        </w:rPr>
        <w:t>e</w:t>
      </w:r>
      <w:r w:rsidRPr="00A960D7">
        <w:rPr>
          <w:szCs w:val="24"/>
        </w:rPr>
        <w:t xml:space="preserve"> high standards</w:t>
      </w:r>
      <w:r w:rsidR="00037A1E">
        <w:rPr>
          <w:szCs w:val="24"/>
        </w:rPr>
        <w:t xml:space="preserve"> expected of a CMVS</w:t>
      </w:r>
      <w:r w:rsidRPr="00A960D7">
        <w:rPr>
          <w:szCs w:val="24"/>
        </w:rPr>
        <w:t xml:space="preserve">, the Commissioner recommended, and the Board approved, several conditions be placed </w:t>
      </w:r>
      <w:r w:rsidRPr="00A960D7">
        <w:rPr>
          <w:szCs w:val="24"/>
        </w:rPr>
        <w:lastRenderedPageBreak/>
        <w:t>on its operating certificate, with each of these items subject to the review and approval of the Department.</w:t>
      </w:r>
      <w:r w:rsidRPr="00A960D7">
        <w:rPr>
          <w:rStyle w:val="FootnoteReference"/>
          <w:szCs w:val="24"/>
          <w:vertAlign w:val="superscript"/>
        </w:rPr>
        <w:footnoteReference w:id="3"/>
      </w:r>
    </w:p>
    <w:p w14:paraId="53D3D80F" w14:textId="77777777" w:rsidR="00381F3C" w:rsidRDefault="00381F3C" w:rsidP="00A960D7">
      <w:pPr>
        <w:widowControl/>
        <w:rPr>
          <w:szCs w:val="24"/>
        </w:rPr>
      </w:pPr>
    </w:p>
    <w:p w14:paraId="065FF579" w14:textId="3D7271B8" w:rsidR="00A960D7" w:rsidRDefault="002538B7" w:rsidP="00A960D7">
      <w:pPr>
        <w:widowControl/>
        <w:rPr>
          <w:szCs w:val="24"/>
        </w:rPr>
      </w:pPr>
      <w:r w:rsidRPr="002538B7">
        <w:rPr>
          <w:szCs w:val="24"/>
        </w:rPr>
        <w:t xml:space="preserve">During the school’s first certificate term, in June 2014 and March 2015, the Department conducted </w:t>
      </w:r>
      <w:r w:rsidR="00A960D7" w:rsidRPr="002538B7">
        <w:rPr>
          <w:szCs w:val="24"/>
        </w:rPr>
        <w:t>accountability review</w:t>
      </w:r>
      <w:r w:rsidRPr="002538B7">
        <w:rPr>
          <w:szCs w:val="24"/>
        </w:rPr>
        <w:t>s</w:t>
      </w:r>
      <w:r w:rsidR="00A960D7" w:rsidRPr="002538B7">
        <w:rPr>
          <w:szCs w:val="24"/>
        </w:rPr>
        <w:t xml:space="preserve"> of GCVS in acc</w:t>
      </w:r>
      <w:r w:rsidRPr="002538B7">
        <w:rPr>
          <w:szCs w:val="24"/>
        </w:rPr>
        <w:t xml:space="preserve">ordance with 603 CMR 52.08(2). </w:t>
      </w:r>
      <w:r w:rsidR="00037A1E">
        <w:rPr>
          <w:szCs w:val="24"/>
        </w:rPr>
        <w:t>During the review in June 2014, the Department</w:t>
      </w:r>
      <w:r w:rsidR="00A960D7" w:rsidRPr="002538B7">
        <w:rPr>
          <w:szCs w:val="24"/>
        </w:rPr>
        <w:t xml:space="preserve"> </w:t>
      </w:r>
      <w:r w:rsidRPr="002538B7">
        <w:rPr>
          <w:szCs w:val="24"/>
        </w:rPr>
        <w:t xml:space="preserve">noted </w:t>
      </w:r>
      <w:r w:rsidR="00037A1E">
        <w:rPr>
          <w:szCs w:val="24"/>
        </w:rPr>
        <w:t xml:space="preserve">concerns </w:t>
      </w:r>
      <w:r>
        <w:rPr>
          <w:szCs w:val="24"/>
        </w:rPr>
        <w:t>regarding governance, the academic program, and academic results</w:t>
      </w:r>
      <w:r w:rsidR="00AD14AA">
        <w:rPr>
          <w:szCs w:val="24"/>
        </w:rPr>
        <w:t>. P</w:t>
      </w:r>
      <w:r w:rsidR="00A960D7" w:rsidRPr="002538B7">
        <w:rPr>
          <w:szCs w:val="24"/>
        </w:rPr>
        <w:t>ursuant to 603 CMR 52.12(2)</w:t>
      </w:r>
      <w:r w:rsidRPr="002538B7">
        <w:rPr>
          <w:szCs w:val="24"/>
        </w:rPr>
        <w:t xml:space="preserve">, the Commissioner recommended, and the Board </w:t>
      </w:r>
      <w:r w:rsidR="00B62C75">
        <w:rPr>
          <w:szCs w:val="24"/>
        </w:rPr>
        <w:t>voted</w:t>
      </w:r>
      <w:r w:rsidR="0069633B">
        <w:rPr>
          <w:szCs w:val="24"/>
        </w:rPr>
        <w:t xml:space="preserve"> in October 2014</w:t>
      </w:r>
      <w:r w:rsidRPr="002538B7">
        <w:rPr>
          <w:szCs w:val="24"/>
        </w:rPr>
        <w:t xml:space="preserve">, to place GCVS on probation </w:t>
      </w:r>
      <w:r w:rsidR="00AD14AA">
        <w:rPr>
          <w:szCs w:val="24"/>
        </w:rPr>
        <w:t xml:space="preserve">with conditions </w:t>
      </w:r>
      <w:r w:rsidRPr="002538B7">
        <w:rPr>
          <w:szCs w:val="24"/>
        </w:rPr>
        <w:t>for the remainder of the school's certificate term.</w:t>
      </w:r>
      <w:r w:rsidR="00A960D7" w:rsidRPr="002538B7">
        <w:rPr>
          <w:szCs w:val="24"/>
        </w:rPr>
        <w:t xml:space="preserve"> </w:t>
      </w:r>
    </w:p>
    <w:p w14:paraId="5A053A95" w14:textId="102CF167" w:rsidR="002538B7" w:rsidRPr="002538B7" w:rsidRDefault="002538B7" w:rsidP="002538B7"/>
    <w:p w14:paraId="5E420864" w14:textId="24A364C9" w:rsidR="002538B7" w:rsidRDefault="00B62C75" w:rsidP="002538B7">
      <w:r>
        <w:t>In February 2016,</w:t>
      </w:r>
      <w:r w:rsidR="002538B7" w:rsidRPr="002538B7">
        <w:t xml:space="preserve"> the Board renewed the school’s certificate for a three-year period from July 1, 2016</w:t>
      </w:r>
      <w:r w:rsidR="001B1678">
        <w:t>,</w:t>
      </w:r>
      <w:r w:rsidR="002538B7" w:rsidRPr="002538B7">
        <w:t xml:space="preserve"> through June 30, 2019</w:t>
      </w:r>
      <w:r w:rsidR="001B1678">
        <w:t>,</w:t>
      </w:r>
      <w:r w:rsidR="002538B7" w:rsidRPr="002538B7">
        <w:t xml:space="preserve"> with a maximum enrollment of 750 students in grades K through 12. Further, pursuant to 603 CMR 52.12(2), the Board extended the school’s probation</w:t>
      </w:r>
      <w:r w:rsidR="00BD7550">
        <w:t xml:space="preserve"> </w:t>
      </w:r>
      <w:r w:rsidR="002538B7" w:rsidRPr="002538B7">
        <w:t xml:space="preserve">and directed it to meet specified terms of probation, as recommended by the Commissioner. The probationary conditions </w:t>
      </w:r>
      <w:r>
        <w:t>related to governance, enrollment, MCAS participation rates</w:t>
      </w:r>
      <w:r w:rsidR="00CD116D">
        <w:t>,</w:t>
      </w:r>
      <w:r>
        <w:t xml:space="preserve"> and </w:t>
      </w:r>
      <w:r w:rsidR="001B1678">
        <w:t xml:space="preserve">required the school </w:t>
      </w:r>
      <w:r>
        <w:t xml:space="preserve">to demonstrate </w:t>
      </w:r>
      <w:r w:rsidR="002538B7" w:rsidRPr="002538B7">
        <w:t xml:space="preserve">significant and sustained academic improvement by 2017. </w:t>
      </w:r>
    </w:p>
    <w:p w14:paraId="38C7211F" w14:textId="65C3EEE4" w:rsidR="00804319" w:rsidRPr="00804319" w:rsidRDefault="00804319" w:rsidP="00804319"/>
    <w:p w14:paraId="4568074D" w14:textId="389C6B71" w:rsidR="00804319" w:rsidRPr="0069633B" w:rsidRDefault="00804319" w:rsidP="0069633B">
      <w:pPr>
        <w:rPr>
          <w:rFonts w:eastAsiaTheme="minorEastAsia"/>
        </w:rPr>
      </w:pPr>
      <w:r w:rsidRPr="0069633B">
        <w:rPr>
          <w:rFonts w:eastAsiaTheme="minorEastAsia"/>
        </w:rPr>
        <w:t xml:space="preserve">The school applied for amendments to its certificate on June 30, 2017. The Board approved these amendments on October 19, 2017, granting the termination of </w:t>
      </w:r>
      <w:r w:rsidR="00BD7550">
        <w:rPr>
          <w:rFonts w:eastAsiaTheme="minorEastAsia"/>
        </w:rPr>
        <w:t>GCVS’s</w:t>
      </w:r>
      <w:r w:rsidR="001B1678">
        <w:rPr>
          <w:rFonts w:eastAsiaTheme="minorEastAsia"/>
        </w:rPr>
        <w:t xml:space="preserve"> management contract with </w:t>
      </w:r>
      <w:r w:rsidRPr="0069633B">
        <w:rPr>
          <w:rFonts w:eastAsiaTheme="minorEastAsia"/>
        </w:rPr>
        <w:t>K12</w:t>
      </w:r>
      <w:r w:rsidR="001B1678">
        <w:rPr>
          <w:rFonts w:eastAsiaTheme="minorEastAsia"/>
        </w:rPr>
        <w:t>,</w:t>
      </w:r>
      <w:r w:rsidRPr="0069633B">
        <w:rPr>
          <w:rFonts w:eastAsiaTheme="minorEastAsia"/>
        </w:rPr>
        <w:t xml:space="preserve"> Inc. The amendments allowed the school to adopt the Canvas learning management system by Instructure, Inc.; to adopt new curricula, including </w:t>
      </w:r>
      <w:proofErr w:type="spellStart"/>
      <w:r w:rsidRPr="0069633B">
        <w:rPr>
          <w:rFonts w:eastAsiaTheme="minorEastAsia"/>
        </w:rPr>
        <w:t>EngageNY</w:t>
      </w:r>
      <w:proofErr w:type="spellEnd"/>
      <w:r w:rsidRPr="0069633B">
        <w:rPr>
          <w:rFonts w:eastAsiaTheme="minorEastAsia"/>
        </w:rPr>
        <w:t xml:space="preserve"> </w:t>
      </w:r>
      <w:r w:rsidR="000C1A8E">
        <w:rPr>
          <w:rFonts w:eastAsiaTheme="minorEastAsia"/>
        </w:rPr>
        <w:t xml:space="preserve">for </w:t>
      </w:r>
      <w:r w:rsidRPr="0069633B">
        <w:rPr>
          <w:rFonts w:eastAsiaTheme="minorEastAsia"/>
        </w:rPr>
        <w:t>K-5, English language arts [ELA] and math</w:t>
      </w:r>
      <w:r w:rsidR="000C1A8E">
        <w:rPr>
          <w:rFonts w:eastAsiaTheme="minorEastAsia"/>
        </w:rPr>
        <w:t>ematics</w:t>
      </w:r>
      <w:r w:rsidRPr="0069633B">
        <w:rPr>
          <w:rFonts w:eastAsiaTheme="minorEastAsia"/>
        </w:rPr>
        <w:t xml:space="preserve"> and Florida Virtual Schools Global (FLVS) </w:t>
      </w:r>
      <w:r w:rsidR="000C1A8E">
        <w:rPr>
          <w:rFonts w:eastAsiaTheme="minorEastAsia"/>
        </w:rPr>
        <w:t>for</w:t>
      </w:r>
      <w:r w:rsidR="004A26B5">
        <w:rPr>
          <w:rFonts w:eastAsiaTheme="minorEastAsia"/>
        </w:rPr>
        <w:t xml:space="preserve"> </w:t>
      </w:r>
      <w:r w:rsidRPr="0069633B">
        <w:rPr>
          <w:rFonts w:eastAsiaTheme="minorEastAsia"/>
        </w:rPr>
        <w:t>grades 6-12, all subjects; and to hire 10 additional staff members.</w:t>
      </w:r>
      <w:r w:rsidR="0069633B" w:rsidRPr="0069633B">
        <w:t xml:space="preserve"> In January 2018, the Commissioner approved amendments </w:t>
      </w:r>
      <w:r w:rsidR="0096219D">
        <w:t>requested</w:t>
      </w:r>
      <w:r w:rsidR="0096219D" w:rsidRPr="0069633B">
        <w:t xml:space="preserve"> </w:t>
      </w:r>
      <w:r w:rsidR="0069633B" w:rsidRPr="0069633B">
        <w:t xml:space="preserve">by GCVS </w:t>
      </w:r>
      <w:r w:rsidR="004A26B5">
        <w:t>for</w:t>
      </w:r>
      <w:r w:rsidR="0069633B" w:rsidRPr="0069633B">
        <w:t xml:space="preserve"> its mission statement, the board’s bylaws, and the school’s accountability plan.</w:t>
      </w:r>
    </w:p>
    <w:p w14:paraId="375CDD81" w14:textId="77777777" w:rsidR="004B14D5" w:rsidRDefault="004B14D5" w:rsidP="00804319"/>
    <w:p w14:paraId="2735C6C0" w14:textId="55088A52" w:rsidR="002538B7" w:rsidRPr="002538B7" w:rsidRDefault="00804319" w:rsidP="0069633B">
      <w:pPr>
        <w:rPr>
          <w:szCs w:val="24"/>
        </w:rPr>
      </w:pPr>
      <w:r w:rsidRPr="00804319">
        <w:t>At its meeting</w:t>
      </w:r>
      <w:r w:rsidR="004A26B5">
        <w:t xml:space="preserve"> on </w:t>
      </w:r>
      <w:r w:rsidR="004A26B5" w:rsidRPr="00804319">
        <w:t>March 27, 2018,</w:t>
      </w:r>
      <w:r w:rsidRPr="00804319">
        <w:t xml:space="preserve"> pursuant to 603 CMR 52.12(2)</w:t>
      </w:r>
      <w:r w:rsidR="004A26B5">
        <w:t xml:space="preserve">, </w:t>
      </w:r>
      <w:r w:rsidR="004A26B5" w:rsidRPr="00804319">
        <w:t>the Board extended the school’s probationary status, maintained the prior probationary conditions, and added a new condition related to the provision of services for English learners</w:t>
      </w:r>
      <w:r w:rsidR="004A26B5">
        <w:t xml:space="preserve">. The Acting Commissioner </w:t>
      </w:r>
      <w:r w:rsidR="004A26B5" w:rsidRPr="00804319">
        <w:t xml:space="preserve">recommended </w:t>
      </w:r>
      <w:r w:rsidR="004A26B5">
        <w:t>this action</w:t>
      </w:r>
      <w:r w:rsidR="004A26B5" w:rsidRPr="00804319">
        <w:t xml:space="preserve"> in his </w:t>
      </w:r>
      <w:hyperlink r:id="rId14" w:history="1">
        <w:r w:rsidR="004A26B5" w:rsidRPr="00804319">
          <w:rPr>
            <w:rStyle w:val="Hyperlink"/>
          </w:rPr>
          <w:t>memorandum to the Board dated March 16, 2018</w:t>
        </w:r>
        <w:r w:rsidR="004A26B5">
          <w:rPr>
            <w:rStyle w:val="Hyperlink"/>
          </w:rPr>
          <w:t xml:space="preserve">, </w:t>
        </w:r>
      </w:hyperlink>
      <w:r w:rsidR="004B14D5">
        <w:t>based on evidence collected during accountability reviews</w:t>
      </w:r>
      <w:r w:rsidR="004A26B5">
        <w:t xml:space="preserve"> in February and December 2017.</w:t>
      </w:r>
    </w:p>
    <w:p w14:paraId="2A58E738" w14:textId="77777777" w:rsidR="00A960D7" w:rsidRPr="002F7DF1" w:rsidRDefault="00A960D7" w:rsidP="00A960D7">
      <w:pPr>
        <w:pStyle w:val="NormalWeb"/>
        <w:widowControl/>
      </w:pPr>
    </w:p>
    <w:p w14:paraId="2FAB1507" w14:textId="77777777" w:rsidR="00A960D7" w:rsidRPr="00281CFF" w:rsidRDefault="00A960D7" w:rsidP="00A960D7">
      <w:pPr>
        <w:pStyle w:val="Default"/>
        <w:rPr>
          <w:b/>
          <w:u w:val="single"/>
        </w:rPr>
      </w:pPr>
      <w:r w:rsidRPr="00281CFF">
        <w:rPr>
          <w:b/>
          <w:u w:val="single"/>
        </w:rPr>
        <w:t>Progress Toward Meeting Conditions</w:t>
      </w:r>
    </w:p>
    <w:p w14:paraId="51528489" w14:textId="77777777" w:rsidR="00A960D7" w:rsidRDefault="00A960D7" w:rsidP="00A960D7">
      <w:pPr>
        <w:pStyle w:val="NormalWeb"/>
        <w:widowControl/>
        <w:rPr>
          <w:b/>
        </w:rPr>
      </w:pPr>
    </w:p>
    <w:p w14:paraId="3C28DB5E" w14:textId="7AA9CBC8" w:rsidR="00A960D7" w:rsidRDefault="0069633B" w:rsidP="00A960D7">
      <w:pPr>
        <w:pStyle w:val="NormalWeb"/>
        <w:widowControl/>
      </w:pPr>
      <w:r>
        <w:t xml:space="preserve">As noted above, GCVS has </w:t>
      </w:r>
      <w:r w:rsidR="00523C24">
        <w:t>been on</w:t>
      </w:r>
      <w:r>
        <w:t xml:space="preserve"> probation since October 2014. </w:t>
      </w:r>
      <w:r w:rsidR="00523C24">
        <w:t>In February 2016 and again in March 2018, t</w:t>
      </w:r>
      <w:r>
        <w:t xml:space="preserve">he </w:t>
      </w:r>
      <w:r w:rsidR="006A136A">
        <w:t xml:space="preserve">Board has extended </w:t>
      </w:r>
      <w:r>
        <w:t xml:space="preserve">probationary status and </w:t>
      </w:r>
      <w:r w:rsidR="006A136A">
        <w:t xml:space="preserve">modified </w:t>
      </w:r>
      <w:r w:rsidR="00523C24">
        <w:t xml:space="preserve">the </w:t>
      </w:r>
      <w:r>
        <w:t>conditions</w:t>
      </w:r>
      <w:r w:rsidR="006A136A">
        <w:t xml:space="preserve"> on the school’s certificate</w:t>
      </w:r>
      <w:r>
        <w:t xml:space="preserve">. </w:t>
      </w:r>
      <w:r w:rsidR="00A960D7">
        <w:t xml:space="preserve">The </w:t>
      </w:r>
      <w:r w:rsidR="006A136A">
        <w:t>five</w:t>
      </w:r>
      <w:r w:rsidR="00A960D7">
        <w:t xml:space="preserve"> conditions imposed </w:t>
      </w:r>
      <w:r w:rsidR="00A55307">
        <w:t xml:space="preserve">in March 2018 </w:t>
      </w:r>
      <w:r w:rsidR="00A960D7">
        <w:t xml:space="preserve">and the progress GCVS has made toward meeting those conditions follows. As summarized below, GCVS </w:t>
      </w:r>
      <w:r w:rsidR="00A960D7" w:rsidRPr="00974426">
        <w:t xml:space="preserve">met </w:t>
      </w:r>
      <w:r w:rsidR="00523C24">
        <w:t xml:space="preserve">most of </w:t>
      </w:r>
      <w:r w:rsidR="00A960D7" w:rsidRPr="00974426">
        <w:t xml:space="preserve">these conditions </w:t>
      </w:r>
      <w:r w:rsidR="00523C24">
        <w:t>with one notable exception</w:t>
      </w:r>
      <w:r w:rsidR="00BD7550">
        <w:t>:</w:t>
      </w:r>
      <w:r w:rsidR="00523C24">
        <w:t xml:space="preserve"> </w:t>
      </w:r>
      <w:r w:rsidR="002A10A3" w:rsidRPr="002A10A3">
        <w:t>Greenfield Commonwealth Virtual School</w:t>
      </w:r>
      <w:r w:rsidR="00523C24">
        <w:t xml:space="preserve"> has failed to </w:t>
      </w:r>
      <w:r w:rsidR="00A960D7" w:rsidRPr="00974426">
        <w:t>show significant academic improvement in mathematics and English language arts.</w:t>
      </w:r>
    </w:p>
    <w:p w14:paraId="26129448" w14:textId="035C75EA" w:rsidR="005E35E6" w:rsidRDefault="005E35E6" w:rsidP="006A136A">
      <w:pPr>
        <w:pStyle w:val="NormalWeb"/>
        <w:widowControl/>
      </w:pPr>
    </w:p>
    <w:p w14:paraId="2D6CDDB8" w14:textId="77777777" w:rsidR="00017B9E" w:rsidRDefault="00017B9E" w:rsidP="006A136A">
      <w:pPr>
        <w:rPr>
          <w:b/>
        </w:rPr>
      </w:pPr>
    </w:p>
    <w:p w14:paraId="5D29F7E2" w14:textId="304A4CB1" w:rsidR="006A136A" w:rsidRDefault="006A136A" w:rsidP="006A136A">
      <w:r w:rsidRPr="002F7DF1">
        <w:rPr>
          <w:b/>
        </w:rPr>
        <w:lastRenderedPageBreak/>
        <w:t>Condition 1</w:t>
      </w:r>
      <w:r>
        <w:rPr>
          <w:b/>
        </w:rPr>
        <w:t>a</w:t>
      </w:r>
      <w:r w:rsidRPr="002F7DF1">
        <w:rPr>
          <w:b/>
        </w:rPr>
        <w:t>:</w:t>
      </w:r>
      <w:r w:rsidRPr="002F7DF1">
        <w:t xml:space="preserve"> </w:t>
      </w:r>
      <w:r w:rsidRPr="005F12F8">
        <w:t>Reporting Requirements</w:t>
      </w:r>
      <w:r>
        <w:t xml:space="preserve">. </w:t>
      </w:r>
      <w:r w:rsidR="00017B9E" w:rsidRPr="002A10A3">
        <w:rPr>
          <w:szCs w:val="24"/>
        </w:rPr>
        <w:t>Greenfield Commonwealth Virtual School</w:t>
      </w:r>
      <w:r>
        <w:t xml:space="preserve"> must continue to submit to the Department, at </w:t>
      </w:r>
      <w:hyperlink r:id="rId15" w:history="1">
        <w:r w:rsidRPr="00031D44">
          <w:rPr>
            <w:rStyle w:val="Hyperlink"/>
          </w:rPr>
          <w:t>odl@doe.mass.edu</w:t>
        </w:r>
      </w:hyperlink>
      <w:r>
        <w:t>, board meeting agendas and materials prior to each board meeting at the same time that these items are sent to the school’s board members. Further, the school must submit to the Department the minutes of these proceedings as soon as the school’s board approves them. The Department reserves the right to require the submission of additional information, such as quarterly or monthly financial statements, if board materials do not already include this information. The school must provide such additional information within two business days.</w:t>
      </w:r>
    </w:p>
    <w:p w14:paraId="54A9F24F" w14:textId="66CB5A4C" w:rsidR="006A136A" w:rsidRDefault="006A136A" w:rsidP="006A136A"/>
    <w:p w14:paraId="2E594125" w14:textId="234569CF" w:rsidR="006A136A" w:rsidRPr="002F7DF1" w:rsidRDefault="006A136A" w:rsidP="006A136A">
      <w:pPr>
        <w:pStyle w:val="NormalWeb"/>
        <w:widowControl/>
        <w:ind w:firstLine="720"/>
        <w:rPr>
          <w:b/>
        </w:rPr>
      </w:pPr>
      <w:r w:rsidRPr="002F7DF1">
        <w:rPr>
          <w:b/>
        </w:rPr>
        <w:t xml:space="preserve">Status: </w:t>
      </w:r>
      <w:r>
        <w:rPr>
          <w:b/>
        </w:rPr>
        <w:t>Ongoing</w:t>
      </w:r>
    </w:p>
    <w:p w14:paraId="2253FC43" w14:textId="65BD2987" w:rsidR="006A136A" w:rsidRPr="00A23192" w:rsidRDefault="00017B9E" w:rsidP="006A136A">
      <w:pPr>
        <w:ind w:left="720"/>
        <w:rPr>
          <w:b/>
        </w:rPr>
      </w:pPr>
      <w:r w:rsidRPr="002A10A3">
        <w:rPr>
          <w:szCs w:val="24"/>
        </w:rPr>
        <w:t>Greenfield Commonwealth Virtual School</w:t>
      </w:r>
      <w:r w:rsidR="00BC1CAB">
        <w:t xml:space="preserve"> continues to provide board meeting agendas, board </w:t>
      </w:r>
      <w:r w:rsidR="006A136A">
        <w:t>materials</w:t>
      </w:r>
      <w:r w:rsidR="00BC1CAB">
        <w:t xml:space="preserve">, board </w:t>
      </w:r>
      <w:r w:rsidR="006A136A">
        <w:t>meeting minutes</w:t>
      </w:r>
      <w:r w:rsidR="00BC1CAB">
        <w:t>, as well as financial statements</w:t>
      </w:r>
      <w:r w:rsidR="006A136A">
        <w:t xml:space="preserve"> to the Department. </w:t>
      </w:r>
    </w:p>
    <w:p w14:paraId="2E177D6F" w14:textId="77777777" w:rsidR="006A136A" w:rsidRDefault="006A136A" w:rsidP="006A136A">
      <w:pPr>
        <w:ind w:left="2160"/>
      </w:pPr>
    </w:p>
    <w:p w14:paraId="5633C71E" w14:textId="2420290E" w:rsidR="006A136A" w:rsidRDefault="006A136A" w:rsidP="006A136A">
      <w:r w:rsidRPr="006A136A">
        <w:rPr>
          <w:b/>
        </w:rPr>
        <w:t>Condition 1b:</w:t>
      </w:r>
      <w:r w:rsidRPr="002F7DF1">
        <w:t xml:space="preserve"> </w:t>
      </w:r>
      <w:r w:rsidR="00017B9E" w:rsidRPr="002A10A3">
        <w:rPr>
          <w:szCs w:val="24"/>
        </w:rPr>
        <w:t>Greenfield Commonwealth Virtual School</w:t>
      </w:r>
      <w:r>
        <w:t xml:space="preserve"> must continue to submit to the Department weekly student enrollment reports.</w:t>
      </w:r>
    </w:p>
    <w:p w14:paraId="7E8BE0B6" w14:textId="5B46E39E" w:rsidR="00BC1CAB" w:rsidRDefault="00BC1CAB" w:rsidP="006A136A"/>
    <w:p w14:paraId="06AA957F" w14:textId="77777777" w:rsidR="00BC1CAB" w:rsidRPr="002F7DF1" w:rsidRDefault="00BC1CAB" w:rsidP="00BC1CAB">
      <w:pPr>
        <w:pStyle w:val="NormalWeb"/>
        <w:widowControl/>
        <w:ind w:firstLine="720"/>
        <w:rPr>
          <w:b/>
        </w:rPr>
      </w:pPr>
      <w:r w:rsidRPr="002F7DF1">
        <w:rPr>
          <w:b/>
        </w:rPr>
        <w:t xml:space="preserve">Status: </w:t>
      </w:r>
      <w:r>
        <w:rPr>
          <w:b/>
        </w:rPr>
        <w:t>Ongoing</w:t>
      </w:r>
    </w:p>
    <w:p w14:paraId="5935DB30" w14:textId="58F5BD71" w:rsidR="00BC1CAB" w:rsidRPr="00A23192" w:rsidRDefault="00017B9E" w:rsidP="00BC1CAB">
      <w:pPr>
        <w:ind w:left="720"/>
        <w:rPr>
          <w:b/>
        </w:rPr>
      </w:pPr>
      <w:r w:rsidRPr="002A10A3">
        <w:rPr>
          <w:szCs w:val="24"/>
        </w:rPr>
        <w:t>Greenfield Commonwealth Virtual School</w:t>
      </w:r>
      <w:r w:rsidR="0072749F">
        <w:t xml:space="preserve"> has</w:t>
      </w:r>
      <w:r w:rsidR="00BC1CAB">
        <w:t xml:space="preserve"> provided weekly enrollment reports</w:t>
      </w:r>
      <w:r w:rsidR="0072749F">
        <w:t xml:space="preserve"> to the Department. </w:t>
      </w:r>
    </w:p>
    <w:p w14:paraId="1B6AA1CB" w14:textId="77777777" w:rsidR="006A136A" w:rsidRDefault="006A136A" w:rsidP="006A136A">
      <w:pPr>
        <w:pStyle w:val="ListParagraph"/>
      </w:pPr>
    </w:p>
    <w:p w14:paraId="64CD9EB1" w14:textId="2C21F2D3" w:rsidR="006A136A" w:rsidRDefault="006A136A" w:rsidP="006A136A">
      <w:r>
        <w:rPr>
          <w:b/>
        </w:rPr>
        <w:t>Condition 2</w:t>
      </w:r>
      <w:r w:rsidRPr="002F7DF1">
        <w:rPr>
          <w:b/>
        </w:rPr>
        <w:t>:</w:t>
      </w:r>
      <w:r w:rsidRPr="002F7DF1">
        <w:t xml:space="preserve"> </w:t>
      </w:r>
      <w:r w:rsidR="00017B9E" w:rsidRPr="002A10A3">
        <w:rPr>
          <w:szCs w:val="24"/>
        </w:rPr>
        <w:t>Greenfield Commonwealth Virtual School</w:t>
      </w:r>
      <w:r>
        <w:t xml:space="preserve"> must continue to maintain an escrow account in an amount determined by the Department in consultation with the school to pay for any potential closing, legal, and audit expenses associated with closure, should that occur.</w:t>
      </w:r>
    </w:p>
    <w:p w14:paraId="3F4DE41D" w14:textId="77777777" w:rsidR="006A136A" w:rsidRDefault="006A136A" w:rsidP="006A136A">
      <w:pPr>
        <w:pStyle w:val="ListParagraph"/>
        <w:rPr>
          <w:b/>
        </w:rPr>
      </w:pPr>
    </w:p>
    <w:p w14:paraId="12762E56" w14:textId="77777777" w:rsidR="00BC1CAB" w:rsidRPr="002F7DF1" w:rsidRDefault="00BC1CAB" w:rsidP="00BC1CAB">
      <w:pPr>
        <w:pStyle w:val="NormalWeb"/>
        <w:widowControl/>
        <w:ind w:firstLine="720"/>
        <w:rPr>
          <w:b/>
        </w:rPr>
      </w:pPr>
      <w:r w:rsidRPr="002F7DF1">
        <w:rPr>
          <w:b/>
        </w:rPr>
        <w:t xml:space="preserve">Status: </w:t>
      </w:r>
      <w:r>
        <w:rPr>
          <w:b/>
        </w:rPr>
        <w:t>Ongoing</w:t>
      </w:r>
    </w:p>
    <w:p w14:paraId="5ADC60DF" w14:textId="70938BD6" w:rsidR="00BC1CAB" w:rsidRPr="00A23192" w:rsidRDefault="00017B9E" w:rsidP="00BC1CAB">
      <w:pPr>
        <w:ind w:left="720"/>
        <w:rPr>
          <w:b/>
        </w:rPr>
      </w:pPr>
      <w:r w:rsidRPr="002A10A3">
        <w:rPr>
          <w:szCs w:val="24"/>
        </w:rPr>
        <w:t>Greenfield Commonwealth Virtual School</w:t>
      </w:r>
      <w:r w:rsidR="00BC1CAB">
        <w:t xml:space="preserve"> maintains a separate escrow account. The school’s February 2019 financial documents show that $101,432.71 is currently held in escrow. </w:t>
      </w:r>
    </w:p>
    <w:p w14:paraId="2B281D0B" w14:textId="77777777" w:rsidR="00BC1CAB" w:rsidRDefault="00BC1CAB" w:rsidP="006A136A">
      <w:pPr>
        <w:rPr>
          <w:b/>
        </w:rPr>
      </w:pPr>
    </w:p>
    <w:p w14:paraId="2A34F105" w14:textId="30F50C97" w:rsidR="006A136A" w:rsidRDefault="006A136A" w:rsidP="006A136A">
      <w:r>
        <w:rPr>
          <w:b/>
        </w:rPr>
        <w:t xml:space="preserve">Condition 3: </w:t>
      </w:r>
      <w:r w:rsidR="00017B9E" w:rsidRPr="002A10A3">
        <w:rPr>
          <w:szCs w:val="24"/>
        </w:rPr>
        <w:t>Greenfield Commonwealth Virtual School</w:t>
      </w:r>
      <w:r>
        <w:t xml:space="preserve"> must continue to enroll a maximum of 750 students.</w:t>
      </w:r>
    </w:p>
    <w:p w14:paraId="14CB019B" w14:textId="6AE75917" w:rsidR="00BC1CAB" w:rsidRDefault="00BC1CAB" w:rsidP="006A136A"/>
    <w:p w14:paraId="11BB858B" w14:textId="77777777" w:rsidR="00BC1CAB" w:rsidRPr="002F7DF1" w:rsidRDefault="00BC1CAB" w:rsidP="00BC1CAB">
      <w:pPr>
        <w:pStyle w:val="NormalWeb"/>
        <w:widowControl/>
        <w:ind w:firstLine="720"/>
        <w:rPr>
          <w:b/>
        </w:rPr>
      </w:pPr>
      <w:r w:rsidRPr="002F7DF1">
        <w:rPr>
          <w:b/>
        </w:rPr>
        <w:t xml:space="preserve">Status: </w:t>
      </w:r>
      <w:r>
        <w:rPr>
          <w:b/>
        </w:rPr>
        <w:t>Ongoing</w:t>
      </w:r>
    </w:p>
    <w:p w14:paraId="61FEEC60" w14:textId="79A54FE7" w:rsidR="00BC1CAB" w:rsidRPr="00A23192" w:rsidRDefault="00BC1CAB" w:rsidP="00BC1CAB">
      <w:pPr>
        <w:ind w:left="720"/>
        <w:rPr>
          <w:b/>
        </w:rPr>
      </w:pPr>
      <w:r>
        <w:t xml:space="preserve">As of </w:t>
      </w:r>
      <w:r w:rsidR="00CD116D">
        <w:t>March 1, 2019</w:t>
      </w:r>
      <w:r>
        <w:t xml:space="preserve">, GCVS enrolls </w:t>
      </w:r>
      <w:r w:rsidR="00CD116D">
        <w:t>589</w:t>
      </w:r>
      <w:r>
        <w:t xml:space="preserve"> students. </w:t>
      </w:r>
    </w:p>
    <w:p w14:paraId="4C0F2768" w14:textId="77777777" w:rsidR="006A136A" w:rsidRDefault="006A136A" w:rsidP="006A136A">
      <w:pPr>
        <w:pStyle w:val="ListParagraph"/>
        <w:ind w:left="1800"/>
      </w:pPr>
    </w:p>
    <w:p w14:paraId="7C678B68" w14:textId="547E178C" w:rsidR="006A136A" w:rsidRDefault="006A136A" w:rsidP="006A136A">
      <w:r>
        <w:rPr>
          <w:b/>
        </w:rPr>
        <w:t>Condition 4</w:t>
      </w:r>
      <w:r w:rsidRPr="006A136A">
        <w:rPr>
          <w:b/>
        </w:rPr>
        <w:t>:</w:t>
      </w:r>
      <w:r w:rsidRPr="002F7DF1">
        <w:t xml:space="preserve"> </w:t>
      </w:r>
      <w:r>
        <w:t>By December 31, 2018,</w:t>
      </w:r>
      <w:r w:rsidRPr="005F12F8">
        <w:t xml:space="preserve"> </w:t>
      </w:r>
      <w:r>
        <w:t>GCVS must demonstrate significant and sustained academic improvement in mathematics, English language arts, and science. Should the school fail to do so, the Commissioner and the Board of Elementary and Secondary Education will consider nonrenewal o</w:t>
      </w:r>
      <w:r w:rsidR="00BD7550">
        <w:t>r</w:t>
      </w:r>
      <w:r>
        <w:t xml:space="preserve"> revoking the school’s charter at end of the term on June 30, 2019.</w:t>
      </w:r>
    </w:p>
    <w:p w14:paraId="50825443" w14:textId="2697DE6F" w:rsidR="00462BBC" w:rsidRDefault="00462BBC" w:rsidP="006A136A"/>
    <w:p w14:paraId="094E2E42" w14:textId="7713099F" w:rsidR="00462BBC" w:rsidRPr="002F7DF1" w:rsidRDefault="00462BBC" w:rsidP="00462BBC">
      <w:pPr>
        <w:pStyle w:val="NormalWeb"/>
        <w:widowControl/>
        <w:ind w:firstLine="720"/>
        <w:rPr>
          <w:b/>
        </w:rPr>
      </w:pPr>
      <w:r w:rsidRPr="002F7DF1">
        <w:rPr>
          <w:b/>
        </w:rPr>
        <w:t xml:space="preserve">Status: </w:t>
      </w:r>
      <w:r>
        <w:rPr>
          <w:b/>
        </w:rPr>
        <w:t>Not Met</w:t>
      </w:r>
    </w:p>
    <w:p w14:paraId="1751600A" w14:textId="7F713C4F" w:rsidR="00462BBC" w:rsidRDefault="004D08F2" w:rsidP="00462BBC">
      <w:pPr>
        <w:ind w:left="720"/>
      </w:pPr>
      <w:r>
        <w:t>Since its inception, GCVS has not demonstrated academic success.</w:t>
      </w:r>
      <w:r w:rsidR="0031047A">
        <w:t xml:space="preserve"> </w:t>
      </w:r>
      <w:r w:rsidR="00E83069">
        <w:t xml:space="preserve">While GCVS has not met this measure, its academic results </w:t>
      </w:r>
      <w:r w:rsidR="00F530DB">
        <w:t>are</w:t>
      </w:r>
      <w:r w:rsidR="00E83069">
        <w:t xml:space="preserve"> </w:t>
      </w:r>
      <w:r w:rsidR="00F45344">
        <w:t>similar to th</w:t>
      </w:r>
      <w:r w:rsidR="00BD7550">
        <w:t>ose</w:t>
      </w:r>
      <w:r w:rsidR="00F45344">
        <w:t xml:space="preserve"> of the other Commonwealth </w:t>
      </w:r>
      <w:r w:rsidR="00A1178A">
        <w:t xml:space="preserve">of </w:t>
      </w:r>
      <w:r w:rsidR="00A1178A">
        <w:lastRenderedPageBreak/>
        <w:t xml:space="preserve">Massachusetts </w:t>
      </w:r>
      <w:r w:rsidR="00F45344">
        <w:t xml:space="preserve">Virtual School, TEC Connections Academy Virtual School. Please see my reflections </w:t>
      </w:r>
      <w:r w:rsidR="00DE3F5A">
        <w:t xml:space="preserve">below </w:t>
      </w:r>
      <w:r w:rsidR="00DE3F5A" w:rsidRPr="00CD116D">
        <w:t>in</w:t>
      </w:r>
      <w:r w:rsidR="00FF307C" w:rsidRPr="002471DE">
        <w:t xml:space="preserve"> my recommendation</w:t>
      </w:r>
      <w:r w:rsidR="00DE3F5A">
        <w:t xml:space="preserve"> </w:t>
      </w:r>
      <w:r w:rsidR="00F45344">
        <w:t>regarding the academic results of the Commonwealth’s two virtual schools.</w:t>
      </w:r>
    </w:p>
    <w:p w14:paraId="22A9C9D5" w14:textId="77777777" w:rsidR="004D08F2" w:rsidRPr="004D08F2" w:rsidRDefault="004D08F2" w:rsidP="00462BBC">
      <w:pPr>
        <w:ind w:left="720"/>
      </w:pPr>
    </w:p>
    <w:p w14:paraId="4C39233A" w14:textId="5A316A70" w:rsidR="004D08F2" w:rsidRDefault="004D08F2" w:rsidP="004D08F2">
      <w:pPr>
        <w:pStyle w:val="NormalWeb"/>
        <w:widowControl/>
        <w:ind w:left="720"/>
      </w:pPr>
      <w:r w:rsidRPr="00FD5B0D">
        <w:t>In 2014</w:t>
      </w:r>
      <w:r>
        <w:t xml:space="preserve">, GCVS </w:t>
      </w:r>
      <w:r w:rsidR="00DE3F5A">
        <w:t>was in</w:t>
      </w:r>
      <w:r>
        <w:t xml:space="preserve"> the 7</w:t>
      </w:r>
      <w:r w:rsidRPr="004D08F2">
        <w:rPr>
          <w:vertAlign w:val="superscript"/>
        </w:rPr>
        <w:t>th</w:t>
      </w:r>
      <w:r>
        <w:t xml:space="preserve"> </w:t>
      </w:r>
      <w:r w:rsidRPr="00FD5B0D">
        <w:t xml:space="preserve">percentile of all middle/high schools and K-12 schools in the Commonwealth and was classified in Level 3 of the state’s 5-level accountability and assistance system. </w:t>
      </w:r>
      <w:r>
        <w:t xml:space="preserve">In 2015, GCVS </w:t>
      </w:r>
      <w:r w:rsidR="00DE3F5A">
        <w:t>was in</w:t>
      </w:r>
      <w:r>
        <w:t xml:space="preserve"> the 8</w:t>
      </w:r>
      <w:r w:rsidRPr="00FD5B0D">
        <w:rPr>
          <w:vertAlign w:val="superscript"/>
        </w:rPr>
        <w:t>th</w:t>
      </w:r>
      <w:r>
        <w:t xml:space="preserve"> percentile</w:t>
      </w:r>
      <w:r w:rsidR="00DE3F5A">
        <w:t>;</w:t>
      </w:r>
      <w:r>
        <w:t xml:space="preserve"> in 2016, the school was again placed at the 7</w:t>
      </w:r>
      <w:r w:rsidRPr="004D08F2">
        <w:rPr>
          <w:vertAlign w:val="superscript"/>
        </w:rPr>
        <w:t>th</w:t>
      </w:r>
      <w:r>
        <w:t xml:space="preserve"> percentile. In 2017, due to first administration of the Next</w:t>
      </w:r>
      <w:r w:rsidR="00BD7550">
        <w:t>-</w:t>
      </w:r>
      <w:r>
        <w:t xml:space="preserve">Generation MCAS tests, no school </w:t>
      </w:r>
      <w:r w:rsidR="0031047A">
        <w:t>administering</w:t>
      </w:r>
      <w:r w:rsidR="00AC6AC7">
        <w:t xml:space="preserve"> those assessments </w:t>
      </w:r>
      <w:r>
        <w:t xml:space="preserve">received a percentile. </w:t>
      </w:r>
    </w:p>
    <w:p w14:paraId="7F10A47B" w14:textId="186109F1" w:rsidR="004D08F2" w:rsidRDefault="004D08F2" w:rsidP="004D08F2">
      <w:pPr>
        <w:pStyle w:val="NormalWeb"/>
        <w:widowControl/>
        <w:ind w:left="720"/>
      </w:pPr>
    </w:p>
    <w:p w14:paraId="5DC70F95" w14:textId="412972A4" w:rsidR="004D08F2" w:rsidRDefault="004D08F2" w:rsidP="004D08F2">
      <w:pPr>
        <w:pStyle w:val="NormalWeb"/>
        <w:widowControl/>
        <w:ind w:left="720"/>
        <w:rPr>
          <w:rFonts w:cstheme="minorHAnsi"/>
        </w:rPr>
      </w:pPr>
      <w:r>
        <w:t xml:space="preserve">In 2018, significant changes </w:t>
      </w:r>
      <w:r w:rsidR="00BD7550">
        <w:t xml:space="preserve">were </w:t>
      </w:r>
      <w:r>
        <w:t xml:space="preserve">made to the statewide accountability system. </w:t>
      </w:r>
      <w:r w:rsidRPr="00602F7B">
        <w:rPr>
          <w:rFonts w:cstheme="minorHAnsi"/>
        </w:rPr>
        <w:t xml:space="preserve">Beginning in 2018, all Massachusetts districts and schools with sufficient data were classified into one of two accountability categories: districts and schools requiring assistance or intervention </w:t>
      </w:r>
      <w:r w:rsidR="00DE3F5A">
        <w:rPr>
          <w:rFonts w:cstheme="minorHAnsi"/>
        </w:rPr>
        <w:t>or</w:t>
      </w:r>
      <w:r w:rsidR="00DE3F5A" w:rsidRPr="00602F7B">
        <w:rPr>
          <w:rFonts w:cstheme="minorHAnsi"/>
        </w:rPr>
        <w:t xml:space="preserve"> </w:t>
      </w:r>
      <w:r w:rsidRPr="00602F7B">
        <w:rPr>
          <w:rFonts w:cstheme="minorHAnsi"/>
        </w:rPr>
        <w:t>districts and schools without required assistance or intervention.</w:t>
      </w:r>
      <w:r>
        <w:rPr>
          <w:rFonts w:cstheme="minorHAnsi"/>
        </w:rPr>
        <w:t xml:space="preserve"> </w:t>
      </w:r>
      <w:r w:rsidR="00017B9E" w:rsidRPr="002A10A3">
        <w:t>Greenfield Commonwealth Virtual School</w:t>
      </w:r>
      <w:r>
        <w:rPr>
          <w:rFonts w:cstheme="minorHAnsi"/>
        </w:rPr>
        <w:t xml:space="preserve"> did not have sufficient data to calculate growth percentiles for high school grades in 2018</w:t>
      </w:r>
      <w:r w:rsidR="00DE3F5A">
        <w:rPr>
          <w:rFonts w:cstheme="minorHAnsi"/>
        </w:rPr>
        <w:t>;</w:t>
      </w:r>
      <w:r>
        <w:rPr>
          <w:rFonts w:cstheme="minorHAnsi"/>
        </w:rPr>
        <w:t xml:space="preserve"> </w:t>
      </w:r>
      <w:r w:rsidR="00DE3F5A">
        <w:rPr>
          <w:rFonts w:cstheme="minorHAnsi"/>
        </w:rPr>
        <w:t xml:space="preserve">therefore, </w:t>
      </w:r>
      <w:r>
        <w:rPr>
          <w:rFonts w:cstheme="minorHAnsi"/>
        </w:rPr>
        <w:t>the school did not receive an accountability percentile in 2018.</w:t>
      </w:r>
      <w:r w:rsidR="00DE3F5A">
        <w:rPr>
          <w:rFonts w:cstheme="minorHAnsi"/>
        </w:rPr>
        <w:t xml:space="preserve"> </w:t>
      </w:r>
      <w:r w:rsidR="00017B9E" w:rsidRPr="002A10A3">
        <w:t>Greenfield Commonwealth Virtual School</w:t>
      </w:r>
      <w:r>
        <w:rPr>
          <w:rFonts w:cstheme="minorHAnsi"/>
        </w:rPr>
        <w:t xml:space="preserve"> did have sufficient data for an overall classification</w:t>
      </w:r>
      <w:r w:rsidR="00AC6AC7">
        <w:rPr>
          <w:rFonts w:cstheme="minorHAnsi"/>
        </w:rPr>
        <w:t xml:space="preserve"> in 2018 </w:t>
      </w:r>
      <w:r w:rsidR="00DE3F5A">
        <w:rPr>
          <w:rFonts w:cstheme="minorHAnsi"/>
        </w:rPr>
        <w:t>and was classified as “</w:t>
      </w:r>
      <w:r w:rsidR="00AC6AC7">
        <w:rPr>
          <w:rFonts w:cstheme="minorHAnsi"/>
        </w:rPr>
        <w:t>requiring assistance or intervention</w:t>
      </w:r>
      <w:r w:rsidR="00DE3F5A">
        <w:rPr>
          <w:rFonts w:cstheme="minorHAnsi"/>
        </w:rPr>
        <w:t>”</w:t>
      </w:r>
      <w:r w:rsidR="00AC6AC7">
        <w:rPr>
          <w:rFonts w:cstheme="minorHAnsi"/>
        </w:rPr>
        <w:t xml:space="preserve"> due to its low graduation rate and low participation rates. </w:t>
      </w:r>
    </w:p>
    <w:p w14:paraId="5F24A645" w14:textId="7CFDC874" w:rsidR="00AC6AC7" w:rsidRDefault="00AC6AC7" w:rsidP="004D08F2">
      <w:pPr>
        <w:pStyle w:val="NormalWeb"/>
        <w:widowControl/>
        <w:ind w:left="720"/>
        <w:rPr>
          <w:rFonts w:cstheme="minorHAnsi"/>
        </w:rPr>
      </w:pPr>
    </w:p>
    <w:p w14:paraId="2F00106A" w14:textId="0CF015FB" w:rsidR="00AC6AC7" w:rsidRDefault="00AC6AC7" w:rsidP="004D08F2">
      <w:pPr>
        <w:pStyle w:val="NormalWeb"/>
        <w:widowControl/>
        <w:ind w:left="720"/>
        <w:rPr>
          <w:rFonts w:cstheme="minorHAnsi"/>
        </w:rPr>
      </w:pPr>
      <w:r>
        <w:rPr>
          <w:rFonts w:cstheme="minorHAnsi"/>
        </w:rPr>
        <w:t>In terms of performance on the Next</w:t>
      </w:r>
      <w:r w:rsidR="00BD7550">
        <w:rPr>
          <w:rFonts w:cstheme="minorHAnsi"/>
        </w:rPr>
        <w:t>-</w:t>
      </w:r>
      <w:r>
        <w:rPr>
          <w:rFonts w:cstheme="minorHAnsi"/>
        </w:rPr>
        <w:t xml:space="preserve">Generation MCAS in grades 3-8, GCVS scores lag behind statewide averages and show a slight decline from 2017 to 2018. </w:t>
      </w:r>
    </w:p>
    <w:p w14:paraId="596697DA" w14:textId="117FED26" w:rsidR="00AC6AC7" w:rsidRDefault="00AC6AC7" w:rsidP="004D08F2">
      <w:pPr>
        <w:pStyle w:val="NormalWeb"/>
        <w:widowControl/>
        <w:ind w:left="720"/>
        <w:rPr>
          <w:rFonts w:cstheme="minorHAnsi"/>
        </w:rPr>
      </w:pPr>
    </w:p>
    <w:tbl>
      <w:tblPr>
        <w:tblStyle w:val="TableGrid"/>
        <w:tblW w:w="0" w:type="auto"/>
        <w:tblLook w:val="04A0" w:firstRow="1" w:lastRow="0" w:firstColumn="1" w:lastColumn="0" w:noHBand="0" w:noVBand="1"/>
        <w:tblDescription w:val="Next-Generation MCAS Tests&#10;&#10;2017 Percent of Students Meeting or Exceeding Expectations&#10;Grades 3-8 English Language Arts — School: 29&#10;Grades 3-8 English Language Arts — State: 49&#10;Grades 3-8 Mathematics — School: 20&#10;Grades 3-8 Mathematics — State: 48&#10;&#10;2017 Avg. Scaled Score&#10;Grades 3-8 English Language Arts — School: 489&#10;Grades 3-8 English Language Arts — State: 499&#10;Grades 3-8 Mathematics — School: 483&#10;Grades 3-8 Mathematics — State: 499&#10;&#10;&#10;2018 Percent of Students Meeting or Exceeding Expectations&#10;Grades 3-8 English Language Arts — School: 26&#10;Grades 3-8 English Language Arts — State: 51&#10;Grades 3-8 Mathematics — School: 19&#10;Grades 3-8 Mathematics — State: 48&#10;&#10;2018 Avg. Scaled Score&#10;Grades 3-8 English Language Arts — School: 489&#10;Grades 3-8 English Language Arts — State: 500&#10;Grades 3-8 Mathematics — School: 482&#10;Grades 3-8 Mathematics — State: 498&#10;"/>
      </w:tblPr>
      <w:tblGrid>
        <w:gridCol w:w="1791"/>
        <w:gridCol w:w="1153"/>
        <w:gridCol w:w="947"/>
        <w:gridCol w:w="922"/>
        <w:gridCol w:w="757"/>
        <w:gridCol w:w="1154"/>
        <w:gridCol w:w="947"/>
        <w:gridCol w:w="922"/>
        <w:gridCol w:w="757"/>
      </w:tblGrid>
      <w:tr w:rsidR="00AC6AC7" w:rsidRPr="007F7A52" w14:paraId="327D710D" w14:textId="77777777" w:rsidTr="003B0C56">
        <w:trPr>
          <w:tblHeader/>
        </w:trPr>
        <w:tc>
          <w:tcPr>
            <w:tcW w:w="0" w:type="auto"/>
            <w:gridSpan w:val="9"/>
            <w:shd w:val="clear" w:color="auto" w:fill="BFBFBF" w:themeFill="background1" w:themeFillShade="BF"/>
          </w:tcPr>
          <w:p w14:paraId="2A1CEB59" w14:textId="77777777" w:rsidR="00AC6AC7" w:rsidRPr="007F7A52" w:rsidRDefault="00AC6AC7" w:rsidP="00017B9E">
            <w:pPr>
              <w:spacing w:before="80" w:after="80"/>
              <w:rPr>
                <w:rFonts w:cstheme="minorHAnsi"/>
                <w:b/>
              </w:rPr>
            </w:pPr>
            <w:r>
              <w:rPr>
                <w:rFonts w:cstheme="minorHAnsi"/>
                <w:b/>
              </w:rPr>
              <w:t>Next-</w:t>
            </w:r>
            <w:r w:rsidRPr="007F7A52">
              <w:rPr>
                <w:rFonts w:cstheme="minorHAnsi"/>
                <w:b/>
              </w:rPr>
              <w:t>Generation MCAS Tests</w:t>
            </w:r>
          </w:p>
        </w:tc>
      </w:tr>
      <w:tr w:rsidR="00AC6AC7" w:rsidRPr="007F7A52" w14:paraId="105EB349" w14:textId="77777777" w:rsidTr="003B0C56">
        <w:trPr>
          <w:tblHeader/>
        </w:trPr>
        <w:tc>
          <w:tcPr>
            <w:tcW w:w="0" w:type="auto"/>
            <w:vMerge w:val="restart"/>
            <w:shd w:val="clear" w:color="auto" w:fill="D9D9D9" w:themeFill="background1" w:themeFillShade="D9"/>
            <w:vAlign w:val="bottom"/>
          </w:tcPr>
          <w:p w14:paraId="1166D0A6" w14:textId="77777777" w:rsidR="00AC6AC7" w:rsidRPr="007F7A52" w:rsidRDefault="00AC6AC7" w:rsidP="00E83069">
            <w:pPr>
              <w:spacing w:before="80" w:after="80"/>
              <w:rPr>
                <w:rFonts w:cstheme="minorHAnsi"/>
                <w:b/>
              </w:rPr>
            </w:pPr>
            <w:r w:rsidRPr="007F7A52">
              <w:rPr>
                <w:rFonts w:cstheme="minorHAnsi"/>
                <w:b/>
              </w:rPr>
              <w:t>Grade and Subject</w:t>
            </w:r>
          </w:p>
        </w:tc>
        <w:tc>
          <w:tcPr>
            <w:tcW w:w="0" w:type="auto"/>
            <w:gridSpan w:val="4"/>
            <w:shd w:val="clear" w:color="auto" w:fill="D9D9D9" w:themeFill="background1" w:themeFillShade="D9"/>
            <w:vAlign w:val="center"/>
          </w:tcPr>
          <w:p w14:paraId="305F2A60" w14:textId="77777777" w:rsidR="00AC6AC7" w:rsidRPr="007F7A52" w:rsidRDefault="00AC6AC7" w:rsidP="00E83069">
            <w:pPr>
              <w:spacing w:before="80" w:after="80"/>
              <w:jc w:val="center"/>
              <w:rPr>
                <w:rFonts w:cstheme="minorHAnsi"/>
                <w:b/>
              </w:rPr>
            </w:pPr>
            <w:r w:rsidRPr="007F7A52">
              <w:rPr>
                <w:rFonts w:cstheme="minorHAnsi"/>
                <w:b/>
              </w:rPr>
              <w:t>2017</w:t>
            </w:r>
          </w:p>
        </w:tc>
        <w:tc>
          <w:tcPr>
            <w:tcW w:w="0" w:type="auto"/>
            <w:gridSpan w:val="4"/>
            <w:shd w:val="clear" w:color="auto" w:fill="D9D9D9" w:themeFill="background1" w:themeFillShade="D9"/>
            <w:vAlign w:val="center"/>
          </w:tcPr>
          <w:p w14:paraId="4DE975F2" w14:textId="77777777" w:rsidR="00AC6AC7" w:rsidRPr="007F7A52" w:rsidRDefault="00AC6AC7" w:rsidP="00E83069">
            <w:pPr>
              <w:spacing w:before="80" w:after="80"/>
              <w:jc w:val="center"/>
              <w:rPr>
                <w:rFonts w:cstheme="minorHAnsi"/>
                <w:b/>
              </w:rPr>
            </w:pPr>
            <w:r w:rsidRPr="007F7A52">
              <w:rPr>
                <w:rFonts w:cstheme="minorHAnsi"/>
                <w:b/>
              </w:rPr>
              <w:t>2018</w:t>
            </w:r>
          </w:p>
        </w:tc>
      </w:tr>
      <w:tr w:rsidR="00AC6AC7" w:rsidRPr="007F7A52" w14:paraId="28880EF5" w14:textId="77777777" w:rsidTr="003B0C56">
        <w:trPr>
          <w:tblHeader/>
        </w:trPr>
        <w:tc>
          <w:tcPr>
            <w:tcW w:w="0" w:type="auto"/>
            <w:vMerge/>
            <w:shd w:val="clear" w:color="auto" w:fill="D9D9D9" w:themeFill="background1" w:themeFillShade="D9"/>
          </w:tcPr>
          <w:p w14:paraId="1C10C05A" w14:textId="77777777" w:rsidR="00AC6AC7" w:rsidRPr="007F7A52" w:rsidRDefault="00AC6AC7" w:rsidP="00E83069">
            <w:pPr>
              <w:spacing w:before="80" w:after="80"/>
              <w:rPr>
                <w:rFonts w:cstheme="minorHAnsi"/>
                <w:b/>
              </w:rPr>
            </w:pPr>
          </w:p>
        </w:tc>
        <w:tc>
          <w:tcPr>
            <w:tcW w:w="0" w:type="auto"/>
            <w:gridSpan w:val="2"/>
            <w:shd w:val="clear" w:color="auto" w:fill="D9D9D9" w:themeFill="background1" w:themeFillShade="D9"/>
            <w:vAlign w:val="center"/>
          </w:tcPr>
          <w:p w14:paraId="49B00573" w14:textId="77777777" w:rsidR="00AC6AC7" w:rsidRPr="007F7A52" w:rsidRDefault="00AC6AC7" w:rsidP="00E83069">
            <w:pPr>
              <w:spacing w:before="80" w:after="80"/>
              <w:jc w:val="center"/>
              <w:rPr>
                <w:rFonts w:cstheme="minorHAnsi"/>
                <w:b/>
              </w:rPr>
            </w:pPr>
            <w:r>
              <w:rPr>
                <w:rFonts w:cstheme="minorHAnsi"/>
                <w:b/>
              </w:rPr>
              <w:t xml:space="preserve">Percent of Students </w:t>
            </w:r>
            <w:r w:rsidRPr="007F7A52">
              <w:rPr>
                <w:rFonts w:cstheme="minorHAnsi"/>
                <w:b/>
              </w:rPr>
              <w:t>Meeting or Exceeding Expectations</w:t>
            </w:r>
          </w:p>
        </w:tc>
        <w:tc>
          <w:tcPr>
            <w:tcW w:w="0" w:type="auto"/>
            <w:gridSpan w:val="2"/>
            <w:shd w:val="clear" w:color="auto" w:fill="D9D9D9" w:themeFill="background1" w:themeFillShade="D9"/>
            <w:vAlign w:val="center"/>
          </w:tcPr>
          <w:p w14:paraId="00CDF4EF" w14:textId="77777777" w:rsidR="00AC6AC7" w:rsidRPr="007F7A52" w:rsidRDefault="00AC6AC7" w:rsidP="00E83069">
            <w:pPr>
              <w:spacing w:before="80" w:after="80"/>
              <w:jc w:val="center"/>
              <w:rPr>
                <w:rFonts w:cstheme="minorHAnsi"/>
                <w:b/>
              </w:rPr>
            </w:pPr>
            <w:r w:rsidRPr="007F7A52">
              <w:rPr>
                <w:rFonts w:cstheme="minorHAnsi"/>
                <w:b/>
              </w:rPr>
              <w:t>Avg. Scaled Score</w:t>
            </w:r>
          </w:p>
        </w:tc>
        <w:tc>
          <w:tcPr>
            <w:tcW w:w="0" w:type="auto"/>
            <w:gridSpan w:val="2"/>
            <w:shd w:val="clear" w:color="auto" w:fill="D9D9D9" w:themeFill="background1" w:themeFillShade="D9"/>
            <w:vAlign w:val="center"/>
          </w:tcPr>
          <w:p w14:paraId="783A145E" w14:textId="77777777" w:rsidR="00AC6AC7" w:rsidRPr="007F7A52" w:rsidRDefault="00AC6AC7" w:rsidP="00E83069">
            <w:pPr>
              <w:spacing w:before="80" w:after="80"/>
              <w:jc w:val="center"/>
              <w:rPr>
                <w:rFonts w:cstheme="minorHAnsi"/>
                <w:b/>
              </w:rPr>
            </w:pPr>
            <w:r>
              <w:rPr>
                <w:rFonts w:cstheme="minorHAnsi"/>
                <w:b/>
              </w:rPr>
              <w:t xml:space="preserve">Percent of Students </w:t>
            </w:r>
            <w:r w:rsidRPr="007F7A52">
              <w:rPr>
                <w:rFonts w:cstheme="minorHAnsi"/>
                <w:b/>
              </w:rPr>
              <w:t>Meeting or Exceeding Expectations</w:t>
            </w:r>
          </w:p>
        </w:tc>
        <w:tc>
          <w:tcPr>
            <w:tcW w:w="0" w:type="auto"/>
            <w:gridSpan w:val="2"/>
            <w:shd w:val="clear" w:color="auto" w:fill="D9D9D9" w:themeFill="background1" w:themeFillShade="D9"/>
            <w:vAlign w:val="center"/>
          </w:tcPr>
          <w:p w14:paraId="672C460B" w14:textId="77777777" w:rsidR="00AC6AC7" w:rsidRPr="007F7A52" w:rsidRDefault="00AC6AC7" w:rsidP="00E83069">
            <w:pPr>
              <w:spacing w:before="80" w:after="80"/>
              <w:jc w:val="center"/>
              <w:rPr>
                <w:rFonts w:cstheme="minorHAnsi"/>
                <w:b/>
              </w:rPr>
            </w:pPr>
            <w:r w:rsidRPr="007F7A52">
              <w:rPr>
                <w:rFonts w:cstheme="minorHAnsi"/>
                <w:b/>
              </w:rPr>
              <w:t>Avg. Scaled Score</w:t>
            </w:r>
          </w:p>
        </w:tc>
      </w:tr>
      <w:tr w:rsidR="00AC6AC7" w:rsidRPr="007F7A52" w14:paraId="62DDA653" w14:textId="77777777" w:rsidTr="003B0C56">
        <w:trPr>
          <w:tblHeader/>
        </w:trPr>
        <w:tc>
          <w:tcPr>
            <w:tcW w:w="0" w:type="auto"/>
            <w:vMerge/>
            <w:shd w:val="clear" w:color="auto" w:fill="D9D9D9" w:themeFill="background1" w:themeFillShade="D9"/>
          </w:tcPr>
          <w:p w14:paraId="06B28341" w14:textId="77777777" w:rsidR="00AC6AC7" w:rsidRPr="007F7A52" w:rsidRDefault="00AC6AC7" w:rsidP="00E83069">
            <w:pPr>
              <w:spacing w:before="80" w:after="80"/>
              <w:rPr>
                <w:rFonts w:cstheme="minorHAnsi"/>
                <w:b/>
              </w:rPr>
            </w:pPr>
          </w:p>
        </w:tc>
        <w:tc>
          <w:tcPr>
            <w:tcW w:w="0" w:type="auto"/>
            <w:shd w:val="clear" w:color="auto" w:fill="D9D9D9" w:themeFill="background1" w:themeFillShade="D9"/>
            <w:vAlign w:val="center"/>
          </w:tcPr>
          <w:p w14:paraId="09621B93" w14:textId="77777777" w:rsidR="00AC6AC7" w:rsidRPr="007F7A52" w:rsidRDefault="00AC6AC7" w:rsidP="00E83069">
            <w:pPr>
              <w:spacing w:before="80" w:after="80"/>
              <w:jc w:val="center"/>
              <w:rPr>
                <w:rFonts w:cstheme="minorHAnsi"/>
                <w:b/>
              </w:rPr>
            </w:pPr>
            <w:r w:rsidRPr="007F7A52">
              <w:rPr>
                <w:rFonts w:cstheme="minorHAnsi"/>
                <w:b/>
              </w:rPr>
              <w:t>School</w:t>
            </w:r>
          </w:p>
        </w:tc>
        <w:tc>
          <w:tcPr>
            <w:tcW w:w="0" w:type="auto"/>
            <w:shd w:val="clear" w:color="auto" w:fill="D9D9D9" w:themeFill="background1" w:themeFillShade="D9"/>
            <w:vAlign w:val="center"/>
          </w:tcPr>
          <w:p w14:paraId="13C88A68" w14:textId="77777777" w:rsidR="00AC6AC7" w:rsidRPr="007F7A52" w:rsidRDefault="00AC6AC7" w:rsidP="00E83069">
            <w:pPr>
              <w:spacing w:before="80" w:after="80"/>
              <w:jc w:val="center"/>
              <w:rPr>
                <w:rFonts w:cstheme="minorHAnsi"/>
                <w:b/>
              </w:rPr>
            </w:pPr>
            <w:r w:rsidRPr="007F7A52">
              <w:rPr>
                <w:rFonts w:cstheme="minorHAnsi"/>
                <w:b/>
              </w:rPr>
              <w:t>State</w:t>
            </w:r>
          </w:p>
        </w:tc>
        <w:tc>
          <w:tcPr>
            <w:tcW w:w="0" w:type="auto"/>
            <w:shd w:val="clear" w:color="auto" w:fill="D9D9D9" w:themeFill="background1" w:themeFillShade="D9"/>
            <w:vAlign w:val="center"/>
          </w:tcPr>
          <w:p w14:paraId="0F726D82" w14:textId="77777777" w:rsidR="00AC6AC7" w:rsidRPr="007F7A52" w:rsidRDefault="00AC6AC7" w:rsidP="00E83069">
            <w:pPr>
              <w:spacing w:before="80" w:after="80"/>
              <w:jc w:val="center"/>
              <w:rPr>
                <w:rFonts w:cstheme="minorHAnsi"/>
                <w:b/>
              </w:rPr>
            </w:pPr>
            <w:r w:rsidRPr="007F7A52">
              <w:rPr>
                <w:rFonts w:cstheme="minorHAnsi"/>
                <w:b/>
              </w:rPr>
              <w:t>School</w:t>
            </w:r>
          </w:p>
        </w:tc>
        <w:tc>
          <w:tcPr>
            <w:tcW w:w="0" w:type="auto"/>
            <w:shd w:val="clear" w:color="auto" w:fill="D9D9D9" w:themeFill="background1" w:themeFillShade="D9"/>
            <w:vAlign w:val="center"/>
          </w:tcPr>
          <w:p w14:paraId="33DFD0C5" w14:textId="77777777" w:rsidR="00AC6AC7" w:rsidRPr="007F7A52" w:rsidRDefault="00AC6AC7" w:rsidP="00E83069">
            <w:pPr>
              <w:spacing w:before="80" w:after="80"/>
              <w:jc w:val="center"/>
              <w:rPr>
                <w:rFonts w:cstheme="minorHAnsi"/>
                <w:b/>
              </w:rPr>
            </w:pPr>
            <w:r w:rsidRPr="007F7A52">
              <w:rPr>
                <w:rFonts w:cstheme="minorHAnsi"/>
                <w:b/>
              </w:rPr>
              <w:t>State</w:t>
            </w:r>
          </w:p>
        </w:tc>
        <w:tc>
          <w:tcPr>
            <w:tcW w:w="0" w:type="auto"/>
            <w:shd w:val="clear" w:color="auto" w:fill="D9D9D9" w:themeFill="background1" w:themeFillShade="D9"/>
            <w:vAlign w:val="center"/>
          </w:tcPr>
          <w:p w14:paraId="2C58E66A" w14:textId="77777777" w:rsidR="00AC6AC7" w:rsidRPr="007F7A52" w:rsidRDefault="00AC6AC7" w:rsidP="00E83069">
            <w:pPr>
              <w:spacing w:before="80" w:after="80"/>
              <w:jc w:val="center"/>
              <w:rPr>
                <w:rFonts w:cstheme="minorHAnsi"/>
                <w:b/>
              </w:rPr>
            </w:pPr>
            <w:r w:rsidRPr="007F7A52">
              <w:rPr>
                <w:rFonts w:cstheme="minorHAnsi"/>
                <w:b/>
              </w:rPr>
              <w:t>School</w:t>
            </w:r>
          </w:p>
        </w:tc>
        <w:tc>
          <w:tcPr>
            <w:tcW w:w="0" w:type="auto"/>
            <w:shd w:val="clear" w:color="auto" w:fill="D9D9D9" w:themeFill="background1" w:themeFillShade="D9"/>
            <w:vAlign w:val="center"/>
          </w:tcPr>
          <w:p w14:paraId="698C49F8" w14:textId="77777777" w:rsidR="00AC6AC7" w:rsidRPr="007F7A52" w:rsidRDefault="00AC6AC7" w:rsidP="00E83069">
            <w:pPr>
              <w:spacing w:before="80" w:after="80"/>
              <w:jc w:val="center"/>
              <w:rPr>
                <w:rFonts w:cstheme="minorHAnsi"/>
                <w:b/>
              </w:rPr>
            </w:pPr>
            <w:r w:rsidRPr="007F7A52">
              <w:rPr>
                <w:rFonts w:cstheme="minorHAnsi"/>
                <w:b/>
              </w:rPr>
              <w:t>State</w:t>
            </w:r>
          </w:p>
        </w:tc>
        <w:tc>
          <w:tcPr>
            <w:tcW w:w="0" w:type="auto"/>
            <w:shd w:val="clear" w:color="auto" w:fill="D9D9D9" w:themeFill="background1" w:themeFillShade="D9"/>
            <w:vAlign w:val="center"/>
          </w:tcPr>
          <w:p w14:paraId="45FEAAA7" w14:textId="77777777" w:rsidR="00AC6AC7" w:rsidRPr="007F7A52" w:rsidRDefault="00AC6AC7" w:rsidP="00E83069">
            <w:pPr>
              <w:spacing w:before="80" w:after="80"/>
              <w:jc w:val="center"/>
              <w:rPr>
                <w:rFonts w:cstheme="minorHAnsi"/>
                <w:b/>
              </w:rPr>
            </w:pPr>
            <w:r w:rsidRPr="007F7A52">
              <w:rPr>
                <w:rFonts w:cstheme="minorHAnsi"/>
                <w:b/>
              </w:rPr>
              <w:t>School</w:t>
            </w:r>
          </w:p>
        </w:tc>
        <w:tc>
          <w:tcPr>
            <w:tcW w:w="0" w:type="auto"/>
            <w:shd w:val="clear" w:color="auto" w:fill="D9D9D9" w:themeFill="background1" w:themeFillShade="D9"/>
            <w:vAlign w:val="center"/>
          </w:tcPr>
          <w:p w14:paraId="55E5904C" w14:textId="77777777" w:rsidR="00AC6AC7" w:rsidRPr="007F7A52" w:rsidRDefault="00AC6AC7" w:rsidP="00E83069">
            <w:pPr>
              <w:spacing w:before="80" w:after="80"/>
              <w:jc w:val="center"/>
              <w:rPr>
                <w:rFonts w:cstheme="minorHAnsi"/>
                <w:b/>
              </w:rPr>
            </w:pPr>
            <w:r w:rsidRPr="007F7A52">
              <w:rPr>
                <w:rFonts w:cstheme="minorHAnsi"/>
                <w:b/>
              </w:rPr>
              <w:t>State</w:t>
            </w:r>
          </w:p>
        </w:tc>
      </w:tr>
      <w:tr w:rsidR="00AC6AC7" w14:paraId="09B592F8" w14:textId="77777777" w:rsidTr="00E170D1">
        <w:tc>
          <w:tcPr>
            <w:tcW w:w="0" w:type="auto"/>
            <w:shd w:val="clear" w:color="auto" w:fill="D9D9D9" w:themeFill="background1" w:themeFillShade="D9"/>
          </w:tcPr>
          <w:p w14:paraId="6C429B83" w14:textId="77777777" w:rsidR="00AC6AC7" w:rsidRPr="007F7A52" w:rsidRDefault="00AC6AC7" w:rsidP="00E83069">
            <w:pPr>
              <w:spacing w:before="80" w:after="80"/>
              <w:rPr>
                <w:rFonts w:cstheme="minorHAnsi"/>
                <w:b/>
              </w:rPr>
            </w:pPr>
            <w:r>
              <w:rPr>
                <w:rFonts w:cstheme="minorHAnsi"/>
                <w:b/>
              </w:rPr>
              <w:t>Grades 3</w:t>
            </w:r>
            <w:r w:rsidRPr="007F7A52">
              <w:rPr>
                <w:rFonts w:cstheme="minorHAnsi"/>
                <w:b/>
              </w:rPr>
              <w:t>-8 English Language Arts</w:t>
            </w:r>
          </w:p>
        </w:tc>
        <w:tc>
          <w:tcPr>
            <w:tcW w:w="0" w:type="auto"/>
            <w:vAlign w:val="center"/>
          </w:tcPr>
          <w:p w14:paraId="5254D6DE" w14:textId="77777777" w:rsidR="00AC6AC7" w:rsidRDefault="00AC6AC7" w:rsidP="00E83069">
            <w:pPr>
              <w:spacing w:before="80" w:after="80"/>
              <w:jc w:val="center"/>
              <w:rPr>
                <w:rFonts w:cstheme="minorHAnsi"/>
              </w:rPr>
            </w:pPr>
            <w:r>
              <w:rPr>
                <w:rFonts w:cstheme="minorHAnsi"/>
              </w:rPr>
              <w:t>29</w:t>
            </w:r>
          </w:p>
        </w:tc>
        <w:tc>
          <w:tcPr>
            <w:tcW w:w="0" w:type="auto"/>
            <w:vAlign w:val="center"/>
          </w:tcPr>
          <w:p w14:paraId="1BC3DA3E" w14:textId="77777777" w:rsidR="00AC6AC7" w:rsidRDefault="00AC6AC7" w:rsidP="00E83069">
            <w:pPr>
              <w:spacing w:before="80" w:after="80"/>
              <w:jc w:val="center"/>
              <w:rPr>
                <w:rFonts w:cstheme="minorHAnsi"/>
              </w:rPr>
            </w:pPr>
            <w:r>
              <w:rPr>
                <w:rFonts w:cstheme="minorHAnsi"/>
              </w:rPr>
              <w:t>49</w:t>
            </w:r>
          </w:p>
        </w:tc>
        <w:tc>
          <w:tcPr>
            <w:tcW w:w="0" w:type="auto"/>
            <w:vAlign w:val="center"/>
          </w:tcPr>
          <w:p w14:paraId="43983CF6" w14:textId="77777777" w:rsidR="00AC6AC7" w:rsidRDefault="00AC6AC7" w:rsidP="00E83069">
            <w:pPr>
              <w:spacing w:before="80" w:after="80"/>
              <w:jc w:val="center"/>
              <w:rPr>
                <w:rFonts w:cstheme="minorHAnsi"/>
              </w:rPr>
            </w:pPr>
            <w:r>
              <w:rPr>
                <w:rFonts w:cstheme="minorHAnsi"/>
              </w:rPr>
              <w:t>489</w:t>
            </w:r>
          </w:p>
        </w:tc>
        <w:tc>
          <w:tcPr>
            <w:tcW w:w="0" w:type="auto"/>
            <w:vAlign w:val="center"/>
          </w:tcPr>
          <w:p w14:paraId="42678B4C" w14:textId="77777777" w:rsidR="00AC6AC7" w:rsidRDefault="00AC6AC7" w:rsidP="00E83069">
            <w:pPr>
              <w:spacing w:before="80" w:after="80"/>
              <w:jc w:val="center"/>
              <w:rPr>
                <w:rFonts w:cstheme="minorHAnsi"/>
              </w:rPr>
            </w:pPr>
            <w:r>
              <w:rPr>
                <w:rFonts w:cstheme="minorHAnsi"/>
              </w:rPr>
              <w:t>499</w:t>
            </w:r>
          </w:p>
        </w:tc>
        <w:tc>
          <w:tcPr>
            <w:tcW w:w="0" w:type="auto"/>
            <w:vAlign w:val="center"/>
          </w:tcPr>
          <w:p w14:paraId="1957CBF6" w14:textId="77777777" w:rsidR="00AC6AC7" w:rsidRDefault="00AC6AC7" w:rsidP="00E83069">
            <w:pPr>
              <w:spacing w:before="80" w:after="80"/>
              <w:jc w:val="center"/>
              <w:rPr>
                <w:rFonts w:cstheme="minorHAnsi"/>
              </w:rPr>
            </w:pPr>
            <w:r>
              <w:rPr>
                <w:rFonts w:cstheme="minorHAnsi"/>
              </w:rPr>
              <w:t>26</w:t>
            </w:r>
          </w:p>
        </w:tc>
        <w:tc>
          <w:tcPr>
            <w:tcW w:w="0" w:type="auto"/>
            <w:vAlign w:val="center"/>
          </w:tcPr>
          <w:p w14:paraId="58385EAD" w14:textId="77777777" w:rsidR="00AC6AC7" w:rsidRDefault="00AC6AC7" w:rsidP="00E83069">
            <w:pPr>
              <w:spacing w:before="80" w:after="80"/>
              <w:jc w:val="center"/>
              <w:rPr>
                <w:rFonts w:cstheme="minorHAnsi"/>
              </w:rPr>
            </w:pPr>
            <w:r>
              <w:rPr>
                <w:rFonts w:cstheme="minorHAnsi"/>
              </w:rPr>
              <w:t>51</w:t>
            </w:r>
          </w:p>
        </w:tc>
        <w:tc>
          <w:tcPr>
            <w:tcW w:w="0" w:type="auto"/>
            <w:vAlign w:val="center"/>
          </w:tcPr>
          <w:p w14:paraId="0595098A" w14:textId="77777777" w:rsidR="00AC6AC7" w:rsidRDefault="00AC6AC7" w:rsidP="00E83069">
            <w:pPr>
              <w:spacing w:before="80" w:after="80"/>
              <w:jc w:val="center"/>
              <w:rPr>
                <w:rFonts w:cstheme="minorHAnsi"/>
              </w:rPr>
            </w:pPr>
            <w:r>
              <w:rPr>
                <w:rFonts w:cstheme="minorHAnsi"/>
              </w:rPr>
              <w:t>489</w:t>
            </w:r>
          </w:p>
        </w:tc>
        <w:tc>
          <w:tcPr>
            <w:tcW w:w="0" w:type="auto"/>
            <w:vAlign w:val="center"/>
          </w:tcPr>
          <w:p w14:paraId="419B9BD2" w14:textId="77777777" w:rsidR="00AC6AC7" w:rsidRDefault="00AC6AC7" w:rsidP="00E83069">
            <w:pPr>
              <w:spacing w:before="80" w:after="80"/>
              <w:jc w:val="center"/>
              <w:rPr>
                <w:rFonts w:cstheme="minorHAnsi"/>
              </w:rPr>
            </w:pPr>
            <w:r>
              <w:rPr>
                <w:rFonts w:cstheme="minorHAnsi"/>
              </w:rPr>
              <w:t>500</w:t>
            </w:r>
          </w:p>
        </w:tc>
      </w:tr>
      <w:tr w:rsidR="00AC6AC7" w14:paraId="0A778F30" w14:textId="77777777" w:rsidTr="00E170D1">
        <w:tc>
          <w:tcPr>
            <w:tcW w:w="0" w:type="auto"/>
            <w:shd w:val="clear" w:color="auto" w:fill="D9D9D9" w:themeFill="background1" w:themeFillShade="D9"/>
          </w:tcPr>
          <w:p w14:paraId="15D3F91B" w14:textId="77777777" w:rsidR="00AC6AC7" w:rsidRPr="007F7A52" w:rsidRDefault="00AC6AC7" w:rsidP="00E83069">
            <w:pPr>
              <w:spacing w:before="80" w:after="80"/>
              <w:rPr>
                <w:rFonts w:cstheme="minorHAnsi"/>
                <w:b/>
              </w:rPr>
            </w:pPr>
            <w:r w:rsidRPr="007F7A52">
              <w:rPr>
                <w:rFonts w:cstheme="minorHAnsi"/>
                <w:b/>
              </w:rPr>
              <w:t xml:space="preserve">Grades </w:t>
            </w:r>
            <w:r>
              <w:rPr>
                <w:rFonts w:cstheme="minorHAnsi"/>
                <w:b/>
              </w:rPr>
              <w:t>3</w:t>
            </w:r>
            <w:r w:rsidRPr="007F7A52">
              <w:rPr>
                <w:rFonts w:cstheme="minorHAnsi"/>
                <w:b/>
              </w:rPr>
              <w:t>-8 Mathematics</w:t>
            </w:r>
          </w:p>
        </w:tc>
        <w:tc>
          <w:tcPr>
            <w:tcW w:w="0" w:type="auto"/>
            <w:vAlign w:val="center"/>
          </w:tcPr>
          <w:p w14:paraId="00083F74" w14:textId="77777777" w:rsidR="00AC6AC7" w:rsidRDefault="00AC6AC7" w:rsidP="00E83069">
            <w:pPr>
              <w:spacing w:before="80" w:after="80"/>
              <w:jc w:val="center"/>
              <w:rPr>
                <w:rFonts w:cstheme="minorHAnsi"/>
              </w:rPr>
            </w:pPr>
            <w:r>
              <w:rPr>
                <w:rFonts w:cstheme="minorHAnsi"/>
              </w:rPr>
              <w:t>20</w:t>
            </w:r>
          </w:p>
        </w:tc>
        <w:tc>
          <w:tcPr>
            <w:tcW w:w="0" w:type="auto"/>
            <w:vAlign w:val="center"/>
          </w:tcPr>
          <w:p w14:paraId="5776F2EC" w14:textId="77777777" w:rsidR="00AC6AC7" w:rsidRDefault="00AC6AC7" w:rsidP="00E83069">
            <w:pPr>
              <w:spacing w:before="80" w:after="80"/>
              <w:jc w:val="center"/>
              <w:rPr>
                <w:rFonts w:cstheme="minorHAnsi"/>
              </w:rPr>
            </w:pPr>
            <w:r>
              <w:rPr>
                <w:rFonts w:cstheme="minorHAnsi"/>
              </w:rPr>
              <w:t>48</w:t>
            </w:r>
          </w:p>
        </w:tc>
        <w:tc>
          <w:tcPr>
            <w:tcW w:w="0" w:type="auto"/>
            <w:vAlign w:val="center"/>
          </w:tcPr>
          <w:p w14:paraId="095220E7" w14:textId="77777777" w:rsidR="00AC6AC7" w:rsidRDefault="00AC6AC7" w:rsidP="00E83069">
            <w:pPr>
              <w:spacing w:before="80" w:after="80"/>
              <w:jc w:val="center"/>
              <w:rPr>
                <w:rFonts w:cstheme="minorHAnsi"/>
              </w:rPr>
            </w:pPr>
            <w:r>
              <w:rPr>
                <w:rFonts w:cstheme="minorHAnsi"/>
              </w:rPr>
              <w:t>483</w:t>
            </w:r>
          </w:p>
        </w:tc>
        <w:tc>
          <w:tcPr>
            <w:tcW w:w="0" w:type="auto"/>
            <w:vAlign w:val="center"/>
          </w:tcPr>
          <w:p w14:paraId="2EC504E0" w14:textId="77777777" w:rsidR="00AC6AC7" w:rsidRDefault="00AC6AC7" w:rsidP="00E83069">
            <w:pPr>
              <w:spacing w:before="80" w:after="80"/>
              <w:jc w:val="center"/>
              <w:rPr>
                <w:rFonts w:cstheme="minorHAnsi"/>
              </w:rPr>
            </w:pPr>
            <w:r>
              <w:rPr>
                <w:rFonts w:cstheme="minorHAnsi"/>
              </w:rPr>
              <w:t>499</w:t>
            </w:r>
          </w:p>
        </w:tc>
        <w:tc>
          <w:tcPr>
            <w:tcW w:w="0" w:type="auto"/>
            <w:vAlign w:val="center"/>
          </w:tcPr>
          <w:p w14:paraId="5758DFBD" w14:textId="77777777" w:rsidR="00AC6AC7" w:rsidRDefault="00AC6AC7" w:rsidP="00E83069">
            <w:pPr>
              <w:spacing w:before="80" w:after="80"/>
              <w:jc w:val="center"/>
              <w:rPr>
                <w:rFonts w:cstheme="minorHAnsi"/>
              </w:rPr>
            </w:pPr>
            <w:r>
              <w:rPr>
                <w:rFonts w:cstheme="minorHAnsi"/>
              </w:rPr>
              <w:t>19</w:t>
            </w:r>
          </w:p>
        </w:tc>
        <w:tc>
          <w:tcPr>
            <w:tcW w:w="0" w:type="auto"/>
            <w:vAlign w:val="center"/>
          </w:tcPr>
          <w:p w14:paraId="078C31C0" w14:textId="77777777" w:rsidR="00AC6AC7" w:rsidRDefault="00AC6AC7" w:rsidP="00E83069">
            <w:pPr>
              <w:spacing w:before="80" w:after="80"/>
              <w:jc w:val="center"/>
              <w:rPr>
                <w:rFonts w:cstheme="minorHAnsi"/>
              </w:rPr>
            </w:pPr>
            <w:r>
              <w:rPr>
                <w:rFonts w:cstheme="minorHAnsi"/>
              </w:rPr>
              <w:t>48</w:t>
            </w:r>
          </w:p>
        </w:tc>
        <w:tc>
          <w:tcPr>
            <w:tcW w:w="0" w:type="auto"/>
            <w:vAlign w:val="center"/>
          </w:tcPr>
          <w:p w14:paraId="285D4F4B" w14:textId="77777777" w:rsidR="00AC6AC7" w:rsidRDefault="00AC6AC7" w:rsidP="00E83069">
            <w:pPr>
              <w:spacing w:before="80" w:after="80"/>
              <w:jc w:val="center"/>
              <w:rPr>
                <w:rFonts w:cstheme="minorHAnsi"/>
              </w:rPr>
            </w:pPr>
            <w:r>
              <w:rPr>
                <w:rFonts w:cstheme="minorHAnsi"/>
              </w:rPr>
              <w:t>482</w:t>
            </w:r>
          </w:p>
        </w:tc>
        <w:tc>
          <w:tcPr>
            <w:tcW w:w="0" w:type="auto"/>
            <w:vAlign w:val="center"/>
          </w:tcPr>
          <w:p w14:paraId="1EB7C119" w14:textId="77777777" w:rsidR="00AC6AC7" w:rsidRDefault="00AC6AC7" w:rsidP="00E83069">
            <w:pPr>
              <w:spacing w:before="80" w:after="80"/>
              <w:jc w:val="center"/>
              <w:rPr>
                <w:rFonts w:cstheme="minorHAnsi"/>
              </w:rPr>
            </w:pPr>
            <w:r>
              <w:rPr>
                <w:rFonts w:cstheme="minorHAnsi"/>
              </w:rPr>
              <w:t>498</w:t>
            </w:r>
          </w:p>
        </w:tc>
      </w:tr>
    </w:tbl>
    <w:p w14:paraId="73B98DF0" w14:textId="77777777" w:rsidR="00AC6AC7" w:rsidRDefault="00AC6AC7" w:rsidP="004D08F2">
      <w:pPr>
        <w:pStyle w:val="NormalWeb"/>
        <w:widowControl/>
        <w:ind w:left="720"/>
      </w:pPr>
    </w:p>
    <w:p w14:paraId="59F89B90" w14:textId="6E6495A9" w:rsidR="004D08F2" w:rsidRDefault="00AC6AC7" w:rsidP="004D08F2">
      <w:pPr>
        <w:pStyle w:val="NormalWeb"/>
        <w:widowControl/>
        <w:ind w:left="720"/>
      </w:pPr>
      <w:r>
        <w:t>Similarly, GCVS student performance on the legacy MCAS lag</w:t>
      </w:r>
      <w:r w:rsidR="0031047A">
        <w:t>s</w:t>
      </w:r>
      <w:r>
        <w:t xml:space="preserve"> behind statewide averages in nearly every category and grade level.</w:t>
      </w:r>
      <w:r w:rsidR="0031047A">
        <w:t xml:space="preserve"> These scores also show a decline in every subject area, except for English language arts, since 2015.</w:t>
      </w:r>
    </w:p>
    <w:p w14:paraId="2FF21BD3" w14:textId="72DD9B25" w:rsidR="00AC6AC7" w:rsidRDefault="00AC6AC7" w:rsidP="004D08F2">
      <w:pPr>
        <w:pStyle w:val="NormalWeb"/>
        <w:widowControl/>
        <w:ind w:left="720"/>
      </w:pPr>
    </w:p>
    <w:tbl>
      <w:tblPr>
        <w:tblStyle w:val="TableGrid"/>
        <w:tblW w:w="5000" w:type="pct"/>
        <w:tblLook w:val="04A0" w:firstRow="1" w:lastRow="0" w:firstColumn="1" w:lastColumn="0" w:noHBand="0" w:noVBand="1"/>
        <w:tblDescription w:val="Composite Performance Index&#10;&#10;2015&#10;Grade 5 Science and Tech/Eng — School: 72.5&#10;Grade 5 Science and Tech/Eng — State: 78.2&#10;Grade 8 Science and Tech/ Eng — School: 64.4&#10;Grade 8 Science and Tech/ Eng — State: 72.4&#10;Grade 10 English Language Arts — School: 93.2&#10;Grade 10 English Language Arts — State: 96.7&#10;Grade 10 Mathematics — School: 80.7&#10;Grade 10 Mathematics — State: 89.9&#10;Grade 10 Science — School: -&#10;Grade 10 Science — State: 88.2&#10;&#10;2016&#10;Grade 5 Science and Tech/Eng — School: 61.0&#10;Grade 5 Science and Tech/Eng — State: 76.4&#10;Grade 8 Science and Tech/ Eng — School: 56.0&#10;Grade 8 Science and Tech/ Eng — State: 71.3&#10;Grade 10 English Language Arts — School: 100&#10;Grade 10 English Language Arts — State: 96.7&#10;Grade 10 Mathematics — School: 80.6&#10;Grade 10 Mathematics — State: 89.7&#10;Grade 10 Science — School: 90.0&#10;Grade 10 Science — State: 89.0&#10;&#10;2017&#10;Grade 5 Science and Tech/Eng — School: 62.8&#10;Grade 5 Science and Tech/Eng — State: 75.3&#10;Grade 8 Science and Tech/ Eng — School: 60.7&#10;Grade 8 Science and Tech/ Eng — State: 70.6&#10;Grade 10 English Language Arts — School: 96.2&#10;Grade 10 English Language Arts — State: 96.5&#10;Grade 10 Mathematics — School: 81.8&#10;Grade 10 Mathematics — State: 89.9&#10;Grade 10 Science — School: 86.8&#10;Grade 10 Science — State: 89.4&#10;&#10;2018&#10;Grade 5 Science and Tech/Eng — School: 54.1&#10;Grade 5 Science and Tech/Eng — State: 76.5&#10;Grade 8 Science and Tech/ Eng — School: 54.5&#10;Grade 8 Science and Tech/ Eng — State: 68.3&#10;Grade 10 English Language Arts — School: 95.6&#10;Grade 10 English Language Arts — State: 96.2&#10;Grade 10 Mathematics — School: 77.6&#10;Grade 10 Mathematics — State: 89.5&#10;Grade 10 Science — School: 60.5&#10;Grade 10 Science — State: 89.3"/>
      </w:tblPr>
      <w:tblGrid>
        <w:gridCol w:w="2818"/>
        <w:gridCol w:w="897"/>
        <w:gridCol w:w="736"/>
        <w:gridCol w:w="897"/>
        <w:gridCol w:w="736"/>
        <w:gridCol w:w="897"/>
        <w:gridCol w:w="736"/>
        <w:gridCol w:w="897"/>
        <w:gridCol w:w="736"/>
      </w:tblGrid>
      <w:tr w:rsidR="00AC6AC7" w:rsidRPr="007F7A52" w14:paraId="0246A308" w14:textId="77777777" w:rsidTr="003B0C56">
        <w:trPr>
          <w:tblHeader/>
        </w:trPr>
        <w:tc>
          <w:tcPr>
            <w:tcW w:w="5000" w:type="pct"/>
            <w:gridSpan w:val="9"/>
            <w:shd w:val="clear" w:color="auto" w:fill="BFBFBF" w:themeFill="background1" w:themeFillShade="BF"/>
          </w:tcPr>
          <w:p w14:paraId="61868FC7" w14:textId="5D723FBD" w:rsidR="00AC6AC7" w:rsidRPr="007F7A52" w:rsidRDefault="00AC6AC7" w:rsidP="00E83069">
            <w:pPr>
              <w:spacing w:before="80" w:after="80"/>
              <w:rPr>
                <w:rFonts w:cstheme="minorHAnsi"/>
                <w:b/>
              </w:rPr>
            </w:pPr>
            <w:r>
              <w:rPr>
                <w:rFonts w:cstheme="minorHAnsi"/>
                <w:b/>
              </w:rPr>
              <w:lastRenderedPageBreak/>
              <w:t>Composite Performance Index</w:t>
            </w:r>
            <w:r w:rsidR="0031047A" w:rsidRPr="0031047A">
              <w:rPr>
                <w:rStyle w:val="FootnoteReference"/>
                <w:rFonts w:cstheme="minorHAnsi"/>
                <w:b/>
                <w:vertAlign w:val="superscript"/>
              </w:rPr>
              <w:footnoteReference w:id="4"/>
            </w:r>
          </w:p>
        </w:tc>
      </w:tr>
      <w:tr w:rsidR="00AC6AC7" w:rsidRPr="007F7A52" w14:paraId="7F6F2896" w14:textId="77777777" w:rsidTr="003B0C56">
        <w:trPr>
          <w:tblHeader/>
        </w:trPr>
        <w:tc>
          <w:tcPr>
            <w:tcW w:w="1551" w:type="pct"/>
            <w:vMerge w:val="restart"/>
            <w:shd w:val="clear" w:color="auto" w:fill="D9D9D9" w:themeFill="background1" w:themeFillShade="D9"/>
            <w:vAlign w:val="bottom"/>
          </w:tcPr>
          <w:p w14:paraId="6AE9264C" w14:textId="77777777" w:rsidR="00AC6AC7" w:rsidRPr="007F7A52" w:rsidRDefault="00AC6AC7" w:rsidP="00E83069">
            <w:pPr>
              <w:spacing w:before="80" w:after="80"/>
              <w:rPr>
                <w:rFonts w:cstheme="minorHAnsi"/>
                <w:b/>
              </w:rPr>
            </w:pPr>
            <w:r>
              <w:rPr>
                <w:rFonts w:cstheme="minorHAnsi"/>
                <w:b/>
              </w:rPr>
              <w:t>Grade and Subject</w:t>
            </w:r>
          </w:p>
        </w:tc>
        <w:tc>
          <w:tcPr>
            <w:tcW w:w="862" w:type="pct"/>
            <w:gridSpan w:val="2"/>
            <w:shd w:val="clear" w:color="auto" w:fill="D9D9D9" w:themeFill="background1" w:themeFillShade="D9"/>
            <w:vAlign w:val="center"/>
          </w:tcPr>
          <w:p w14:paraId="0D6F1AE4" w14:textId="77777777" w:rsidR="00AC6AC7" w:rsidRPr="007F7A52" w:rsidRDefault="00AC6AC7" w:rsidP="00E83069">
            <w:pPr>
              <w:spacing w:before="80" w:after="80"/>
              <w:jc w:val="center"/>
              <w:rPr>
                <w:rFonts w:cstheme="minorHAnsi"/>
                <w:b/>
              </w:rPr>
            </w:pPr>
            <w:r>
              <w:rPr>
                <w:rFonts w:cstheme="minorHAnsi"/>
                <w:b/>
              </w:rPr>
              <w:t>2015</w:t>
            </w:r>
          </w:p>
        </w:tc>
        <w:tc>
          <w:tcPr>
            <w:tcW w:w="862" w:type="pct"/>
            <w:gridSpan w:val="2"/>
            <w:shd w:val="clear" w:color="auto" w:fill="D9D9D9" w:themeFill="background1" w:themeFillShade="D9"/>
            <w:vAlign w:val="center"/>
          </w:tcPr>
          <w:p w14:paraId="7A6748CF" w14:textId="77777777" w:rsidR="00AC6AC7" w:rsidRPr="007F7A52" w:rsidRDefault="00AC6AC7" w:rsidP="00E83069">
            <w:pPr>
              <w:spacing w:before="80" w:after="80"/>
              <w:jc w:val="center"/>
              <w:rPr>
                <w:rFonts w:cstheme="minorHAnsi"/>
                <w:b/>
              </w:rPr>
            </w:pPr>
            <w:r>
              <w:rPr>
                <w:rFonts w:cstheme="minorHAnsi"/>
                <w:b/>
              </w:rPr>
              <w:t>2016</w:t>
            </w:r>
          </w:p>
        </w:tc>
        <w:tc>
          <w:tcPr>
            <w:tcW w:w="862" w:type="pct"/>
            <w:gridSpan w:val="2"/>
            <w:shd w:val="clear" w:color="auto" w:fill="D9D9D9" w:themeFill="background1" w:themeFillShade="D9"/>
            <w:vAlign w:val="center"/>
          </w:tcPr>
          <w:p w14:paraId="67611EF0" w14:textId="77777777" w:rsidR="00AC6AC7" w:rsidRPr="007F7A52" w:rsidRDefault="00AC6AC7" w:rsidP="00E83069">
            <w:pPr>
              <w:spacing w:before="80" w:after="80"/>
              <w:jc w:val="center"/>
              <w:rPr>
                <w:rFonts w:cstheme="minorHAnsi"/>
                <w:b/>
              </w:rPr>
            </w:pPr>
            <w:r>
              <w:rPr>
                <w:rFonts w:cstheme="minorHAnsi"/>
                <w:b/>
              </w:rPr>
              <w:t>2017</w:t>
            </w:r>
          </w:p>
        </w:tc>
        <w:tc>
          <w:tcPr>
            <w:tcW w:w="863" w:type="pct"/>
            <w:gridSpan w:val="2"/>
            <w:shd w:val="clear" w:color="auto" w:fill="D9D9D9" w:themeFill="background1" w:themeFillShade="D9"/>
            <w:vAlign w:val="center"/>
          </w:tcPr>
          <w:p w14:paraId="13ECD334" w14:textId="77777777" w:rsidR="00AC6AC7" w:rsidRPr="007F7A52" w:rsidRDefault="00AC6AC7" w:rsidP="00E83069">
            <w:pPr>
              <w:spacing w:before="80" w:after="80"/>
              <w:jc w:val="center"/>
              <w:rPr>
                <w:rFonts w:cstheme="minorHAnsi"/>
                <w:b/>
              </w:rPr>
            </w:pPr>
            <w:r>
              <w:rPr>
                <w:rFonts w:cstheme="minorHAnsi"/>
                <w:b/>
              </w:rPr>
              <w:t>2018</w:t>
            </w:r>
          </w:p>
        </w:tc>
      </w:tr>
      <w:tr w:rsidR="00AC6AC7" w:rsidRPr="007F7A52" w14:paraId="682B5E40" w14:textId="77777777" w:rsidTr="003B0C56">
        <w:trPr>
          <w:tblHeader/>
        </w:trPr>
        <w:tc>
          <w:tcPr>
            <w:tcW w:w="1551" w:type="pct"/>
            <w:vMerge/>
            <w:shd w:val="clear" w:color="auto" w:fill="D9D9D9" w:themeFill="background1" w:themeFillShade="D9"/>
          </w:tcPr>
          <w:p w14:paraId="6674F342" w14:textId="77777777" w:rsidR="00AC6AC7" w:rsidRPr="007F7A52" w:rsidRDefault="00AC6AC7" w:rsidP="00E83069">
            <w:pPr>
              <w:spacing w:before="80" w:after="80"/>
              <w:rPr>
                <w:rFonts w:cstheme="minorHAnsi"/>
                <w:b/>
              </w:rPr>
            </w:pPr>
          </w:p>
        </w:tc>
        <w:tc>
          <w:tcPr>
            <w:tcW w:w="468" w:type="pct"/>
            <w:shd w:val="clear" w:color="auto" w:fill="D9D9D9" w:themeFill="background1" w:themeFillShade="D9"/>
            <w:vAlign w:val="center"/>
          </w:tcPr>
          <w:p w14:paraId="2FA5130E" w14:textId="77777777" w:rsidR="00AC6AC7" w:rsidRPr="007F7A52" w:rsidRDefault="00AC6AC7" w:rsidP="00E83069">
            <w:pPr>
              <w:spacing w:before="80" w:after="80"/>
              <w:jc w:val="center"/>
              <w:rPr>
                <w:rFonts w:cstheme="minorHAnsi"/>
                <w:b/>
              </w:rPr>
            </w:pPr>
            <w:r w:rsidRPr="007F7A52">
              <w:rPr>
                <w:rFonts w:cstheme="minorHAnsi"/>
                <w:b/>
              </w:rPr>
              <w:t>School</w:t>
            </w:r>
          </w:p>
        </w:tc>
        <w:tc>
          <w:tcPr>
            <w:tcW w:w="394" w:type="pct"/>
            <w:shd w:val="clear" w:color="auto" w:fill="D9D9D9" w:themeFill="background1" w:themeFillShade="D9"/>
            <w:vAlign w:val="center"/>
          </w:tcPr>
          <w:p w14:paraId="6AD8BF06" w14:textId="77777777" w:rsidR="00AC6AC7" w:rsidRPr="007F7A52" w:rsidRDefault="00AC6AC7" w:rsidP="00E83069">
            <w:pPr>
              <w:spacing w:before="80" w:after="80"/>
              <w:jc w:val="center"/>
              <w:rPr>
                <w:rFonts w:cstheme="minorHAnsi"/>
                <w:b/>
              </w:rPr>
            </w:pPr>
            <w:r w:rsidRPr="007F7A52">
              <w:rPr>
                <w:rFonts w:cstheme="minorHAnsi"/>
                <w:b/>
              </w:rPr>
              <w:t>State</w:t>
            </w:r>
          </w:p>
        </w:tc>
        <w:tc>
          <w:tcPr>
            <w:tcW w:w="468" w:type="pct"/>
            <w:shd w:val="clear" w:color="auto" w:fill="D9D9D9" w:themeFill="background1" w:themeFillShade="D9"/>
            <w:vAlign w:val="center"/>
          </w:tcPr>
          <w:p w14:paraId="18253933" w14:textId="77777777" w:rsidR="00AC6AC7" w:rsidRPr="007F7A52" w:rsidRDefault="00AC6AC7" w:rsidP="00E83069">
            <w:pPr>
              <w:spacing w:before="80" w:after="80"/>
              <w:jc w:val="center"/>
              <w:rPr>
                <w:rFonts w:cstheme="minorHAnsi"/>
                <w:b/>
              </w:rPr>
            </w:pPr>
            <w:r w:rsidRPr="007F7A52">
              <w:rPr>
                <w:rFonts w:cstheme="minorHAnsi"/>
                <w:b/>
              </w:rPr>
              <w:t>School</w:t>
            </w:r>
          </w:p>
        </w:tc>
        <w:tc>
          <w:tcPr>
            <w:tcW w:w="394" w:type="pct"/>
            <w:shd w:val="clear" w:color="auto" w:fill="D9D9D9" w:themeFill="background1" w:themeFillShade="D9"/>
            <w:vAlign w:val="center"/>
          </w:tcPr>
          <w:p w14:paraId="67102248" w14:textId="77777777" w:rsidR="00AC6AC7" w:rsidRPr="007F7A52" w:rsidRDefault="00AC6AC7" w:rsidP="00E83069">
            <w:pPr>
              <w:spacing w:before="80" w:after="80"/>
              <w:jc w:val="center"/>
              <w:rPr>
                <w:rFonts w:cstheme="minorHAnsi"/>
                <w:b/>
              </w:rPr>
            </w:pPr>
            <w:r w:rsidRPr="007F7A52">
              <w:rPr>
                <w:rFonts w:cstheme="minorHAnsi"/>
                <w:b/>
              </w:rPr>
              <w:t>State</w:t>
            </w:r>
          </w:p>
        </w:tc>
        <w:tc>
          <w:tcPr>
            <w:tcW w:w="468" w:type="pct"/>
            <w:shd w:val="clear" w:color="auto" w:fill="D9D9D9" w:themeFill="background1" w:themeFillShade="D9"/>
            <w:vAlign w:val="center"/>
          </w:tcPr>
          <w:p w14:paraId="71000C4E" w14:textId="77777777" w:rsidR="00AC6AC7" w:rsidRPr="007F7A52" w:rsidRDefault="00AC6AC7" w:rsidP="00E83069">
            <w:pPr>
              <w:spacing w:before="80" w:after="80"/>
              <w:jc w:val="center"/>
              <w:rPr>
                <w:rFonts w:cstheme="minorHAnsi"/>
                <w:b/>
              </w:rPr>
            </w:pPr>
            <w:r w:rsidRPr="007F7A52">
              <w:rPr>
                <w:rFonts w:cstheme="minorHAnsi"/>
                <w:b/>
              </w:rPr>
              <w:t>School</w:t>
            </w:r>
          </w:p>
        </w:tc>
        <w:tc>
          <w:tcPr>
            <w:tcW w:w="394" w:type="pct"/>
            <w:shd w:val="clear" w:color="auto" w:fill="D9D9D9" w:themeFill="background1" w:themeFillShade="D9"/>
            <w:vAlign w:val="center"/>
          </w:tcPr>
          <w:p w14:paraId="29E4F89C" w14:textId="77777777" w:rsidR="00AC6AC7" w:rsidRPr="007F7A52" w:rsidRDefault="00AC6AC7" w:rsidP="00E83069">
            <w:pPr>
              <w:spacing w:before="80" w:after="80"/>
              <w:jc w:val="center"/>
              <w:rPr>
                <w:rFonts w:cstheme="minorHAnsi"/>
                <w:b/>
              </w:rPr>
            </w:pPr>
            <w:r w:rsidRPr="007F7A52">
              <w:rPr>
                <w:rFonts w:cstheme="minorHAnsi"/>
                <w:b/>
              </w:rPr>
              <w:t>State</w:t>
            </w:r>
          </w:p>
        </w:tc>
        <w:tc>
          <w:tcPr>
            <w:tcW w:w="468" w:type="pct"/>
            <w:shd w:val="clear" w:color="auto" w:fill="D9D9D9" w:themeFill="background1" w:themeFillShade="D9"/>
            <w:vAlign w:val="center"/>
          </w:tcPr>
          <w:p w14:paraId="50223E48" w14:textId="77777777" w:rsidR="00AC6AC7" w:rsidRPr="007F7A52" w:rsidRDefault="00AC6AC7" w:rsidP="00E83069">
            <w:pPr>
              <w:spacing w:before="80" w:after="80"/>
              <w:jc w:val="center"/>
              <w:rPr>
                <w:rFonts w:cstheme="minorHAnsi"/>
                <w:b/>
              </w:rPr>
            </w:pPr>
            <w:r w:rsidRPr="007F7A52">
              <w:rPr>
                <w:rFonts w:cstheme="minorHAnsi"/>
                <w:b/>
              </w:rPr>
              <w:t>School</w:t>
            </w:r>
          </w:p>
        </w:tc>
        <w:tc>
          <w:tcPr>
            <w:tcW w:w="395" w:type="pct"/>
            <w:shd w:val="clear" w:color="auto" w:fill="D9D9D9" w:themeFill="background1" w:themeFillShade="D9"/>
            <w:vAlign w:val="center"/>
          </w:tcPr>
          <w:p w14:paraId="4CBC202E" w14:textId="77777777" w:rsidR="00AC6AC7" w:rsidRPr="007F7A52" w:rsidRDefault="00AC6AC7" w:rsidP="00E83069">
            <w:pPr>
              <w:spacing w:before="80" w:after="80"/>
              <w:jc w:val="center"/>
              <w:rPr>
                <w:rFonts w:cstheme="minorHAnsi"/>
                <w:b/>
              </w:rPr>
            </w:pPr>
            <w:r w:rsidRPr="007F7A52">
              <w:rPr>
                <w:rFonts w:cstheme="minorHAnsi"/>
                <w:b/>
              </w:rPr>
              <w:t>State</w:t>
            </w:r>
          </w:p>
        </w:tc>
      </w:tr>
      <w:tr w:rsidR="00AC6AC7" w14:paraId="131A6585" w14:textId="77777777" w:rsidTr="008964BF">
        <w:tc>
          <w:tcPr>
            <w:tcW w:w="1551" w:type="pct"/>
            <w:shd w:val="clear" w:color="auto" w:fill="D9D9D9" w:themeFill="background1" w:themeFillShade="D9"/>
          </w:tcPr>
          <w:p w14:paraId="62CB9969" w14:textId="77777777" w:rsidR="00AC6AC7" w:rsidRDefault="00AC6AC7" w:rsidP="00E83069">
            <w:pPr>
              <w:spacing w:before="80" w:after="80"/>
              <w:rPr>
                <w:rFonts w:cstheme="minorHAnsi"/>
                <w:b/>
              </w:rPr>
            </w:pPr>
            <w:r>
              <w:rPr>
                <w:rFonts w:cstheme="minorHAnsi"/>
                <w:b/>
              </w:rPr>
              <w:t>Grade 5 Science and Tech/</w:t>
            </w:r>
            <w:proofErr w:type="spellStart"/>
            <w:r>
              <w:rPr>
                <w:rFonts w:cstheme="minorHAnsi"/>
                <w:b/>
              </w:rPr>
              <w:t>Eng</w:t>
            </w:r>
            <w:proofErr w:type="spellEnd"/>
          </w:p>
        </w:tc>
        <w:tc>
          <w:tcPr>
            <w:tcW w:w="468" w:type="pct"/>
            <w:vAlign w:val="center"/>
          </w:tcPr>
          <w:p w14:paraId="37C93B05" w14:textId="77777777" w:rsidR="00AC6AC7" w:rsidRDefault="00AC6AC7" w:rsidP="00E83069">
            <w:pPr>
              <w:spacing w:before="80" w:after="80"/>
              <w:jc w:val="center"/>
              <w:rPr>
                <w:rFonts w:cstheme="minorHAnsi"/>
              </w:rPr>
            </w:pPr>
            <w:r>
              <w:rPr>
                <w:rFonts w:cstheme="minorHAnsi"/>
              </w:rPr>
              <w:t>72.5</w:t>
            </w:r>
          </w:p>
        </w:tc>
        <w:tc>
          <w:tcPr>
            <w:tcW w:w="394" w:type="pct"/>
            <w:vAlign w:val="center"/>
          </w:tcPr>
          <w:p w14:paraId="3DE9FB8B" w14:textId="77777777" w:rsidR="00AC6AC7" w:rsidRDefault="00AC6AC7" w:rsidP="00E83069">
            <w:pPr>
              <w:spacing w:before="80" w:after="80"/>
              <w:jc w:val="center"/>
              <w:rPr>
                <w:rFonts w:cstheme="minorHAnsi"/>
              </w:rPr>
            </w:pPr>
            <w:r>
              <w:rPr>
                <w:rFonts w:cstheme="minorHAnsi"/>
              </w:rPr>
              <w:t>78.2</w:t>
            </w:r>
          </w:p>
        </w:tc>
        <w:tc>
          <w:tcPr>
            <w:tcW w:w="468" w:type="pct"/>
            <w:vAlign w:val="center"/>
          </w:tcPr>
          <w:p w14:paraId="5463DD56" w14:textId="77777777" w:rsidR="00AC6AC7" w:rsidRDefault="00AC6AC7" w:rsidP="00E83069">
            <w:pPr>
              <w:spacing w:before="80" w:after="80"/>
              <w:jc w:val="center"/>
              <w:rPr>
                <w:rFonts w:cstheme="minorHAnsi"/>
              </w:rPr>
            </w:pPr>
            <w:r>
              <w:rPr>
                <w:rFonts w:cstheme="minorHAnsi"/>
              </w:rPr>
              <w:t>61.0</w:t>
            </w:r>
          </w:p>
        </w:tc>
        <w:tc>
          <w:tcPr>
            <w:tcW w:w="394" w:type="pct"/>
            <w:vAlign w:val="center"/>
          </w:tcPr>
          <w:p w14:paraId="162EFDEB" w14:textId="77777777" w:rsidR="00AC6AC7" w:rsidRDefault="00AC6AC7" w:rsidP="00E83069">
            <w:pPr>
              <w:spacing w:before="80" w:after="80"/>
              <w:jc w:val="center"/>
              <w:rPr>
                <w:rFonts w:cstheme="minorHAnsi"/>
              </w:rPr>
            </w:pPr>
            <w:r>
              <w:rPr>
                <w:rFonts w:cstheme="minorHAnsi"/>
              </w:rPr>
              <w:t>76.4</w:t>
            </w:r>
          </w:p>
        </w:tc>
        <w:tc>
          <w:tcPr>
            <w:tcW w:w="468" w:type="pct"/>
            <w:vAlign w:val="center"/>
          </w:tcPr>
          <w:p w14:paraId="23CFD366" w14:textId="77777777" w:rsidR="00AC6AC7" w:rsidRDefault="00AC6AC7" w:rsidP="00E83069">
            <w:pPr>
              <w:spacing w:before="80" w:after="80"/>
              <w:jc w:val="center"/>
              <w:rPr>
                <w:rFonts w:cstheme="minorHAnsi"/>
              </w:rPr>
            </w:pPr>
            <w:r>
              <w:rPr>
                <w:rFonts w:cstheme="minorHAnsi"/>
              </w:rPr>
              <w:t>62.8</w:t>
            </w:r>
          </w:p>
        </w:tc>
        <w:tc>
          <w:tcPr>
            <w:tcW w:w="394" w:type="pct"/>
            <w:vAlign w:val="center"/>
          </w:tcPr>
          <w:p w14:paraId="76EDBE47" w14:textId="77777777" w:rsidR="00AC6AC7" w:rsidRDefault="00AC6AC7" w:rsidP="00E83069">
            <w:pPr>
              <w:spacing w:before="80" w:after="80"/>
              <w:jc w:val="center"/>
              <w:rPr>
                <w:rFonts w:cstheme="minorHAnsi"/>
              </w:rPr>
            </w:pPr>
            <w:r>
              <w:rPr>
                <w:rFonts w:cstheme="minorHAnsi"/>
              </w:rPr>
              <w:t>75.3</w:t>
            </w:r>
          </w:p>
        </w:tc>
        <w:tc>
          <w:tcPr>
            <w:tcW w:w="468" w:type="pct"/>
            <w:vAlign w:val="center"/>
          </w:tcPr>
          <w:p w14:paraId="19A99BE9" w14:textId="77777777" w:rsidR="00AC6AC7" w:rsidRDefault="00AC6AC7" w:rsidP="00E83069">
            <w:pPr>
              <w:spacing w:before="80" w:after="80"/>
              <w:jc w:val="center"/>
              <w:rPr>
                <w:rFonts w:cstheme="minorHAnsi"/>
              </w:rPr>
            </w:pPr>
            <w:r>
              <w:rPr>
                <w:rFonts w:cstheme="minorHAnsi"/>
              </w:rPr>
              <w:t>54.1</w:t>
            </w:r>
          </w:p>
        </w:tc>
        <w:tc>
          <w:tcPr>
            <w:tcW w:w="395" w:type="pct"/>
            <w:vAlign w:val="center"/>
          </w:tcPr>
          <w:p w14:paraId="1ACF05B3" w14:textId="77777777" w:rsidR="00AC6AC7" w:rsidRDefault="00AC6AC7" w:rsidP="00E83069">
            <w:pPr>
              <w:spacing w:before="80" w:after="80"/>
              <w:jc w:val="center"/>
              <w:rPr>
                <w:rFonts w:cstheme="minorHAnsi"/>
              </w:rPr>
            </w:pPr>
            <w:r>
              <w:rPr>
                <w:rFonts w:cstheme="minorHAnsi"/>
              </w:rPr>
              <w:t>76.5</w:t>
            </w:r>
          </w:p>
        </w:tc>
      </w:tr>
      <w:tr w:rsidR="00AC6AC7" w14:paraId="46AC79C6" w14:textId="77777777" w:rsidTr="008964BF">
        <w:tc>
          <w:tcPr>
            <w:tcW w:w="1551" w:type="pct"/>
            <w:shd w:val="clear" w:color="auto" w:fill="D9D9D9" w:themeFill="background1" w:themeFillShade="D9"/>
          </w:tcPr>
          <w:p w14:paraId="76B54959" w14:textId="77777777" w:rsidR="00AC6AC7" w:rsidRDefault="00AC6AC7" w:rsidP="00E83069">
            <w:pPr>
              <w:spacing w:before="80" w:after="80"/>
              <w:rPr>
                <w:rFonts w:cstheme="minorHAnsi"/>
                <w:b/>
              </w:rPr>
            </w:pPr>
            <w:r>
              <w:rPr>
                <w:rFonts w:cstheme="minorHAnsi"/>
                <w:b/>
              </w:rPr>
              <w:t xml:space="preserve">Grade 8 Science and Tech/ </w:t>
            </w:r>
            <w:proofErr w:type="spellStart"/>
            <w:r>
              <w:rPr>
                <w:rFonts w:cstheme="minorHAnsi"/>
                <w:b/>
              </w:rPr>
              <w:t>Eng</w:t>
            </w:r>
            <w:proofErr w:type="spellEnd"/>
          </w:p>
        </w:tc>
        <w:tc>
          <w:tcPr>
            <w:tcW w:w="468" w:type="pct"/>
            <w:vAlign w:val="center"/>
          </w:tcPr>
          <w:p w14:paraId="23CBD7B7" w14:textId="77777777" w:rsidR="00AC6AC7" w:rsidRDefault="00AC6AC7" w:rsidP="00E83069">
            <w:pPr>
              <w:spacing w:before="80" w:after="80"/>
              <w:jc w:val="center"/>
              <w:rPr>
                <w:rFonts w:cstheme="minorHAnsi"/>
              </w:rPr>
            </w:pPr>
            <w:r>
              <w:rPr>
                <w:rFonts w:cstheme="minorHAnsi"/>
              </w:rPr>
              <w:t>64.4</w:t>
            </w:r>
          </w:p>
        </w:tc>
        <w:tc>
          <w:tcPr>
            <w:tcW w:w="394" w:type="pct"/>
            <w:vAlign w:val="center"/>
          </w:tcPr>
          <w:p w14:paraId="5E1F4F09" w14:textId="77777777" w:rsidR="00AC6AC7" w:rsidRDefault="00AC6AC7" w:rsidP="00E83069">
            <w:pPr>
              <w:spacing w:before="80" w:after="80"/>
              <w:jc w:val="center"/>
              <w:rPr>
                <w:rFonts w:cstheme="minorHAnsi"/>
              </w:rPr>
            </w:pPr>
            <w:r>
              <w:rPr>
                <w:rFonts w:cstheme="minorHAnsi"/>
              </w:rPr>
              <w:t>72.4</w:t>
            </w:r>
          </w:p>
        </w:tc>
        <w:tc>
          <w:tcPr>
            <w:tcW w:w="468" w:type="pct"/>
            <w:vAlign w:val="center"/>
          </w:tcPr>
          <w:p w14:paraId="7227F804" w14:textId="77777777" w:rsidR="00AC6AC7" w:rsidRDefault="00AC6AC7" w:rsidP="00E83069">
            <w:pPr>
              <w:spacing w:before="80" w:after="80"/>
              <w:jc w:val="center"/>
              <w:rPr>
                <w:rFonts w:cstheme="minorHAnsi"/>
              </w:rPr>
            </w:pPr>
            <w:r>
              <w:rPr>
                <w:rFonts w:cstheme="minorHAnsi"/>
              </w:rPr>
              <w:t>56.0</w:t>
            </w:r>
          </w:p>
        </w:tc>
        <w:tc>
          <w:tcPr>
            <w:tcW w:w="394" w:type="pct"/>
            <w:vAlign w:val="center"/>
          </w:tcPr>
          <w:p w14:paraId="026292F0" w14:textId="77777777" w:rsidR="00AC6AC7" w:rsidRDefault="00AC6AC7" w:rsidP="00E83069">
            <w:pPr>
              <w:spacing w:before="80" w:after="80"/>
              <w:jc w:val="center"/>
              <w:rPr>
                <w:rFonts w:cstheme="minorHAnsi"/>
              </w:rPr>
            </w:pPr>
            <w:r>
              <w:rPr>
                <w:rFonts w:cstheme="minorHAnsi"/>
              </w:rPr>
              <w:t>71.3</w:t>
            </w:r>
          </w:p>
        </w:tc>
        <w:tc>
          <w:tcPr>
            <w:tcW w:w="468" w:type="pct"/>
            <w:vAlign w:val="center"/>
          </w:tcPr>
          <w:p w14:paraId="1AABC0CE" w14:textId="77777777" w:rsidR="00AC6AC7" w:rsidRDefault="00AC6AC7" w:rsidP="00E83069">
            <w:pPr>
              <w:spacing w:before="80" w:after="80"/>
              <w:jc w:val="center"/>
              <w:rPr>
                <w:rFonts w:cstheme="minorHAnsi"/>
              </w:rPr>
            </w:pPr>
            <w:r>
              <w:rPr>
                <w:rFonts w:cstheme="minorHAnsi"/>
              </w:rPr>
              <w:t>60.7</w:t>
            </w:r>
          </w:p>
        </w:tc>
        <w:tc>
          <w:tcPr>
            <w:tcW w:w="394" w:type="pct"/>
            <w:vAlign w:val="center"/>
          </w:tcPr>
          <w:p w14:paraId="4A105A7B" w14:textId="77777777" w:rsidR="00AC6AC7" w:rsidRDefault="00AC6AC7" w:rsidP="00E83069">
            <w:pPr>
              <w:spacing w:before="80" w:after="80"/>
              <w:jc w:val="center"/>
              <w:rPr>
                <w:rFonts w:cstheme="minorHAnsi"/>
              </w:rPr>
            </w:pPr>
            <w:r>
              <w:rPr>
                <w:rFonts w:cstheme="minorHAnsi"/>
              </w:rPr>
              <w:t>70.6</w:t>
            </w:r>
          </w:p>
        </w:tc>
        <w:tc>
          <w:tcPr>
            <w:tcW w:w="468" w:type="pct"/>
            <w:vAlign w:val="center"/>
          </w:tcPr>
          <w:p w14:paraId="706C01A3" w14:textId="77777777" w:rsidR="00AC6AC7" w:rsidRDefault="00AC6AC7" w:rsidP="00E83069">
            <w:pPr>
              <w:spacing w:before="80" w:after="80"/>
              <w:jc w:val="center"/>
              <w:rPr>
                <w:rFonts w:cstheme="minorHAnsi"/>
              </w:rPr>
            </w:pPr>
            <w:r>
              <w:rPr>
                <w:rFonts w:cstheme="minorHAnsi"/>
              </w:rPr>
              <w:t>54.5</w:t>
            </w:r>
          </w:p>
        </w:tc>
        <w:tc>
          <w:tcPr>
            <w:tcW w:w="395" w:type="pct"/>
            <w:vAlign w:val="center"/>
          </w:tcPr>
          <w:p w14:paraId="7A87CC10" w14:textId="77777777" w:rsidR="00AC6AC7" w:rsidRDefault="00AC6AC7" w:rsidP="00E83069">
            <w:pPr>
              <w:spacing w:before="80" w:after="80"/>
              <w:jc w:val="center"/>
              <w:rPr>
                <w:rFonts w:cstheme="minorHAnsi"/>
              </w:rPr>
            </w:pPr>
            <w:r>
              <w:rPr>
                <w:rFonts w:cstheme="minorHAnsi"/>
              </w:rPr>
              <w:t>68.3</w:t>
            </w:r>
          </w:p>
        </w:tc>
      </w:tr>
      <w:tr w:rsidR="00AC6AC7" w14:paraId="72F9F859" w14:textId="77777777" w:rsidTr="008964BF">
        <w:tc>
          <w:tcPr>
            <w:tcW w:w="1551" w:type="pct"/>
            <w:shd w:val="clear" w:color="auto" w:fill="D9D9D9" w:themeFill="background1" w:themeFillShade="D9"/>
          </w:tcPr>
          <w:p w14:paraId="61C8736D" w14:textId="77777777" w:rsidR="00AC6AC7" w:rsidRDefault="00AC6AC7" w:rsidP="00E83069">
            <w:pPr>
              <w:spacing w:before="80" w:after="80"/>
              <w:rPr>
                <w:rFonts w:cstheme="minorHAnsi"/>
                <w:b/>
              </w:rPr>
            </w:pPr>
            <w:r>
              <w:rPr>
                <w:rFonts w:cstheme="minorHAnsi"/>
                <w:b/>
              </w:rPr>
              <w:t>Grade 10 English Language Arts</w:t>
            </w:r>
          </w:p>
        </w:tc>
        <w:tc>
          <w:tcPr>
            <w:tcW w:w="468" w:type="pct"/>
            <w:vAlign w:val="center"/>
          </w:tcPr>
          <w:p w14:paraId="6200F5E9" w14:textId="77777777" w:rsidR="00AC6AC7" w:rsidRDefault="00AC6AC7" w:rsidP="00E83069">
            <w:pPr>
              <w:spacing w:before="80" w:after="80"/>
              <w:jc w:val="center"/>
              <w:rPr>
                <w:rFonts w:cstheme="minorHAnsi"/>
              </w:rPr>
            </w:pPr>
            <w:r>
              <w:rPr>
                <w:rFonts w:cstheme="minorHAnsi"/>
              </w:rPr>
              <w:t>93.2</w:t>
            </w:r>
          </w:p>
        </w:tc>
        <w:tc>
          <w:tcPr>
            <w:tcW w:w="394" w:type="pct"/>
            <w:vAlign w:val="center"/>
          </w:tcPr>
          <w:p w14:paraId="59E6D943" w14:textId="77777777" w:rsidR="00AC6AC7" w:rsidRDefault="00AC6AC7" w:rsidP="00E83069">
            <w:pPr>
              <w:spacing w:before="80" w:after="80"/>
              <w:jc w:val="center"/>
              <w:rPr>
                <w:rFonts w:cstheme="minorHAnsi"/>
              </w:rPr>
            </w:pPr>
            <w:r>
              <w:rPr>
                <w:rFonts w:cstheme="minorHAnsi"/>
              </w:rPr>
              <w:t>96.7</w:t>
            </w:r>
          </w:p>
        </w:tc>
        <w:tc>
          <w:tcPr>
            <w:tcW w:w="468" w:type="pct"/>
            <w:vAlign w:val="center"/>
          </w:tcPr>
          <w:p w14:paraId="0829D595" w14:textId="77777777" w:rsidR="00AC6AC7" w:rsidRDefault="00AC6AC7" w:rsidP="00E83069">
            <w:pPr>
              <w:spacing w:before="80" w:after="80"/>
              <w:jc w:val="center"/>
              <w:rPr>
                <w:rFonts w:cstheme="minorHAnsi"/>
              </w:rPr>
            </w:pPr>
            <w:r>
              <w:rPr>
                <w:rFonts w:cstheme="minorHAnsi"/>
              </w:rPr>
              <w:t>100</w:t>
            </w:r>
          </w:p>
        </w:tc>
        <w:tc>
          <w:tcPr>
            <w:tcW w:w="394" w:type="pct"/>
            <w:vAlign w:val="center"/>
          </w:tcPr>
          <w:p w14:paraId="47F35A5E" w14:textId="77777777" w:rsidR="00AC6AC7" w:rsidRDefault="00AC6AC7" w:rsidP="00E83069">
            <w:pPr>
              <w:spacing w:before="80" w:after="80"/>
              <w:jc w:val="center"/>
              <w:rPr>
                <w:rFonts w:cstheme="minorHAnsi"/>
              </w:rPr>
            </w:pPr>
            <w:r>
              <w:rPr>
                <w:rFonts w:cstheme="minorHAnsi"/>
              </w:rPr>
              <w:t>96.7</w:t>
            </w:r>
          </w:p>
        </w:tc>
        <w:tc>
          <w:tcPr>
            <w:tcW w:w="468" w:type="pct"/>
            <w:vAlign w:val="center"/>
          </w:tcPr>
          <w:p w14:paraId="5DDEAC8D" w14:textId="77777777" w:rsidR="00AC6AC7" w:rsidRDefault="00AC6AC7" w:rsidP="00E83069">
            <w:pPr>
              <w:spacing w:before="80" w:after="80"/>
              <w:jc w:val="center"/>
              <w:rPr>
                <w:rFonts w:cstheme="minorHAnsi"/>
              </w:rPr>
            </w:pPr>
            <w:r>
              <w:rPr>
                <w:rFonts w:cstheme="minorHAnsi"/>
              </w:rPr>
              <w:t>96.2</w:t>
            </w:r>
          </w:p>
        </w:tc>
        <w:tc>
          <w:tcPr>
            <w:tcW w:w="394" w:type="pct"/>
            <w:vAlign w:val="center"/>
          </w:tcPr>
          <w:p w14:paraId="428E8659" w14:textId="77777777" w:rsidR="00AC6AC7" w:rsidRDefault="00AC6AC7" w:rsidP="00E83069">
            <w:pPr>
              <w:spacing w:before="80" w:after="80"/>
              <w:jc w:val="center"/>
              <w:rPr>
                <w:rFonts w:cstheme="minorHAnsi"/>
              </w:rPr>
            </w:pPr>
            <w:r>
              <w:rPr>
                <w:rFonts w:cstheme="minorHAnsi"/>
              </w:rPr>
              <w:t>96.5</w:t>
            </w:r>
          </w:p>
        </w:tc>
        <w:tc>
          <w:tcPr>
            <w:tcW w:w="468" w:type="pct"/>
            <w:vAlign w:val="center"/>
          </w:tcPr>
          <w:p w14:paraId="70C4D819" w14:textId="77777777" w:rsidR="00AC6AC7" w:rsidRDefault="00AC6AC7" w:rsidP="00E83069">
            <w:pPr>
              <w:spacing w:before="80" w:after="80"/>
              <w:jc w:val="center"/>
              <w:rPr>
                <w:rFonts w:cstheme="minorHAnsi"/>
              </w:rPr>
            </w:pPr>
            <w:r>
              <w:rPr>
                <w:rFonts w:cstheme="minorHAnsi"/>
              </w:rPr>
              <w:t>95.6</w:t>
            </w:r>
          </w:p>
        </w:tc>
        <w:tc>
          <w:tcPr>
            <w:tcW w:w="395" w:type="pct"/>
            <w:vAlign w:val="center"/>
          </w:tcPr>
          <w:p w14:paraId="4AA33A22" w14:textId="77777777" w:rsidR="00AC6AC7" w:rsidRDefault="00AC6AC7" w:rsidP="00E83069">
            <w:pPr>
              <w:spacing w:before="80" w:after="80"/>
              <w:jc w:val="center"/>
              <w:rPr>
                <w:rFonts w:cstheme="minorHAnsi"/>
              </w:rPr>
            </w:pPr>
            <w:r>
              <w:rPr>
                <w:rFonts w:cstheme="minorHAnsi"/>
              </w:rPr>
              <w:t>96.2</w:t>
            </w:r>
          </w:p>
        </w:tc>
      </w:tr>
      <w:tr w:rsidR="00AC6AC7" w14:paraId="74A043E2" w14:textId="77777777" w:rsidTr="008964BF">
        <w:tc>
          <w:tcPr>
            <w:tcW w:w="1551" w:type="pct"/>
            <w:shd w:val="clear" w:color="auto" w:fill="D9D9D9" w:themeFill="background1" w:themeFillShade="D9"/>
          </w:tcPr>
          <w:p w14:paraId="7AB971E7" w14:textId="77777777" w:rsidR="00AC6AC7" w:rsidRPr="007F7A52" w:rsidRDefault="00AC6AC7" w:rsidP="00E83069">
            <w:pPr>
              <w:spacing w:before="80" w:after="80"/>
              <w:rPr>
                <w:rFonts w:cstheme="minorHAnsi"/>
                <w:b/>
              </w:rPr>
            </w:pPr>
            <w:r>
              <w:rPr>
                <w:rFonts w:cstheme="minorHAnsi"/>
                <w:b/>
              </w:rPr>
              <w:t>Grade 10 Mathematics</w:t>
            </w:r>
          </w:p>
        </w:tc>
        <w:tc>
          <w:tcPr>
            <w:tcW w:w="468" w:type="pct"/>
            <w:vAlign w:val="center"/>
          </w:tcPr>
          <w:p w14:paraId="3753A99F" w14:textId="77777777" w:rsidR="00AC6AC7" w:rsidRDefault="00AC6AC7" w:rsidP="00E83069">
            <w:pPr>
              <w:spacing w:before="80" w:after="80"/>
              <w:jc w:val="center"/>
              <w:rPr>
                <w:rFonts w:cstheme="minorHAnsi"/>
              </w:rPr>
            </w:pPr>
            <w:r>
              <w:rPr>
                <w:rFonts w:cstheme="minorHAnsi"/>
              </w:rPr>
              <w:t xml:space="preserve">80.7 </w:t>
            </w:r>
          </w:p>
        </w:tc>
        <w:tc>
          <w:tcPr>
            <w:tcW w:w="394" w:type="pct"/>
            <w:vAlign w:val="center"/>
          </w:tcPr>
          <w:p w14:paraId="1F9F1899" w14:textId="245BD8C8" w:rsidR="00AC6AC7" w:rsidRDefault="00AC6AC7" w:rsidP="00E83069">
            <w:pPr>
              <w:spacing w:before="80" w:after="80"/>
              <w:jc w:val="center"/>
              <w:rPr>
                <w:rFonts w:cstheme="minorHAnsi"/>
              </w:rPr>
            </w:pPr>
            <w:r>
              <w:rPr>
                <w:rFonts w:cstheme="minorHAnsi"/>
              </w:rPr>
              <w:t xml:space="preserve"> 89.9</w:t>
            </w:r>
          </w:p>
        </w:tc>
        <w:tc>
          <w:tcPr>
            <w:tcW w:w="468" w:type="pct"/>
            <w:vAlign w:val="center"/>
          </w:tcPr>
          <w:p w14:paraId="357F6546" w14:textId="77777777" w:rsidR="00AC6AC7" w:rsidRDefault="00AC6AC7" w:rsidP="00E83069">
            <w:pPr>
              <w:spacing w:before="80" w:after="80"/>
              <w:jc w:val="center"/>
              <w:rPr>
                <w:rFonts w:cstheme="minorHAnsi"/>
              </w:rPr>
            </w:pPr>
            <w:r>
              <w:rPr>
                <w:rFonts w:cstheme="minorHAnsi"/>
              </w:rPr>
              <w:t xml:space="preserve"> 80.6</w:t>
            </w:r>
          </w:p>
        </w:tc>
        <w:tc>
          <w:tcPr>
            <w:tcW w:w="394" w:type="pct"/>
            <w:vAlign w:val="center"/>
          </w:tcPr>
          <w:p w14:paraId="735CF10A" w14:textId="77777777" w:rsidR="00AC6AC7" w:rsidRDefault="00AC6AC7" w:rsidP="00E83069">
            <w:pPr>
              <w:spacing w:before="80" w:after="80"/>
              <w:jc w:val="center"/>
              <w:rPr>
                <w:rFonts w:cstheme="minorHAnsi"/>
              </w:rPr>
            </w:pPr>
            <w:r>
              <w:rPr>
                <w:rFonts w:cstheme="minorHAnsi"/>
              </w:rPr>
              <w:t xml:space="preserve">89.7 </w:t>
            </w:r>
          </w:p>
        </w:tc>
        <w:tc>
          <w:tcPr>
            <w:tcW w:w="468" w:type="pct"/>
            <w:vAlign w:val="center"/>
          </w:tcPr>
          <w:p w14:paraId="4F97F8D4" w14:textId="77777777" w:rsidR="00AC6AC7" w:rsidRDefault="00AC6AC7" w:rsidP="00E83069">
            <w:pPr>
              <w:spacing w:before="80" w:after="80"/>
              <w:jc w:val="center"/>
              <w:rPr>
                <w:rFonts w:cstheme="minorHAnsi"/>
              </w:rPr>
            </w:pPr>
            <w:r>
              <w:rPr>
                <w:rFonts w:cstheme="minorHAnsi"/>
              </w:rPr>
              <w:t xml:space="preserve">81.8 </w:t>
            </w:r>
          </w:p>
        </w:tc>
        <w:tc>
          <w:tcPr>
            <w:tcW w:w="394" w:type="pct"/>
            <w:vAlign w:val="center"/>
          </w:tcPr>
          <w:p w14:paraId="1431C1F2" w14:textId="77777777" w:rsidR="00AC6AC7" w:rsidRDefault="00AC6AC7" w:rsidP="00E83069">
            <w:pPr>
              <w:spacing w:before="80" w:after="80"/>
              <w:jc w:val="center"/>
              <w:rPr>
                <w:rFonts w:cstheme="minorHAnsi"/>
              </w:rPr>
            </w:pPr>
            <w:r>
              <w:rPr>
                <w:rFonts w:cstheme="minorHAnsi"/>
              </w:rPr>
              <w:t xml:space="preserve">89.9 </w:t>
            </w:r>
          </w:p>
        </w:tc>
        <w:tc>
          <w:tcPr>
            <w:tcW w:w="468" w:type="pct"/>
            <w:vAlign w:val="center"/>
          </w:tcPr>
          <w:p w14:paraId="53EA2E17" w14:textId="77777777" w:rsidR="00AC6AC7" w:rsidRDefault="00AC6AC7" w:rsidP="00E83069">
            <w:pPr>
              <w:spacing w:before="80" w:after="80"/>
              <w:jc w:val="center"/>
              <w:rPr>
                <w:rFonts w:cstheme="minorHAnsi"/>
              </w:rPr>
            </w:pPr>
            <w:r>
              <w:rPr>
                <w:rFonts w:cstheme="minorHAnsi"/>
              </w:rPr>
              <w:t xml:space="preserve"> 77.6</w:t>
            </w:r>
          </w:p>
        </w:tc>
        <w:tc>
          <w:tcPr>
            <w:tcW w:w="395" w:type="pct"/>
            <w:vAlign w:val="center"/>
          </w:tcPr>
          <w:p w14:paraId="59F705A4" w14:textId="77777777" w:rsidR="00AC6AC7" w:rsidRDefault="00AC6AC7" w:rsidP="00E83069">
            <w:pPr>
              <w:spacing w:before="80" w:after="80"/>
              <w:jc w:val="center"/>
              <w:rPr>
                <w:rFonts w:cstheme="minorHAnsi"/>
              </w:rPr>
            </w:pPr>
            <w:r>
              <w:rPr>
                <w:rFonts w:cstheme="minorHAnsi"/>
              </w:rPr>
              <w:t xml:space="preserve"> 89.5</w:t>
            </w:r>
          </w:p>
        </w:tc>
      </w:tr>
      <w:tr w:rsidR="00AC6AC7" w14:paraId="2025BCF9" w14:textId="77777777" w:rsidTr="008964BF">
        <w:tc>
          <w:tcPr>
            <w:tcW w:w="1551" w:type="pct"/>
            <w:shd w:val="clear" w:color="auto" w:fill="D9D9D9" w:themeFill="background1" w:themeFillShade="D9"/>
          </w:tcPr>
          <w:p w14:paraId="4359371A" w14:textId="77777777" w:rsidR="00AC6AC7" w:rsidRPr="007F7A52" w:rsidRDefault="00AC6AC7" w:rsidP="00E83069">
            <w:pPr>
              <w:spacing w:before="80" w:after="80"/>
              <w:rPr>
                <w:rFonts w:cstheme="minorHAnsi"/>
                <w:b/>
              </w:rPr>
            </w:pPr>
            <w:r>
              <w:rPr>
                <w:rFonts w:cstheme="minorHAnsi"/>
                <w:b/>
              </w:rPr>
              <w:t>Grade 10 Science</w:t>
            </w:r>
          </w:p>
        </w:tc>
        <w:tc>
          <w:tcPr>
            <w:tcW w:w="468" w:type="pct"/>
            <w:vAlign w:val="center"/>
          </w:tcPr>
          <w:p w14:paraId="50A3BFFA" w14:textId="77777777" w:rsidR="00AC6AC7" w:rsidRDefault="00AC6AC7" w:rsidP="00E83069">
            <w:pPr>
              <w:spacing w:before="80" w:after="80"/>
              <w:jc w:val="center"/>
              <w:rPr>
                <w:rFonts w:cstheme="minorHAnsi"/>
              </w:rPr>
            </w:pPr>
            <w:r>
              <w:rPr>
                <w:rFonts w:cstheme="minorHAnsi"/>
              </w:rPr>
              <w:t xml:space="preserve"> -</w:t>
            </w:r>
          </w:p>
        </w:tc>
        <w:tc>
          <w:tcPr>
            <w:tcW w:w="394" w:type="pct"/>
            <w:vAlign w:val="center"/>
          </w:tcPr>
          <w:p w14:paraId="3508CA5D" w14:textId="77777777" w:rsidR="00AC6AC7" w:rsidRDefault="00AC6AC7" w:rsidP="00E83069">
            <w:pPr>
              <w:spacing w:before="80" w:after="80"/>
              <w:jc w:val="center"/>
              <w:rPr>
                <w:rFonts w:cstheme="minorHAnsi"/>
              </w:rPr>
            </w:pPr>
            <w:r>
              <w:rPr>
                <w:rFonts w:cstheme="minorHAnsi"/>
              </w:rPr>
              <w:t xml:space="preserve"> 88.2</w:t>
            </w:r>
          </w:p>
        </w:tc>
        <w:tc>
          <w:tcPr>
            <w:tcW w:w="468" w:type="pct"/>
            <w:vAlign w:val="center"/>
          </w:tcPr>
          <w:p w14:paraId="2D4824E2" w14:textId="77777777" w:rsidR="00AC6AC7" w:rsidRDefault="00AC6AC7" w:rsidP="00E83069">
            <w:pPr>
              <w:spacing w:before="80" w:after="80"/>
              <w:jc w:val="center"/>
              <w:rPr>
                <w:rFonts w:cstheme="minorHAnsi"/>
              </w:rPr>
            </w:pPr>
            <w:r>
              <w:rPr>
                <w:rFonts w:cstheme="minorHAnsi"/>
              </w:rPr>
              <w:t xml:space="preserve"> 90.0</w:t>
            </w:r>
          </w:p>
        </w:tc>
        <w:tc>
          <w:tcPr>
            <w:tcW w:w="394" w:type="pct"/>
            <w:vAlign w:val="center"/>
          </w:tcPr>
          <w:p w14:paraId="43BBB670" w14:textId="77777777" w:rsidR="00AC6AC7" w:rsidRDefault="00AC6AC7" w:rsidP="00E83069">
            <w:pPr>
              <w:spacing w:before="80" w:after="80"/>
              <w:jc w:val="center"/>
              <w:rPr>
                <w:rFonts w:cstheme="minorHAnsi"/>
              </w:rPr>
            </w:pPr>
            <w:r>
              <w:rPr>
                <w:rFonts w:cstheme="minorHAnsi"/>
              </w:rPr>
              <w:t xml:space="preserve">89.0 </w:t>
            </w:r>
          </w:p>
        </w:tc>
        <w:tc>
          <w:tcPr>
            <w:tcW w:w="468" w:type="pct"/>
            <w:vAlign w:val="center"/>
          </w:tcPr>
          <w:p w14:paraId="1352B358" w14:textId="77777777" w:rsidR="00AC6AC7" w:rsidRDefault="00AC6AC7" w:rsidP="00E83069">
            <w:pPr>
              <w:spacing w:before="80" w:after="80"/>
              <w:jc w:val="center"/>
              <w:rPr>
                <w:rFonts w:cstheme="minorHAnsi"/>
              </w:rPr>
            </w:pPr>
            <w:r>
              <w:rPr>
                <w:rFonts w:cstheme="minorHAnsi"/>
              </w:rPr>
              <w:t xml:space="preserve"> 86.8</w:t>
            </w:r>
          </w:p>
        </w:tc>
        <w:tc>
          <w:tcPr>
            <w:tcW w:w="394" w:type="pct"/>
            <w:vAlign w:val="center"/>
          </w:tcPr>
          <w:p w14:paraId="66B6E379" w14:textId="77777777" w:rsidR="00AC6AC7" w:rsidRDefault="00AC6AC7" w:rsidP="00E83069">
            <w:pPr>
              <w:spacing w:before="80" w:after="80"/>
              <w:jc w:val="center"/>
              <w:rPr>
                <w:rFonts w:cstheme="minorHAnsi"/>
              </w:rPr>
            </w:pPr>
            <w:r>
              <w:rPr>
                <w:rFonts w:cstheme="minorHAnsi"/>
              </w:rPr>
              <w:t xml:space="preserve"> 89.4</w:t>
            </w:r>
          </w:p>
        </w:tc>
        <w:tc>
          <w:tcPr>
            <w:tcW w:w="468" w:type="pct"/>
            <w:vAlign w:val="center"/>
          </w:tcPr>
          <w:p w14:paraId="1141951E" w14:textId="77777777" w:rsidR="00AC6AC7" w:rsidRDefault="00AC6AC7" w:rsidP="00E83069">
            <w:pPr>
              <w:spacing w:before="80" w:after="80"/>
              <w:jc w:val="center"/>
              <w:rPr>
                <w:rFonts w:cstheme="minorHAnsi"/>
              </w:rPr>
            </w:pPr>
            <w:r>
              <w:rPr>
                <w:rFonts w:cstheme="minorHAnsi"/>
              </w:rPr>
              <w:t xml:space="preserve"> 60.5</w:t>
            </w:r>
          </w:p>
        </w:tc>
        <w:tc>
          <w:tcPr>
            <w:tcW w:w="395" w:type="pct"/>
            <w:vAlign w:val="center"/>
          </w:tcPr>
          <w:p w14:paraId="1C02528D" w14:textId="77777777" w:rsidR="00AC6AC7" w:rsidRDefault="00AC6AC7" w:rsidP="00E83069">
            <w:pPr>
              <w:spacing w:before="80" w:after="80"/>
              <w:jc w:val="center"/>
              <w:rPr>
                <w:rFonts w:cstheme="minorHAnsi"/>
              </w:rPr>
            </w:pPr>
            <w:r>
              <w:rPr>
                <w:rFonts w:cstheme="minorHAnsi"/>
              </w:rPr>
              <w:t xml:space="preserve">89.3 </w:t>
            </w:r>
          </w:p>
        </w:tc>
      </w:tr>
    </w:tbl>
    <w:p w14:paraId="3A95C285" w14:textId="77777777" w:rsidR="00AC6AC7" w:rsidRDefault="00AC6AC7" w:rsidP="004D08F2">
      <w:pPr>
        <w:pStyle w:val="NormalWeb"/>
        <w:widowControl/>
        <w:ind w:left="720"/>
      </w:pPr>
    </w:p>
    <w:p w14:paraId="4AD19184" w14:textId="776288B9" w:rsidR="0031047A" w:rsidRDefault="00017B9E" w:rsidP="004D08F2">
      <w:pPr>
        <w:pStyle w:val="NormalWeb"/>
        <w:widowControl/>
        <w:ind w:left="720"/>
      </w:pPr>
      <w:r w:rsidRPr="002A10A3">
        <w:t>Greenfield Commonwealth Virtual School</w:t>
      </w:r>
      <w:r w:rsidR="00E83069">
        <w:t xml:space="preserve"> has demonstrated low to moderate median student growth percentiles </w:t>
      </w:r>
      <w:r w:rsidR="00DE3F5A">
        <w:t xml:space="preserve">(SGP) </w:t>
      </w:r>
      <w:r w:rsidR="00E83069">
        <w:t xml:space="preserve">during the past two assessment cycles. </w:t>
      </w:r>
    </w:p>
    <w:p w14:paraId="27422739" w14:textId="77777777" w:rsidR="0031047A" w:rsidRDefault="0031047A" w:rsidP="004D08F2">
      <w:pPr>
        <w:pStyle w:val="NormalWeb"/>
        <w:widowControl/>
        <w:ind w:left="720"/>
      </w:pPr>
    </w:p>
    <w:tbl>
      <w:tblPr>
        <w:tblStyle w:val="TableGrid3"/>
        <w:tblW w:w="5000" w:type="pct"/>
        <w:tblLook w:val="04A0" w:firstRow="1" w:lastRow="0" w:firstColumn="1" w:lastColumn="0" w:noHBand="0" w:noVBand="1"/>
        <w:tblCaption w:val="Economically Disadvantaged (Percent Enrolled)"/>
      </w:tblPr>
      <w:tblGrid>
        <w:gridCol w:w="3968"/>
        <w:gridCol w:w="1045"/>
        <w:gridCol w:w="1045"/>
        <w:gridCol w:w="1618"/>
        <w:gridCol w:w="1674"/>
      </w:tblGrid>
      <w:tr w:rsidR="0031047A" w:rsidRPr="00381F3C" w14:paraId="3AB0FD68" w14:textId="77777777" w:rsidTr="00E83069">
        <w:trPr>
          <w:tblHeader/>
        </w:trPr>
        <w:tc>
          <w:tcPr>
            <w:tcW w:w="5000" w:type="pct"/>
            <w:gridSpan w:val="5"/>
            <w:shd w:val="clear" w:color="auto" w:fill="BFBFBF" w:themeFill="background1" w:themeFillShade="BF"/>
          </w:tcPr>
          <w:p w14:paraId="241E5509" w14:textId="77777777" w:rsidR="0031047A" w:rsidRPr="00381F3C" w:rsidRDefault="0031047A" w:rsidP="00E83069">
            <w:pPr>
              <w:spacing w:before="80" w:after="80"/>
              <w:rPr>
                <w:rFonts w:ascii="Times New Roman" w:hAnsi="Times New Roman" w:cs="Times New Roman"/>
                <w:b/>
                <w:szCs w:val="24"/>
              </w:rPr>
            </w:pPr>
            <w:r w:rsidRPr="00381F3C">
              <w:rPr>
                <w:rFonts w:ascii="Times New Roman" w:hAnsi="Times New Roman" w:cs="Times New Roman"/>
                <w:b/>
                <w:szCs w:val="24"/>
              </w:rPr>
              <w:t>Student Growth Percentile</w:t>
            </w:r>
          </w:p>
        </w:tc>
      </w:tr>
      <w:tr w:rsidR="0031047A" w:rsidRPr="00381F3C" w14:paraId="231E14C1" w14:textId="77777777" w:rsidTr="00E83069">
        <w:trPr>
          <w:tblHeader/>
        </w:trPr>
        <w:tc>
          <w:tcPr>
            <w:tcW w:w="2122" w:type="pct"/>
            <w:vMerge w:val="restart"/>
            <w:shd w:val="clear" w:color="auto" w:fill="D9D9D9" w:themeFill="background1" w:themeFillShade="D9"/>
            <w:vAlign w:val="bottom"/>
          </w:tcPr>
          <w:p w14:paraId="32F64F08" w14:textId="77777777" w:rsidR="0031047A" w:rsidRPr="00381F3C" w:rsidRDefault="0031047A" w:rsidP="00E83069">
            <w:pPr>
              <w:spacing w:before="80" w:after="80"/>
              <w:rPr>
                <w:rFonts w:ascii="Times New Roman" w:hAnsi="Times New Roman" w:cs="Times New Roman"/>
                <w:b/>
                <w:szCs w:val="24"/>
              </w:rPr>
            </w:pPr>
            <w:r w:rsidRPr="00381F3C">
              <w:rPr>
                <w:rFonts w:ascii="Times New Roman" w:hAnsi="Times New Roman" w:cs="Times New Roman"/>
                <w:b/>
                <w:szCs w:val="24"/>
              </w:rPr>
              <w:t>Grade and Subject</w:t>
            </w:r>
          </w:p>
        </w:tc>
        <w:tc>
          <w:tcPr>
            <w:tcW w:w="1117" w:type="pct"/>
            <w:gridSpan w:val="2"/>
            <w:tcBorders>
              <w:bottom w:val="single" w:sz="4" w:space="0" w:color="auto"/>
            </w:tcBorders>
            <w:shd w:val="clear" w:color="auto" w:fill="D9D9D9" w:themeFill="background1" w:themeFillShade="D9"/>
          </w:tcPr>
          <w:p w14:paraId="2E42ADFD" w14:textId="77777777" w:rsidR="0031047A" w:rsidRPr="00381F3C" w:rsidRDefault="0031047A" w:rsidP="00E83069">
            <w:pPr>
              <w:spacing w:before="80" w:after="80"/>
              <w:jc w:val="center"/>
              <w:rPr>
                <w:rFonts w:ascii="Times New Roman" w:hAnsi="Times New Roman" w:cs="Times New Roman"/>
                <w:b/>
                <w:szCs w:val="24"/>
              </w:rPr>
            </w:pPr>
            <w:r w:rsidRPr="00381F3C">
              <w:rPr>
                <w:rFonts w:ascii="Times New Roman" w:hAnsi="Times New Roman" w:cs="Times New Roman"/>
                <w:b/>
                <w:szCs w:val="24"/>
              </w:rPr>
              <w:t>PARCC</w:t>
            </w:r>
          </w:p>
        </w:tc>
        <w:tc>
          <w:tcPr>
            <w:tcW w:w="1761" w:type="pct"/>
            <w:gridSpan w:val="2"/>
            <w:tcBorders>
              <w:bottom w:val="single" w:sz="4" w:space="0" w:color="auto"/>
            </w:tcBorders>
            <w:shd w:val="clear" w:color="auto" w:fill="D9D9D9" w:themeFill="background1" w:themeFillShade="D9"/>
          </w:tcPr>
          <w:p w14:paraId="4F1992B5" w14:textId="77777777" w:rsidR="0031047A" w:rsidRPr="00381F3C" w:rsidRDefault="0031047A" w:rsidP="00E83069">
            <w:pPr>
              <w:spacing w:before="80" w:after="80"/>
              <w:jc w:val="center"/>
              <w:rPr>
                <w:rFonts w:ascii="Times New Roman" w:hAnsi="Times New Roman" w:cs="Times New Roman"/>
                <w:b/>
                <w:szCs w:val="24"/>
              </w:rPr>
            </w:pPr>
            <w:r w:rsidRPr="00381F3C">
              <w:rPr>
                <w:rFonts w:ascii="Times New Roman" w:hAnsi="Times New Roman" w:cs="Times New Roman"/>
                <w:b/>
                <w:szCs w:val="24"/>
              </w:rPr>
              <w:t>Next-Generation MCAS</w:t>
            </w:r>
          </w:p>
        </w:tc>
      </w:tr>
      <w:tr w:rsidR="0031047A" w:rsidRPr="00381F3C" w14:paraId="3792C24D" w14:textId="77777777" w:rsidTr="00E83069">
        <w:trPr>
          <w:tblHeader/>
        </w:trPr>
        <w:tc>
          <w:tcPr>
            <w:tcW w:w="2122" w:type="pct"/>
            <w:vMerge/>
            <w:shd w:val="clear" w:color="auto" w:fill="D9D9D9" w:themeFill="background1" w:themeFillShade="D9"/>
          </w:tcPr>
          <w:p w14:paraId="540EF246" w14:textId="77777777" w:rsidR="0031047A" w:rsidRPr="00381F3C" w:rsidRDefault="0031047A" w:rsidP="00E83069">
            <w:pPr>
              <w:spacing w:before="80" w:after="80"/>
              <w:rPr>
                <w:rFonts w:ascii="Times New Roman" w:hAnsi="Times New Roman" w:cs="Times New Roman"/>
                <w:szCs w:val="24"/>
              </w:rPr>
            </w:pPr>
          </w:p>
        </w:tc>
        <w:tc>
          <w:tcPr>
            <w:tcW w:w="1117" w:type="pct"/>
            <w:gridSpan w:val="2"/>
            <w:tcBorders>
              <w:bottom w:val="single" w:sz="4" w:space="0" w:color="auto"/>
            </w:tcBorders>
            <w:shd w:val="clear" w:color="auto" w:fill="D9D9D9" w:themeFill="background1" w:themeFillShade="D9"/>
          </w:tcPr>
          <w:p w14:paraId="5C71502E" w14:textId="77777777" w:rsidR="0031047A" w:rsidRPr="00381F3C" w:rsidRDefault="0031047A" w:rsidP="00E83069">
            <w:pPr>
              <w:spacing w:before="80" w:after="80"/>
              <w:jc w:val="center"/>
              <w:rPr>
                <w:rFonts w:ascii="Times New Roman" w:hAnsi="Times New Roman" w:cs="Times New Roman"/>
                <w:b/>
                <w:szCs w:val="24"/>
              </w:rPr>
            </w:pPr>
            <w:r w:rsidRPr="00381F3C">
              <w:rPr>
                <w:rFonts w:ascii="Times New Roman" w:hAnsi="Times New Roman" w:cs="Times New Roman"/>
                <w:b/>
                <w:szCs w:val="24"/>
              </w:rPr>
              <w:t>Transitional SGP</w:t>
            </w:r>
          </w:p>
        </w:tc>
        <w:tc>
          <w:tcPr>
            <w:tcW w:w="865" w:type="pct"/>
            <w:tcBorders>
              <w:bottom w:val="single" w:sz="4" w:space="0" w:color="auto"/>
            </w:tcBorders>
            <w:shd w:val="clear" w:color="auto" w:fill="D9D9D9" w:themeFill="background1" w:themeFillShade="D9"/>
          </w:tcPr>
          <w:p w14:paraId="021DCC02" w14:textId="77777777" w:rsidR="0031047A" w:rsidRPr="00381F3C" w:rsidRDefault="0031047A" w:rsidP="00E83069">
            <w:pPr>
              <w:spacing w:before="80" w:after="80"/>
              <w:jc w:val="center"/>
              <w:rPr>
                <w:rFonts w:ascii="Times New Roman" w:hAnsi="Times New Roman" w:cs="Times New Roman"/>
                <w:b/>
                <w:szCs w:val="24"/>
              </w:rPr>
            </w:pPr>
            <w:r w:rsidRPr="00381F3C">
              <w:rPr>
                <w:rFonts w:ascii="Times New Roman" w:hAnsi="Times New Roman" w:cs="Times New Roman"/>
                <w:b/>
                <w:szCs w:val="24"/>
              </w:rPr>
              <w:t>Median SGP</w:t>
            </w:r>
          </w:p>
        </w:tc>
        <w:tc>
          <w:tcPr>
            <w:tcW w:w="897" w:type="pct"/>
            <w:tcBorders>
              <w:bottom w:val="single" w:sz="4" w:space="0" w:color="auto"/>
            </w:tcBorders>
            <w:shd w:val="clear" w:color="auto" w:fill="D9D9D9" w:themeFill="background1" w:themeFillShade="D9"/>
          </w:tcPr>
          <w:p w14:paraId="4C280D4B" w14:textId="77777777" w:rsidR="0031047A" w:rsidRPr="00381F3C" w:rsidRDefault="0031047A" w:rsidP="00E83069">
            <w:pPr>
              <w:spacing w:before="80" w:after="80"/>
              <w:jc w:val="center"/>
              <w:rPr>
                <w:rFonts w:ascii="Times New Roman" w:hAnsi="Times New Roman" w:cs="Times New Roman"/>
                <w:b/>
                <w:szCs w:val="24"/>
              </w:rPr>
            </w:pPr>
            <w:r w:rsidRPr="00381F3C">
              <w:rPr>
                <w:rFonts w:ascii="Times New Roman" w:hAnsi="Times New Roman" w:cs="Times New Roman"/>
                <w:b/>
                <w:szCs w:val="24"/>
              </w:rPr>
              <w:t>Average SGP</w:t>
            </w:r>
          </w:p>
        </w:tc>
      </w:tr>
      <w:tr w:rsidR="0031047A" w:rsidRPr="00381F3C" w14:paraId="61615A40" w14:textId="77777777" w:rsidTr="00E83069">
        <w:trPr>
          <w:tblHeader/>
        </w:trPr>
        <w:tc>
          <w:tcPr>
            <w:tcW w:w="2122" w:type="pct"/>
            <w:vMerge/>
            <w:shd w:val="clear" w:color="auto" w:fill="D9D9D9" w:themeFill="background1" w:themeFillShade="D9"/>
          </w:tcPr>
          <w:p w14:paraId="1434DC77" w14:textId="77777777" w:rsidR="0031047A" w:rsidRPr="00381F3C" w:rsidRDefault="0031047A" w:rsidP="00E83069">
            <w:pPr>
              <w:spacing w:before="80" w:after="80"/>
              <w:rPr>
                <w:rFonts w:ascii="Times New Roman" w:hAnsi="Times New Roman" w:cs="Times New Roman"/>
                <w:szCs w:val="24"/>
              </w:rPr>
            </w:pPr>
          </w:p>
        </w:tc>
        <w:tc>
          <w:tcPr>
            <w:tcW w:w="559" w:type="pct"/>
            <w:tcBorders>
              <w:bottom w:val="single" w:sz="4" w:space="0" w:color="auto"/>
            </w:tcBorders>
            <w:shd w:val="clear" w:color="auto" w:fill="D9D9D9" w:themeFill="background1" w:themeFillShade="D9"/>
          </w:tcPr>
          <w:p w14:paraId="4AFA8890" w14:textId="77777777" w:rsidR="0031047A" w:rsidRPr="00381F3C" w:rsidRDefault="0031047A" w:rsidP="00E83069">
            <w:pPr>
              <w:spacing w:before="80" w:after="80"/>
              <w:jc w:val="center"/>
              <w:rPr>
                <w:rFonts w:ascii="Times New Roman" w:hAnsi="Times New Roman" w:cs="Times New Roman"/>
                <w:b/>
                <w:szCs w:val="24"/>
              </w:rPr>
            </w:pPr>
            <w:r w:rsidRPr="00381F3C">
              <w:rPr>
                <w:rFonts w:ascii="Times New Roman" w:hAnsi="Times New Roman" w:cs="Times New Roman"/>
                <w:b/>
                <w:szCs w:val="24"/>
              </w:rPr>
              <w:t>2015</w:t>
            </w:r>
          </w:p>
        </w:tc>
        <w:tc>
          <w:tcPr>
            <w:tcW w:w="559" w:type="pct"/>
            <w:tcBorders>
              <w:bottom w:val="single" w:sz="4" w:space="0" w:color="auto"/>
            </w:tcBorders>
            <w:shd w:val="clear" w:color="auto" w:fill="D9D9D9" w:themeFill="background1" w:themeFillShade="D9"/>
          </w:tcPr>
          <w:p w14:paraId="0855D328" w14:textId="77777777" w:rsidR="0031047A" w:rsidRPr="00381F3C" w:rsidRDefault="0031047A" w:rsidP="00E83069">
            <w:pPr>
              <w:spacing w:before="80" w:after="80"/>
              <w:jc w:val="center"/>
              <w:rPr>
                <w:rFonts w:ascii="Times New Roman" w:hAnsi="Times New Roman" w:cs="Times New Roman"/>
                <w:b/>
                <w:szCs w:val="24"/>
              </w:rPr>
            </w:pPr>
            <w:r w:rsidRPr="00381F3C">
              <w:rPr>
                <w:rFonts w:ascii="Times New Roman" w:hAnsi="Times New Roman" w:cs="Times New Roman"/>
                <w:b/>
                <w:szCs w:val="24"/>
              </w:rPr>
              <w:t>2016</w:t>
            </w:r>
          </w:p>
        </w:tc>
        <w:tc>
          <w:tcPr>
            <w:tcW w:w="865" w:type="pct"/>
            <w:tcBorders>
              <w:bottom w:val="single" w:sz="4" w:space="0" w:color="auto"/>
            </w:tcBorders>
            <w:shd w:val="clear" w:color="auto" w:fill="D9D9D9" w:themeFill="background1" w:themeFillShade="D9"/>
          </w:tcPr>
          <w:p w14:paraId="5F926D03" w14:textId="77777777" w:rsidR="0031047A" w:rsidRPr="00381F3C" w:rsidRDefault="0031047A" w:rsidP="00E83069">
            <w:pPr>
              <w:spacing w:before="80" w:after="80"/>
              <w:jc w:val="center"/>
              <w:rPr>
                <w:rFonts w:ascii="Times New Roman" w:hAnsi="Times New Roman" w:cs="Times New Roman"/>
                <w:b/>
                <w:szCs w:val="24"/>
              </w:rPr>
            </w:pPr>
            <w:r w:rsidRPr="00381F3C">
              <w:rPr>
                <w:rFonts w:ascii="Times New Roman" w:hAnsi="Times New Roman" w:cs="Times New Roman"/>
                <w:b/>
                <w:szCs w:val="24"/>
              </w:rPr>
              <w:t>2017</w:t>
            </w:r>
          </w:p>
        </w:tc>
        <w:tc>
          <w:tcPr>
            <w:tcW w:w="897" w:type="pct"/>
            <w:tcBorders>
              <w:bottom w:val="single" w:sz="4" w:space="0" w:color="auto"/>
            </w:tcBorders>
            <w:shd w:val="clear" w:color="auto" w:fill="D9D9D9" w:themeFill="background1" w:themeFillShade="D9"/>
          </w:tcPr>
          <w:p w14:paraId="0F6CF0DF" w14:textId="77777777" w:rsidR="0031047A" w:rsidRPr="00381F3C" w:rsidRDefault="0031047A" w:rsidP="00E83069">
            <w:pPr>
              <w:spacing w:before="80" w:after="80"/>
              <w:jc w:val="center"/>
              <w:rPr>
                <w:rFonts w:ascii="Times New Roman" w:hAnsi="Times New Roman" w:cs="Times New Roman"/>
                <w:b/>
                <w:szCs w:val="24"/>
              </w:rPr>
            </w:pPr>
            <w:r w:rsidRPr="00381F3C">
              <w:rPr>
                <w:rFonts w:ascii="Times New Roman" w:hAnsi="Times New Roman" w:cs="Times New Roman"/>
                <w:b/>
                <w:szCs w:val="24"/>
              </w:rPr>
              <w:t>2018</w:t>
            </w:r>
          </w:p>
        </w:tc>
      </w:tr>
      <w:tr w:rsidR="0031047A" w:rsidRPr="00381F3C" w14:paraId="235CBB1C" w14:textId="77777777" w:rsidTr="00E83069">
        <w:trPr>
          <w:tblHeader/>
        </w:trPr>
        <w:tc>
          <w:tcPr>
            <w:tcW w:w="2122" w:type="pct"/>
            <w:shd w:val="clear" w:color="auto" w:fill="D9D9D9" w:themeFill="background1" w:themeFillShade="D9"/>
          </w:tcPr>
          <w:p w14:paraId="6ED02EC6" w14:textId="77777777" w:rsidR="0031047A" w:rsidRPr="00381F3C" w:rsidRDefault="0031047A" w:rsidP="00E83069">
            <w:pPr>
              <w:spacing w:before="80" w:after="80"/>
              <w:rPr>
                <w:rFonts w:ascii="Times New Roman" w:hAnsi="Times New Roman" w:cs="Times New Roman"/>
                <w:b/>
                <w:szCs w:val="24"/>
              </w:rPr>
            </w:pPr>
            <w:r w:rsidRPr="00381F3C">
              <w:rPr>
                <w:rFonts w:ascii="Times New Roman" w:hAnsi="Times New Roman" w:cs="Times New Roman"/>
                <w:b/>
                <w:szCs w:val="24"/>
              </w:rPr>
              <w:t>Grades 3-8 English Language Arts</w:t>
            </w:r>
          </w:p>
        </w:tc>
        <w:tc>
          <w:tcPr>
            <w:tcW w:w="559" w:type="pct"/>
            <w:shd w:val="clear" w:color="auto" w:fill="auto"/>
            <w:vAlign w:val="center"/>
          </w:tcPr>
          <w:p w14:paraId="439F66DA" w14:textId="77777777" w:rsidR="0031047A" w:rsidRPr="00381F3C" w:rsidRDefault="0031047A" w:rsidP="00E83069">
            <w:pPr>
              <w:spacing w:before="80" w:after="80"/>
              <w:jc w:val="center"/>
              <w:rPr>
                <w:rFonts w:ascii="Times New Roman" w:hAnsi="Times New Roman" w:cs="Times New Roman"/>
                <w:szCs w:val="24"/>
              </w:rPr>
            </w:pPr>
            <w:r w:rsidRPr="00381F3C">
              <w:rPr>
                <w:rFonts w:ascii="Times New Roman" w:hAnsi="Times New Roman" w:cs="Times New Roman"/>
              </w:rPr>
              <w:t xml:space="preserve">40.0 </w:t>
            </w:r>
          </w:p>
        </w:tc>
        <w:tc>
          <w:tcPr>
            <w:tcW w:w="559" w:type="pct"/>
            <w:shd w:val="clear" w:color="auto" w:fill="auto"/>
            <w:vAlign w:val="center"/>
          </w:tcPr>
          <w:p w14:paraId="55399C06" w14:textId="77777777" w:rsidR="0031047A" w:rsidRPr="00381F3C" w:rsidRDefault="0031047A" w:rsidP="00E83069">
            <w:pPr>
              <w:spacing w:before="80" w:after="80"/>
              <w:jc w:val="center"/>
              <w:rPr>
                <w:rFonts w:ascii="Times New Roman" w:hAnsi="Times New Roman" w:cs="Times New Roman"/>
                <w:szCs w:val="24"/>
              </w:rPr>
            </w:pPr>
            <w:r w:rsidRPr="00381F3C">
              <w:rPr>
                <w:rFonts w:ascii="Times New Roman" w:hAnsi="Times New Roman" w:cs="Times New Roman"/>
              </w:rPr>
              <w:t>41.5</w:t>
            </w:r>
          </w:p>
        </w:tc>
        <w:tc>
          <w:tcPr>
            <w:tcW w:w="865" w:type="pct"/>
            <w:shd w:val="clear" w:color="auto" w:fill="auto"/>
            <w:vAlign w:val="center"/>
          </w:tcPr>
          <w:p w14:paraId="1E23826D" w14:textId="77777777" w:rsidR="0031047A" w:rsidRPr="00381F3C" w:rsidRDefault="0031047A" w:rsidP="00E83069">
            <w:pPr>
              <w:spacing w:before="80" w:after="80"/>
              <w:jc w:val="center"/>
              <w:rPr>
                <w:rFonts w:ascii="Times New Roman" w:hAnsi="Times New Roman" w:cs="Times New Roman"/>
                <w:szCs w:val="24"/>
              </w:rPr>
            </w:pPr>
            <w:r w:rsidRPr="00381F3C">
              <w:rPr>
                <w:rFonts w:ascii="Times New Roman" w:hAnsi="Times New Roman" w:cs="Times New Roman"/>
              </w:rPr>
              <w:t xml:space="preserve">37.0 </w:t>
            </w:r>
          </w:p>
        </w:tc>
        <w:tc>
          <w:tcPr>
            <w:tcW w:w="897" w:type="pct"/>
            <w:shd w:val="clear" w:color="auto" w:fill="auto"/>
            <w:vAlign w:val="center"/>
          </w:tcPr>
          <w:p w14:paraId="534F46D2" w14:textId="77777777" w:rsidR="0031047A" w:rsidRPr="00381F3C" w:rsidRDefault="0031047A" w:rsidP="00E83069">
            <w:pPr>
              <w:spacing w:before="80" w:after="80"/>
              <w:jc w:val="center"/>
              <w:rPr>
                <w:rFonts w:ascii="Times New Roman" w:hAnsi="Times New Roman" w:cs="Times New Roman"/>
                <w:szCs w:val="24"/>
              </w:rPr>
            </w:pPr>
            <w:r w:rsidRPr="00381F3C">
              <w:rPr>
                <w:rFonts w:ascii="Times New Roman" w:hAnsi="Times New Roman" w:cs="Times New Roman"/>
              </w:rPr>
              <w:t xml:space="preserve"> 43.2</w:t>
            </w:r>
          </w:p>
        </w:tc>
      </w:tr>
      <w:tr w:rsidR="0031047A" w:rsidRPr="00381F3C" w14:paraId="62B3511E" w14:textId="77777777" w:rsidTr="00E83069">
        <w:trPr>
          <w:tblHeader/>
        </w:trPr>
        <w:tc>
          <w:tcPr>
            <w:tcW w:w="2122" w:type="pct"/>
            <w:shd w:val="clear" w:color="auto" w:fill="D9D9D9" w:themeFill="background1" w:themeFillShade="D9"/>
          </w:tcPr>
          <w:p w14:paraId="3782EC53" w14:textId="77777777" w:rsidR="0031047A" w:rsidRPr="00381F3C" w:rsidRDefault="0031047A" w:rsidP="00E83069">
            <w:pPr>
              <w:spacing w:before="80" w:after="80"/>
              <w:rPr>
                <w:rFonts w:ascii="Times New Roman" w:hAnsi="Times New Roman" w:cs="Times New Roman"/>
                <w:b/>
                <w:szCs w:val="24"/>
              </w:rPr>
            </w:pPr>
            <w:r w:rsidRPr="00381F3C">
              <w:rPr>
                <w:rFonts w:ascii="Times New Roman" w:hAnsi="Times New Roman" w:cs="Times New Roman"/>
                <w:b/>
                <w:szCs w:val="24"/>
              </w:rPr>
              <w:t>Grades 3-8 Mathematics</w:t>
            </w:r>
          </w:p>
        </w:tc>
        <w:tc>
          <w:tcPr>
            <w:tcW w:w="559" w:type="pct"/>
            <w:vAlign w:val="center"/>
          </w:tcPr>
          <w:p w14:paraId="34B10D1C" w14:textId="77777777" w:rsidR="0031047A" w:rsidRPr="00381F3C" w:rsidRDefault="0031047A" w:rsidP="00E83069">
            <w:pPr>
              <w:spacing w:before="80" w:after="80"/>
              <w:jc w:val="center"/>
              <w:rPr>
                <w:rFonts w:ascii="Times New Roman" w:hAnsi="Times New Roman" w:cs="Times New Roman"/>
                <w:szCs w:val="24"/>
              </w:rPr>
            </w:pPr>
            <w:r w:rsidRPr="00381F3C">
              <w:rPr>
                <w:rFonts w:ascii="Times New Roman" w:hAnsi="Times New Roman" w:cs="Times New Roman"/>
              </w:rPr>
              <w:t xml:space="preserve">45.0 </w:t>
            </w:r>
          </w:p>
        </w:tc>
        <w:tc>
          <w:tcPr>
            <w:tcW w:w="559" w:type="pct"/>
            <w:vAlign w:val="center"/>
          </w:tcPr>
          <w:p w14:paraId="0750C6AA" w14:textId="77777777" w:rsidR="0031047A" w:rsidRPr="00381F3C" w:rsidRDefault="0031047A" w:rsidP="00E83069">
            <w:pPr>
              <w:spacing w:before="80" w:after="80"/>
              <w:jc w:val="center"/>
              <w:rPr>
                <w:rFonts w:ascii="Times New Roman" w:hAnsi="Times New Roman" w:cs="Times New Roman"/>
                <w:szCs w:val="24"/>
              </w:rPr>
            </w:pPr>
            <w:r w:rsidRPr="00381F3C">
              <w:rPr>
                <w:rFonts w:ascii="Times New Roman" w:hAnsi="Times New Roman" w:cs="Times New Roman"/>
              </w:rPr>
              <w:t>35.0</w:t>
            </w:r>
          </w:p>
        </w:tc>
        <w:tc>
          <w:tcPr>
            <w:tcW w:w="865" w:type="pct"/>
            <w:vAlign w:val="center"/>
          </w:tcPr>
          <w:p w14:paraId="40E212EB" w14:textId="77777777" w:rsidR="0031047A" w:rsidRPr="00381F3C" w:rsidRDefault="0031047A" w:rsidP="00E83069">
            <w:pPr>
              <w:spacing w:before="80" w:after="80"/>
              <w:jc w:val="center"/>
              <w:rPr>
                <w:rFonts w:ascii="Times New Roman" w:hAnsi="Times New Roman" w:cs="Times New Roman"/>
                <w:szCs w:val="24"/>
              </w:rPr>
            </w:pPr>
            <w:r w:rsidRPr="00381F3C">
              <w:rPr>
                <w:rFonts w:ascii="Times New Roman" w:hAnsi="Times New Roman" w:cs="Times New Roman"/>
              </w:rPr>
              <w:t xml:space="preserve">31.5 </w:t>
            </w:r>
          </w:p>
        </w:tc>
        <w:tc>
          <w:tcPr>
            <w:tcW w:w="897" w:type="pct"/>
            <w:vAlign w:val="center"/>
          </w:tcPr>
          <w:p w14:paraId="3BFC8CD3" w14:textId="77777777" w:rsidR="0031047A" w:rsidRPr="00381F3C" w:rsidRDefault="0031047A" w:rsidP="00E83069">
            <w:pPr>
              <w:spacing w:before="80" w:after="80"/>
              <w:jc w:val="center"/>
              <w:rPr>
                <w:rFonts w:ascii="Times New Roman" w:hAnsi="Times New Roman" w:cs="Times New Roman"/>
                <w:szCs w:val="24"/>
              </w:rPr>
            </w:pPr>
            <w:r w:rsidRPr="00381F3C">
              <w:rPr>
                <w:rFonts w:ascii="Times New Roman" w:hAnsi="Times New Roman" w:cs="Times New Roman"/>
              </w:rPr>
              <w:t xml:space="preserve"> 42.9</w:t>
            </w:r>
          </w:p>
        </w:tc>
      </w:tr>
      <w:tr w:rsidR="0031047A" w:rsidRPr="00381F3C" w14:paraId="552038F0" w14:textId="77777777" w:rsidTr="00E83069">
        <w:trPr>
          <w:tblHeader/>
        </w:trPr>
        <w:tc>
          <w:tcPr>
            <w:tcW w:w="2122" w:type="pct"/>
            <w:vMerge w:val="restart"/>
            <w:shd w:val="clear" w:color="auto" w:fill="D9D9D9" w:themeFill="background1" w:themeFillShade="D9"/>
            <w:vAlign w:val="bottom"/>
          </w:tcPr>
          <w:p w14:paraId="143BDD45" w14:textId="77777777" w:rsidR="0031047A" w:rsidRPr="00381F3C" w:rsidRDefault="0031047A" w:rsidP="00E83069">
            <w:pPr>
              <w:spacing w:before="80" w:after="80"/>
              <w:rPr>
                <w:rFonts w:ascii="Times New Roman" w:hAnsi="Times New Roman" w:cs="Times New Roman"/>
                <w:b/>
                <w:szCs w:val="24"/>
              </w:rPr>
            </w:pPr>
            <w:r w:rsidRPr="00381F3C">
              <w:rPr>
                <w:rFonts w:ascii="Times New Roman" w:hAnsi="Times New Roman" w:cs="Times New Roman"/>
                <w:b/>
                <w:szCs w:val="24"/>
              </w:rPr>
              <w:t>Grade and Subject</w:t>
            </w:r>
          </w:p>
        </w:tc>
        <w:tc>
          <w:tcPr>
            <w:tcW w:w="2878" w:type="pct"/>
            <w:gridSpan w:val="4"/>
            <w:tcBorders>
              <w:bottom w:val="single" w:sz="4" w:space="0" w:color="auto"/>
            </w:tcBorders>
            <w:shd w:val="clear" w:color="auto" w:fill="D9D9D9" w:themeFill="background1" w:themeFillShade="D9"/>
          </w:tcPr>
          <w:p w14:paraId="57A44CB9" w14:textId="77777777" w:rsidR="0031047A" w:rsidRPr="00381F3C" w:rsidRDefault="0031047A" w:rsidP="00E83069">
            <w:pPr>
              <w:spacing w:before="80" w:after="80"/>
              <w:jc w:val="center"/>
              <w:rPr>
                <w:rFonts w:ascii="Times New Roman" w:hAnsi="Times New Roman" w:cs="Times New Roman"/>
                <w:b/>
                <w:szCs w:val="24"/>
              </w:rPr>
            </w:pPr>
            <w:r w:rsidRPr="00381F3C">
              <w:rPr>
                <w:rFonts w:ascii="Times New Roman" w:hAnsi="Times New Roman" w:cs="Times New Roman"/>
                <w:b/>
                <w:szCs w:val="24"/>
              </w:rPr>
              <w:t>MCAS</w:t>
            </w:r>
          </w:p>
        </w:tc>
      </w:tr>
      <w:tr w:rsidR="0031047A" w:rsidRPr="00381F3C" w14:paraId="04F79835" w14:textId="77777777" w:rsidTr="00E83069">
        <w:trPr>
          <w:tblHeader/>
        </w:trPr>
        <w:tc>
          <w:tcPr>
            <w:tcW w:w="2122" w:type="pct"/>
            <w:vMerge/>
            <w:shd w:val="clear" w:color="auto" w:fill="D9D9D9" w:themeFill="background1" w:themeFillShade="D9"/>
          </w:tcPr>
          <w:p w14:paraId="50351FF6" w14:textId="77777777" w:rsidR="0031047A" w:rsidRPr="00381F3C" w:rsidRDefault="0031047A" w:rsidP="00E83069">
            <w:pPr>
              <w:spacing w:before="80" w:after="80"/>
              <w:rPr>
                <w:rFonts w:ascii="Times New Roman" w:hAnsi="Times New Roman" w:cs="Times New Roman"/>
                <w:szCs w:val="24"/>
              </w:rPr>
            </w:pPr>
          </w:p>
        </w:tc>
        <w:tc>
          <w:tcPr>
            <w:tcW w:w="1982" w:type="pct"/>
            <w:gridSpan w:val="3"/>
            <w:tcBorders>
              <w:bottom w:val="single" w:sz="4" w:space="0" w:color="auto"/>
            </w:tcBorders>
            <w:shd w:val="clear" w:color="auto" w:fill="D9D9D9" w:themeFill="background1" w:themeFillShade="D9"/>
          </w:tcPr>
          <w:p w14:paraId="2117F2DE" w14:textId="77777777" w:rsidR="0031047A" w:rsidRPr="00381F3C" w:rsidRDefault="0031047A" w:rsidP="00E83069">
            <w:pPr>
              <w:spacing w:before="80" w:after="80"/>
              <w:jc w:val="center"/>
              <w:rPr>
                <w:rFonts w:ascii="Times New Roman" w:hAnsi="Times New Roman" w:cs="Times New Roman"/>
                <w:b/>
                <w:szCs w:val="24"/>
              </w:rPr>
            </w:pPr>
            <w:r w:rsidRPr="00381F3C">
              <w:rPr>
                <w:rFonts w:ascii="Times New Roman" w:hAnsi="Times New Roman" w:cs="Times New Roman"/>
                <w:b/>
                <w:szCs w:val="24"/>
              </w:rPr>
              <w:t>Median SGP</w:t>
            </w:r>
          </w:p>
        </w:tc>
        <w:tc>
          <w:tcPr>
            <w:tcW w:w="897" w:type="pct"/>
            <w:tcBorders>
              <w:bottom w:val="single" w:sz="4" w:space="0" w:color="auto"/>
            </w:tcBorders>
            <w:shd w:val="clear" w:color="auto" w:fill="D9D9D9" w:themeFill="background1" w:themeFillShade="D9"/>
          </w:tcPr>
          <w:p w14:paraId="2ECCE19A" w14:textId="77777777" w:rsidR="0031047A" w:rsidRPr="00381F3C" w:rsidRDefault="0031047A" w:rsidP="00E83069">
            <w:pPr>
              <w:spacing w:before="80" w:after="80"/>
              <w:jc w:val="center"/>
              <w:rPr>
                <w:rFonts w:ascii="Times New Roman" w:hAnsi="Times New Roman" w:cs="Times New Roman"/>
                <w:b/>
                <w:szCs w:val="24"/>
              </w:rPr>
            </w:pPr>
            <w:r w:rsidRPr="00381F3C">
              <w:rPr>
                <w:rFonts w:ascii="Times New Roman" w:hAnsi="Times New Roman" w:cs="Times New Roman"/>
                <w:b/>
                <w:szCs w:val="24"/>
              </w:rPr>
              <w:t>Average SGP</w:t>
            </w:r>
          </w:p>
        </w:tc>
      </w:tr>
      <w:tr w:rsidR="0031047A" w:rsidRPr="00381F3C" w14:paraId="0D18DFB9" w14:textId="77777777" w:rsidTr="00E83069">
        <w:trPr>
          <w:tblHeader/>
        </w:trPr>
        <w:tc>
          <w:tcPr>
            <w:tcW w:w="2122" w:type="pct"/>
            <w:vMerge/>
            <w:shd w:val="clear" w:color="auto" w:fill="D9D9D9" w:themeFill="background1" w:themeFillShade="D9"/>
          </w:tcPr>
          <w:p w14:paraId="2996D2C4" w14:textId="77777777" w:rsidR="0031047A" w:rsidRPr="00381F3C" w:rsidRDefault="0031047A" w:rsidP="00E83069">
            <w:pPr>
              <w:spacing w:before="80" w:after="80"/>
              <w:rPr>
                <w:rFonts w:ascii="Times New Roman" w:hAnsi="Times New Roman" w:cs="Times New Roman"/>
                <w:szCs w:val="24"/>
              </w:rPr>
            </w:pPr>
          </w:p>
        </w:tc>
        <w:tc>
          <w:tcPr>
            <w:tcW w:w="559" w:type="pct"/>
            <w:tcBorders>
              <w:bottom w:val="single" w:sz="4" w:space="0" w:color="auto"/>
            </w:tcBorders>
            <w:shd w:val="clear" w:color="auto" w:fill="D9D9D9" w:themeFill="background1" w:themeFillShade="D9"/>
          </w:tcPr>
          <w:p w14:paraId="1A2074CF" w14:textId="77777777" w:rsidR="0031047A" w:rsidRPr="00381F3C" w:rsidRDefault="0031047A" w:rsidP="00E83069">
            <w:pPr>
              <w:spacing w:before="80" w:after="80"/>
              <w:jc w:val="center"/>
              <w:rPr>
                <w:rFonts w:ascii="Times New Roman" w:hAnsi="Times New Roman" w:cs="Times New Roman"/>
                <w:b/>
                <w:szCs w:val="24"/>
              </w:rPr>
            </w:pPr>
            <w:r w:rsidRPr="00381F3C">
              <w:rPr>
                <w:rFonts w:ascii="Times New Roman" w:hAnsi="Times New Roman" w:cs="Times New Roman"/>
                <w:b/>
                <w:szCs w:val="24"/>
              </w:rPr>
              <w:t>2015</w:t>
            </w:r>
          </w:p>
        </w:tc>
        <w:tc>
          <w:tcPr>
            <w:tcW w:w="559" w:type="pct"/>
            <w:tcBorders>
              <w:bottom w:val="single" w:sz="4" w:space="0" w:color="auto"/>
            </w:tcBorders>
            <w:shd w:val="clear" w:color="auto" w:fill="D9D9D9" w:themeFill="background1" w:themeFillShade="D9"/>
          </w:tcPr>
          <w:p w14:paraId="6A2DE73D" w14:textId="77777777" w:rsidR="0031047A" w:rsidRPr="00381F3C" w:rsidRDefault="0031047A" w:rsidP="00E83069">
            <w:pPr>
              <w:spacing w:before="80" w:after="80"/>
              <w:jc w:val="center"/>
              <w:rPr>
                <w:rFonts w:ascii="Times New Roman" w:hAnsi="Times New Roman" w:cs="Times New Roman"/>
                <w:b/>
                <w:szCs w:val="24"/>
              </w:rPr>
            </w:pPr>
            <w:r w:rsidRPr="00381F3C">
              <w:rPr>
                <w:rFonts w:ascii="Times New Roman" w:hAnsi="Times New Roman" w:cs="Times New Roman"/>
                <w:b/>
                <w:szCs w:val="24"/>
              </w:rPr>
              <w:t>2016</w:t>
            </w:r>
          </w:p>
        </w:tc>
        <w:tc>
          <w:tcPr>
            <w:tcW w:w="865" w:type="pct"/>
            <w:tcBorders>
              <w:bottom w:val="single" w:sz="4" w:space="0" w:color="auto"/>
            </w:tcBorders>
            <w:shd w:val="clear" w:color="auto" w:fill="D9D9D9" w:themeFill="background1" w:themeFillShade="D9"/>
          </w:tcPr>
          <w:p w14:paraId="7E0CF848" w14:textId="77777777" w:rsidR="0031047A" w:rsidRPr="00381F3C" w:rsidRDefault="0031047A" w:rsidP="00E83069">
            <w:pPr>
              <w:spacing w:before="80" w:after="80"/>
              <w:jc w:val="center"/>
              <w:rPr>
                <w:rFonts w:ascii="Times New Roman" w:hAnsi="Times New Roman" w:cs="Times New Roman"/>
                <w:b/>
                <w:szCs w:val="24"/>
              </w:rPr>
            </w:pPr>
            <w:r w:rsidRPr="00381F3C">
              <w:rPr>
                <w:rFonts w:ascii="Times New Roman" w:hAnsi="Times New Roman" w:cs="Times New Roman"/>
                <w:b/>
                <w:szCs w:val="24"/>
              </w:rPr>
              <w:t>2017</w:t>
            </w:r>
          </w:p>
        </w:tc>
        <w:tc>
          <w:tcPr>
            <w:tcW w:w="897" w:type="pct"/>
            <w:tcBorders>
              <w:bottom w:val="single" w:sz="4" w:space="0" w:color="auto"/>
            </w:tcBorders>
            <w:shd w:val="clear" w:color="auto" w:fill="D9D9D9" w:themeFill="background1" w:themeFillShade="D9"/>
          </w:tcPr>
          <w:p w14:paraId="529DDC4A" w14:textId="77777777" w:rsidR="0031047A" w:rsidRPr="00381F3C" w:rsidRDefault="0031047A" w:rsidP="00E83069">
            <w:pPr>
              <w:spacing w:before="80" w:after="80"/>
              <w:jc w:val="center"/>
              <w:rPr>
                <w:rFonts w:ascii="Times New Roman" w:hAnsi="Times New Roman" w:cs="Times New Roman"/>
                <w:b/>
                <w:szCs w:val="24"/>
              </w:rPr>
            </w:pPr>
            <w:r w:rsidRPr="00381F3C">
              <w:rPr>
                <w:rFonts w:ascii="Times New Roman" w:hAnsi="Times New Roman" w:cs="Times New Roman"/>
                <w:b/>
                <w:szCs w:val="24"/>
              </w:rPr>
              <w:t>2018</w:t>
            </w:r>
          </w:p>
        </w:tc>
      </w:tr>
      <w:tr w:rsidR="0031047A" w:rsidRPr="00381F3C" w14:paraId="79F1EC7D" w14:textId="77777777" w:rsidTr="00E83069">
        <w:trPr>
          <w:tblHeader/>
        </w:trPr>
        <w:tc>
          <w:tcPr>
            <w:tcW w:w="2122" w:type="pct"/>
            <w:shd w:val="clear" w:color="auto" w:fill="D9D9D9" w:themeFill="background1" w:themeFillShade="D9"/>
          </w:tcPr>
          <w:p w14:paraId="0E4B71B6" w14:textId="77777777" w:rsidR="0031047A" w:rsidRPr="00381F3C" w:rsidRDefault="0031047A" w:rsidP="00E83069">
            <w:pPr>
              <w:spacing w:before="80" w:after="80"/>
              <w:rPr>
                <w:rFonts w:ascii="Times New Roman" w:hAnsi="Times New Roman" w:cs="Times New Roman"/>
                <w:b/>
                <w:szCs w:val="24"/>
              </w:rPr>
            </w:pPr>
            <w:r w:rsidRPr="00381F3C">
              <w:rPr>
                <w:rFonts w:ascii="Times New Roman" w:hAnsi="Times New Roman" w:cs="Times New Roman"/>
                <w:b/>
                <w:szCs w:val="24"/>
              </w:rPr>
              <w:t>Grade 10 English Language Arts</w:t>
            </w:r>
          </w:p>
        </w:tc>
        <w:tc>
          <w:tcPr>
            <w:tcW w:w="559" w:type="pct"/>
            <w:shd w:val="clear" w:color="auto" w:fill="auto"/>
            <w:vAlign w:val="center"/>
          </w:tcPr>
          <w:p w14:paraId="7F55FAC0" w14:textId="77777777" w:rsidR="0031047A" w:rsidRPr="00381F3C" w:rsidRDefault="0031047A" w:rsidP="00E83069">
            <w:pPr>
              <w:spacing w:before="80" w:after="80"/>
              <w:jc w:val="center"/>
              <w:rPr>
                <w:rFonts w:ascii="Times New Roman" w:hAnsi="Times New Roman" w:cs="Times New Roman"/>
                <w:szCs w:val="24"/>
              </w:rPr>
            </w:pPr>
            <w:r w:rsidRPr="00381F3C">
              <w:rPr>
                <w:rFonts w:ascii="Times New Roman" w:hAnsi="Times New Roman" w:cs="Times New Roman"/>
              </w:rPr>
              <w:t xml:space="preserve">- </w:t>
            </w:r>
          </w:p>
        </w:tc>
        <w:tc>
          <w:tcPr>
            <w:tcW w:w="559" w:type="pct"/>
            <w:shd w:val="clear" w:color="auto" w:fill="auto"/>
            <w:vAlign w:val="center"/>
          </w:tcPr>
          <w:p w14:paraId="20819B54" w14:textId="77777777" w:rsidR="0031047A" w:rsidRPr="00381F3C" w:rsidRDefault="0031047A" w:rsidP="00E83069">
            <w:pPr>
              <w:spacing w:before="80" w:after="80"/>
              <w:jc w:val="center"/>
              <w:rPr>
                <w:rFonts w:ascii="Times New Roman" w:hAnsi="Times New Roman" w:cs="Times New Roman"/>
                <w:szCs w:val="24"/>
              </w:rPr>
            </w:pPr>
            <w:r w:rsidRPr="00381F3C">
              <w:rPr>
                <w:rFonts w:ascii="Times New Roman" w:hAnsi="Times New Roman" w:cs="Times New Roman"/>
              </w:rPr>
              <w:t xml:space="preserve"> 59.5</w:t>
            </w:r>
          </w:p>
        </w:tc>
        <w:tc>
          <w:tcPr>
            <w:tcW w:w="865" w:type="pct"/>
            <w:shd w:val="clear" w:color="auto" w:fill="auto"/>
            <w:vAlign w:val="center"/>
          </w:tcPr>
          <w:p w14:paraId="2730977F" w14:textId="77777777" w:rsidR="0031047A" w:rsidRPr="00381F3C" w:rsidRDefault="0031047A" w:rsidP="00E83069">
            <w:pPr>
              <w:spacing w:before="80" w:after="80"/>
              <w:jc w:val="center"/>
              <w:rPr>
                <w:rFonts w:ascii="Times New Roman" w:hAnsi="Times New Roman" w:cs="Times New Roman"/>
                <w:szCs w:val="24"/>
              </w:rPr>
            </w:pPr>
            <w:r w:rsidRPr="00381F3C">
              <w:rPr>
                <w:rFonts w:ascii="Times New Roman" w:hAnsi="Times New Roman" w:cs="Times New Roman"/>
              </w:rPr>
              <w:t xml:space="preserve">35.0 </w:t>
            </w:r>
          </w:p>
        </w:tc>
        <w:tc>
          <w:tcPr>
            <w:tcW w:w="897" w:type="pct"/>
            <w:shd w:val="clear" w:color="auto" w:fill="auto"/>
            <w:vAlign w:val="center"/>
          </w:tcPr>
          <w:p w14:paraId="0E309C89" w14:textId="77777777" w:rsidR="0031047A" w:rsidRPr="00381F3C" w:rsidRDefault="0031047A" w:rsidP="00E83069">
            <w:pPr>
              <w:spacing w:before="80" w:after="80"/>
              <w:jc w:val="center"/>
              <w:rPr>
                <w:rFonts w:ascii="Times New Roman" w:hAnsi="Times New Roman" w:cs="Times New Roman"/>
                <w:szCs w:val="24"/>
              </w:rPr>
            </w:pPr>
            <w:r w:rsidRPr="00381F3C">
              <w:rPr>
                <w:rFonts w:ascii="Times New Roman" w:hAnsi="Times New Roman" w:cs="Times New Roman"/>
              </w:rPr>
              <w:t xml:space="preserve"> 47.2</w:t>
            </w:r>
          </w:p>
        </w:tc>
      </w:tr>
      <w:tr w:rsidR="0031047A" w:rsidRPr="00381F3C" w14:paraId="1FBD5836" w14:textId="77777777" w:rsidTr="00E83069">
        <w:trPr>
          <w:tblHeader/>
        </w:trPr>
        <w:tc>
          <w:tcPr>
            <w:tcW w:w="2122" w:type="pct"/>
            <w:shd w:val="clear" w:color="auto" w:fill="D9D9D9" w:themeFill="background1" w:themeFillShade="D9"/>
          </w:tcPr>
          <w:p w14:paraId="510A6481" w14:textId="77777777" w:rsidR="0031047A" w:rsidRPr="00381F3C" w:rsidRDefault="0031047A" w:rsidP="00E83069">
            <w:pPr>
              <w:spacing w:before="80" w:after="80"/>
              <w:rPr>
                <w:rFonts w:ascii="Times New Roman" w:hAnsi="Times New Roman" w:cs="Times New Roman"/>
                <w:b/>
                <w:szCs w:val="24"/>
              </w:rPr>
            </w:pPr>
            <w:r w:rsidRPr="00381F3C">
              <w:rPr>
                <w:rFonts w:ascii="Times New Roman" w:hAnsi="Times New Roman" w:cs="Times New Roman"/>
                <w:b/>
                <w:szCs w:val="24"/>
              </w:rPr>
              <w:t>Grade 10 Mathematics</w:t>
            </w:r>
          </w:p>
        </w:tc>
        <w:tc>
          <w:tcPr>
            <w:tcW w:w="559" w:type="pct"/>
            <w:vAlign w:val="center"/>
          </w:tcPr>
          <w:p w14:paraId="16BE94B0" w14:textId="77777777" w:rsidR="0031047A" w:rsidRPr="00381F3C" w:rsidRDefault="0031047A" w:rsidP="00E83069">
            <w:pPr>
              <w:spacing w:before="80" w:after="80"/>
              <w:jc w:val="center"/>
              <w:rPr>
                <w:rFonts w:ascii="Times New Roman" w:hAnsi="Times New Roman" w:cs="Times New Roman"/>
                <w:szCs w:val="24"/>
              </w:rPr>
            </w:pPr>
            <w:r w:rsidRPr="00381F3C">
              <w:rPr>
                <w:rFonts w:ascii="Times New Roman" w:hAnsi="Times New Roman" w:cs="Times New Roman"/>
              </w:rPr>
              <w:t xml:space="preserve"> -</w:t>
            </w:r>
          </w:p>
        </w:tc>
        <w:tc>
          <w:tcPr>
            <w:tcW w:w="559" w:type="pct"/>
            <w:vAlign w:val="center"/>
          </w:tcPr>
          <w:p w14:paraId="285AE607" w14:textId="77777777" w:rsidR="0031047A" w:rsidRPr="00381F3C" w:rsidRDefault="0031047A" w:rsidP="00E83069">
            <w:pPr>
              <w:spacing w:before="80" w:after="80"/>
              <w:jc w:val="center"/>
              <w:rPr>
                <w:rFonts w:ascii="Times New Roman" w:hAnsi="Times New Roman" w:cs="Times New Roman"/>
                <w:szCs w:val="24"/>
              </w:rPr>
            </w:pPr>
            <w:r w:rsidRPr="00381F3C">
              <w:rPr>
                <w:rFonts w:ascii="Times New Roman" w:hAnsi="Times New Roman" w:cs="Times New Roman"/>
              </w:rPr>
              <w:t xml:space="preserve"> 47.0</w:t>
            </w:r>
          </w:p>
        </w:tc>
        <w:tc>
          <w:tcPr>
            <w:tcW w:w="865" w:type="pct"/>
            <w:vAlign w:val="center"/>
          </w:tcPr>
          <w:p w14:paraId="423755F6" w14:textId="77777777" w:rsidR="0031047A" w:rsidRPr="00381F3C" w:rsidRDefault="0031047A" w:rsidP="00E83069">
            <w:pPr>
              <w:spacing w:before="80" w:after="80"/>
              <w:jc w:val="center"/>
              <w:rPr>
                <w:rFonts w:ascii="Times New Roman" w:hAnsi="Times New Roman" w:cs="Times New Roman"/>
                <w:szCs w:val="24"/>
              </w:rPr>
            </w:pPr>
            <w:r w:rsidRPr="00381F3C">
              <w:rPr>
                <w:rFonts w:ascii="Times New Roman" w:hAnsi="Times New Roman" w:cs="Times New Roman"/>
              </w:rPr>
              <w:t xml:space="preserve"> 34.0</w:t>
            </w:r>
          </w:p>
        </w:tc>
        <w:tc>
          <w:tcPr>
            <w:tcW w:w="897" w:type="pct"/>
            <w:vAlign w:val="center"/>
          </w:tcPr>
          <w:p w14:paraId="5FE999C7" w14:textId="77777777" w:rsidR="0031047A" w:rsidRPr="00381F3C" w:rsidRDefault="0031047A" w:rsidP="00E83069">
            <w:pPr>
              <w:spacing w:before="80" w:after="80"/>
              <w:jc w:val="center"/>
              <w:rPr>
                <w:rFonts w:ascii="Times New Roman" w:hAnsi="Times New Roman" w:cs="Times New Roman"/>
                <w:szCs w:val="24"/>
              </w:rPr>
            </w:pPr>
            <w:r w:rsidRPr="00381F3C">
              <w:rPr>
                <w:rFonts w:ascii="Times New Roman" w:hAnsi="Times New Roman" w:cs="Times New Roman"/>
              </w:rPr>
              <w:t xml:space="preserve">33.4 </w:t>
            </w:r>
          </w:p>
        </w:tc>
      </w:tr>
    </w:tbl>
    <w:p w14:paraId="4DAB4F7C" w14:textId="77777777" w:rsidR="0031047A" w:rsidRDefault="0031047A" w:rsidP="004D08F2">
      <w:pPr>
        <w:pStyle w:val="NormalWeb"/>
        <w:widowControl/>
        <w:ind w:left="720"/>
      </w:pPr>
    </w:p>
    <w:p w14:paraId="2B3D1F51" w14:textId="77E0425A" w:rsidR="00462BBC" w:rsidRDefault="00017B9E" w:rsidP="00F45344">
      <w:pPr>
        <w:pStyle w:val="NormalWeb"/>
        <w:widowControl/>
        <w:ind w:left="720"/>
      </w:pPr>
      <w:r w:rsidRPr="002A10A3">
        <w:lastRenderedPageBreak/>
        <w:t>Greenfield Commonwealth Virtual School</w:t>
      </w:r>
      <w:r w:rsidR="004D08F2" w:rsidRPr="00FD5B0D">
        <w:t xml:space="preserve"> continues to have difficulty meeting the state’s 95 percent threshold required for assessment participation</w:t>
      </w:r>
      <w:r w:rsidR="004D08F2">
        <w:t>;</w:t>
      </w:r>
      <w:r w:rsidR="00F45344">
        <w:t xml:space="preserve"> in 2014, </w:t>
      </w:r>
      <w:r w:rsidR="004D08F2" w:rsidRPr="00FD5B0D">
        <w:t>2015</w:t>
      </w:r>
      <w:r w:rsidR="004D08F2">
        <w:t>,</w:t>
      </w:r>
      <w:r w:rsidR="00F45344">
        <w:t xml:space="preserve"> 2016, and 2018</w:t>
      </w:r>
      <w:r w:rsidR="008443C9">
        <w:t>,</w:t>
      </w:r>
      <w:r w:rsidR="004D08F2" w:rsidRPr="00FD5B0D">
        <w:t xml:space="preserve"> it did not meet this threshold for subgroups and </w:t>
      </w:r>
      <w:r w:rsidR="004D08F2">
        <w:t xml:space="preserve">for </w:t>
      </w:r>
      <w:r w:rsidR="004D08F2" w:rsidRPr="00FD5B0D">
        <w:t>subjects</w:t>
      </w:r>
      <w:r w:rsidR="004D08F2">
        <w:t>.</w:t>
      </w:r>
    </w:p>
    <w:p w14:paraId="2B5C11B0" w14:textId="77777777" w:rsidR="006A136A" w:rsidRDefault="006A136A" w:rsidP="006A136A">
      <w:pPr>
        <w:contextualSpacing/>
      </w:pPr>
    </w:p>
    <w:p w14:paraId="061F5EFD" w14:textId="430651B8" w:rsidR="006A136A" w:rsidRDefault="006A136A" w:rsidP="006A136A">
      <w:pPr>
        <w:pStyle w:val="ListParagraph"/>
        <w:ind w:left="0"/>
      </w:pPr>
      <w:r>
        <w:rPr>
          <w:b/>
        </w:rPr>
        <w:t>Condition 5</w:t>
      </w:r>
      <w:r w:rsidRPr="002F7DF1">
        <w:rPr>
          <w:b/>
        </w:rPr>
        <w:t>:</w:t>
      </w:r>
      <w:r w:rsidRPr="002F7DF1">
        <w:t xml:space="preserve"> </w:t>
      </w:r>
      <w:r>
        <w:t>By April 30, 2018, GCVS must submit to the Department for its approval, at s</w:t>
      </w:r>
      <w:r w:rsidRPr="00C55C64">
        <w:t>edmond@doe.mass.edu</w:t>
      </w:r>
      <w:r>
        <w:t xml:space="preserve"> or 75 Pleasant St., Malden, MA, 02148, in a format prescribed by the Office of Language Acquisition and Academic Achievement, a detailed plan for serving students who are English learners. The plan, which must be implemented upon approval, must provide descriptions and timelines for:</w:t>
      </w:r>
    </w:p>
    <w:p w14:paraId="7C8BBF69" w14:textId="77777777" w:rsidR="006A136A" w:rsidRDefault="006A136A" w:rsidP="006A136A">
      <w:pPr>
        <w:pStyle w:val="ListParagraph"/>
        <w:ind w:left="1440"/>
      </w:pPr>
    </w:p>
    <w:p w14:paraId="183B257E" w14:textId="77777777" w:rsidR="006A136A" w:rsidRDefault="006A136A" w:rsidP="006A136A">
      <w:pPr>
        <w:pStyle w:val="ListParagraph"/>
        <w:numPr>
          <w:ilvl w:val="0"/>
          <w:numId w:val="9"/>
        </w:numPr>
      </w:pPr>
      <w:r>
        <w:t>Identifying and screening all students potentially eligible for English learner services;</w:t>
      </w:r>
    </w:p>
    <w:p w14:paraId="301A207A" w14:textId="77777777" w:rsidR="006A136A" w:rsidRDefault="006A136A" w:rsidP="006A136A">
      <w:pPr>
        <w:pStyle w:val="ListParagraph"/>
        <w:numPr>
          <w:ilvl w:val="0"/>
          <w:numId w:val="9"/>
        </w:numPr>
      </w:pPr>
      <w:r>
        <w:t>Providing high-quality, specialized instructional support to English learners, including standards-aligned curriculum, formative assessments, and pedagogical strategies;</w:t>
      </w:r>
    </w:p>
    <w:p w14:paraId="755CA9A8" w14:textId="77777777" w:rsidR="006A136A" w:rsidRDefault="006A136A" w:rsidP="006A136A">
      <w:pPr>
        <w:pStyle w:val="ListParagraph"/>
        <w:numPr>
          <w:ilvl w:val="0"/>
          <w:numId w:val="9"/>
        </w:numPr>
      </w:pPr>
      <w:r>
        <w:t>Providing all teachers of English learners with ongoing professional development to effectively meet the needs of English learners and their parents/guardians;</w:t>
      </w:r>
    </w:p>
    <w:p w14:paraId="7EE57ADA" w14:textId="77777777" w:rsidR="006A136A" w:rsidRDefault="006A136A" w:rsidP="006A136A">
      <w:pPr>
        <w:pStyle w:val="ListParagraph"/>
        <w:numPr>
          <w:ilvl w:val="0"/>
          <w:numId w:val="9"/>
        </w:numPr>
      </w:pPr>
      <w:r>
        <w:t>Providing on-demand translation services to current and prospective students' parents/guardians who do not speak English; and</w:t>
      </w:r>
    </w:p>
    <w:p w14:paraId="44A701E5" w14:textId="7A2A3938" w:rsidR="006A136A" w:rsidRDefault="006A136A" w:rsidP="006A136A">
      <w:pPr>
        <w:pStyle w:val="ListParagraph"/>
        <w:numPr>
          <w:ilvl w:val="0"/>
          <w:numId w:val="9"/>
        </w:numPr>
      </w:pPr>
      <w:r>
        <w:t>Conducting outreach to prospective students' parents/guardians who do not speak English, in multiple languages, using the same channels the school uses for English-speaking parents, which may include web/social media, radio, print, and television.</w:t>
      </w:r>
    </w:p>
    <w:p w14:paraId="40E201A5" w14:textId="575C6032" w:rsidR="00462BBC" w:rsidRDefault="00462BBC" w:rsidP="00462BBC"/>
    <w:p w14:paraId="79D8C501" w14:textId="1039072F" w:rsidR="00462BBC" w:rsidRPr="002F7DF1" w:rsidRDefault="00462BBC" w:rsidP="00462BBC">
      <w:pPr>
        <w:pStyle w:val="NormalWeb"/>
        <w:widowControl/>
        <w:ind w:firstLine="720"/>
        <w:rPr>
          <w:b/>
        </w:rPr>
      </w:pPr>
      <w:r w:rsidRPr="002F7DF1">
        <w:rPr>
          <w:b/>
        </w:rPr>
        <w:t xml:space="preserve">Status: </w:t>
      </w:r>
      <w:r>
        <w:rPr>
          <w:b/>
        </w:rPr>
        <w:t>Met, with concerns noted</w:t>
      </w:r>
    </w:p>
    <w:p w14:paraId="0DE34844" w14:textId="10EE26C4" w:rsidR="00462BBC" w:rsidRDefault="007A57AF" w:rsidP="007A57AF">
      <w:pPr>
        <w:ind w:left="720"/>
      </w:pPr>
      <w:r>
        <w:t>The school submitted a plan by the date requested. The plan required revision and input from Department staff and</w:t>
      </w:r>
      <w:r w:rsidR="007E6BA5">
        <w:t>,</w:t>
      </w:r>
      <w:r>
        <w:t xml:space="preserve"> after multiple updates, was finalized in February 2019. As noted in the Summary of Review, the school was in the initial stages of implementing its plan to identify and screen potential English learners (ELs) in October. I</w:t>
      </w:r>
      <w:r w:rsidR="007E6BA5">
        <w:t>n</w:t>
      </w:r>
      <w:r>
        <w:t xml:space="preserve"> its SIMS submission</w:t>
      </w:r>
      <w:r w:rsidR="007E6BA5">
        <w:t xml:space="preserve"> on October 1, 2018</w:t>
      </w:r>
      <w:r>
        <w:t xml:space="preserve">, GCVS reported the enrollment of </w:t>
      </w:r>
      <w:r w:rsidR="007E6BA5">
        <w:t xml:space="preserve">one </w:t>
      </w:r>
      <w:r>
        <w:t>EL student.</w:t>
      </w:r>
      <w:r w:rsidR="007E6BA5">
        <w:t xml:space="preserve"> A</w:t>
      </w:r>
      <w:r>
        <w:t>ccording to the school’s updated plan to serve ELs</w:t>
      </w:r>
      <w:r w:rsidR="007E6BA5">
        <w:t>, however,</w:t>
      </w:r>
      <w:r>
        <w:t xml:space="preserve"> GCVS had identified 136 students </w:t>
      </w:r>
      <w:r w:rsidR="007E6BA5">
        <w:t xml:space="preserve">in the fall of 2018 </w:t>
      </w:r>
      <w:r>
        <w:t>in need of screening, some of who</w:t>
      </w:r>
      <w:r w:rsidR="003C6189">
        <w:t>m</w:t>
      </w:r>
      <w:r>
        <w:t xml:space="preserve"> were newly enrolled and some of whom enrolled over four years earlier. Of the 136 students identified via home language surveys, GCVS assessed 58 students and 31 students were found in need of English as a Second Language</w:t>
      </w:r>
      <w:r w:rsidR="001D42C7">
        <w:t xml:space="preserve"> (ESL)</w:t>
      </w:r>
      <w:r>
        <w:t xml:space="preserve"> instruction. </w:t>
      </w:r>
      <w:r w:rsidR="001D42C7">
        <w:t>Currently, the school employs two part-time ESL teachers.</w:t>
      </w:r>
    </w:p>
    <w:p w14:paraId="0D2450CD" w14:textId="77777777" w:rsidR="006A136A" w:rsidRDefault="006A136A" w:rsidP="006A136A">
      <w:pPr>
        <w:pStyle w:val="NormalWeb"/>
        <w:widowControl/>
      </w:pPr>
    </w:p>
    <w:p w14:paraId="31CF435B" w14:textId="77777777" w:rsidR="005E35E6" w:rsidRDefault="005E35E6" w:rsidP="005E35E6">
      <w:pPr>
        <w:widowControl/>
        <w:rPr>
          <w:b/>
          <w:szCs w:val="24"/>
          <w:u w:val="single"/>
        </w:rPr>
      </w:pPr>
      <w:r w:rsidRPr="0087578E">
        <w:rPr>
          <w:b/>
          <w:szCs w:val="24"/>
          <w:u w:val="single"/>
        </w:rPr>
        <w:t>Renewal of Certificate</w:t>
      </w:r>
    </w:p>
    <w:p w14:paraId="7757D28C" w14:textId="77777777" w:rsidR="005E35E6" w:rsidRDefault="005E35E6" w:rsidP="005E35E6">
      <w:pPr>
        <w:widowControl/>
        <w:rPr>
          <w:b/>
          <w:szCs w:val="24"/>
        </w:rPr>
      </w:pPr>
    </w:p>
    <w:p w14:paraId="647B89B2" w14:textId="05F389CB" w:rsidR="00462BBC" w:rsidRDefault="00462BBC" w:rsidP="00462BBC">
      <w:pPr>
        <w:pStyle w:val="Default"/>
      </w:pPr>
      <w:r>
        <w:t xml:space="preserve">A summary of the performance record of GCVS is provided in the attached Summary of Review (Attachment </w:t>
      </w:r>
      <w:r w:rsidR="00567D0F" w:rsidRPr="00381F3C">
        <w:t>B</w:t>
      </w:r>
      <w:r w:rsidRPr="00381F3C">
        <w:t>).</w:t>
      </w:r>
      <w:r>
        <w:t xml:space="preserve"> </w:t>
      </w:r>
      <w:r w:rsidR="007E6BA5">
        <w:t>Below are t</w:t>
      </w:r>
      <w:r>
        <w:t xml:space="preserve">he </w:t>
      </w:r>
      <w:r w:rsidRPr="00642F22">
        <w:t xml:space="preserve">school’s ratings from </w:t>
      </w:r>
      <w:r w:rsidR="007E6BA5">
        <w:t>its</w:t>
      </w:r>
      <w:r w:rsidR="007E6BA5" w:rsidRPr="00642F22">
        <w:t xml:space="preserve"> </w:t>
      </w:r>
      <w:r>
        <w:t>Summary of Review.</w:t>
      </w:r>
    </w:p>
    <w:p w14:paraId="7BF69C48" w14:textId="3ED65FCE" w:rsidR="000F3924" w:rsidRDefault="000F3924" w:rsidP="00462BBC">
      <w:pPr>
        <w:pStyle w:val="Default"/>
      </w:pPr>
    </w:p>
    <w:p w14:paraId="4126402C" w14:textId="7378A5C2" w:rsidR="000F3924" w:rsidRDefault="000F3924" w:rsidP="00462BBC">
      <w:pPr>
        <w:pStyle w:val="Default"/>
      </w:pPr>
    </w:p>
    <w:p w14:paraId="767BF225" w14:textId="0C055A39" w:rsidR="000F3924" w:rsidRDefault="000F3924" w:rsidP="00462BBC">
      <w:pPr>
        <w:pStyle w:val="Default"/>
      </w:pPr>
    </w:p>
    <w:p w14:paraId="4462FC06" w14:textId="246B3851" w:rsidR="000F3924" w:rsidRDefault="000F3924" w:rsidP="00462BBC">
      <w:pPr>
        <w:pStyle w:val="Default"/>
      </w:pPr>
    </w:p>
    <w:p w14:paraId="405C2F80" w14:textId="77777777" w:rsidR="000F3924" w:rsidRDefault="000F3924" w:rsidP="00462BBC">
      <w:pPr>
        <w:pStyle w:val="Default"/>
      </w:pPr>
    </w:p>
    <w:p w14:paraId="3B640D17" w14:textId="7DFEBD54" w:rsidR="00462BBC" w:rsidRDefault="00462BBC" w:rsidP="00462BBC">
      <w:pPr>
        <w:pStyle w:val="Default"/>
      </w:pPr>
    </w:p>
    <w:tbl>
      <w:tblPr>
        <w:tblStyle w:val="TableGrid"/>
        <w:tblW w:w="0" w:type="auto"/>
        <w:tblLook w:val="04A0" w:firstRow="1" w:lastRow="0" w:firstColumn="1" w:lastColumn="0" w:noHBand="0" w:noVBand="1"/>
        <w:tblDescription w:val="Rating Scale:&#10;[Blue Dot] Exceeds: Fully and consistently meets the criterion and is a potential exemplar in this area.&#10;[Green Dot] Meets: Generally meets the criterion; minor concerns are noted.&#10;[Orange Dot] Partially meets: Meets some aspects of the criterion but not others and/or moderate concerns are noted.&#10;[Red Dot] Falls far below: Falls far below the criterion; significant concern(s) are noted.&#10;"/>
      </w:tblPr>
      <w:tblGrid>
        <w:gridCol w:w="1885"/>
        <w:gridCol w:w="7460"/>
      </w:tblGrid>
      <w:tr w:rsidR="00462BBC" w:rsidRPr="005A2C10" w14:paraId="48C4B734" w14:textId="77777777" w:rsidTr="003B0C56">
        <w:trPr>
          <w:tblHeader/>
        </w:trPr>
        <w:tc>
          <w:tcPr>
            <w:tcW w:w="9345" w:type="dxa"/>
            <w:gridSpan w:val="2"/>
            <w:tcBorders>
              <w:bottom w:val="nil"/>
            </w:tcBorders>
          </w:tcPr>
          <w:p w14:paraId="49EDF45F" w14:textId="77777777" w:rsidR="00462BBC" w:rsidRPr="00462BBC" w:rsidRDefault="00462BBC" w:rsidP="00E83069">
            <w:pPr>
              <w:spacing w:before="80" w:after="80"/>
              <w:rPr>
                <w:b/>
                <w:sz w:val="22"/>
                <w:szCs w:val="22"/>
              </w:rPr>
            </w:pPr>
            <w:r w:rsidRPr="00462BBC">
              <w:rPr>
                <w:b/>
                <w:sz w:val="22"/>
                <w:szCs w:val="22"/>
              </w:rPr>
              <w:lastRenderedPageBreak/>
              <w:t>Rating Scale:</w:t>
            </w:r>
          </w:p>
        </w:tc>
      </w:tr>
      <w:tr w:rsidR="00462BBC" w:rsidRPr="005A2C10" w14:paraId="394406D8" w14:textId="77777777" w:rsidTr="003B0C56">
        <w:trPr>
          <w:trHeight w:val="87"/>
          <w:tblHeader/>
        </w:trPr>
        <w:tc>
          <w:tcPr>
            <w:tcW w:w="1885" w:type="dxa"/>
            <w:tcBorders>
              <w:top w:val="nil"/>
              <w:bottom w:val="nil"/>
              <w:right w:val="nil"/>
            </w:tcBorders>
          </w:tcPr>
          <w:p w14:paraId="3DB525CD" w14:textId="77777777" w:rsidR="00462BBC" w:rsidRPr="00462BBC" w:rsidRDefault="00462BBC" w:rsidP="00E83069">
            <w:pPr>
              <w:spacing w:before="80" w:after="80"/>
              <w:rPr>
                <w:b/>
                <w:sz w:val="22"/>
                <w:szCs w:val="22"/>
              </w:rPr>
            </w:pPr>
            <w:r w:rsidRPr="00462BBC">
              <w:rPr>
                <w:rFonts w:ascii="Wingdings" w:hAnsi="Wingdings"/>
                <w:color w:val="0070C0"/>
                <w:sz w:val="22"/>
                <w:szCs w:val="22"/>
              </w:rPr>
              <w:t></w:t>
            </w:r>
            <w:r w:rsidRPr="00462BBC">
              <w:rPr>
                <w:color w:val="00B050"/>
                <w:sz w:val="22"/>
                <w:szCs w:val="22"/>
              </w:rPr>
              <w:t xml:space="preserve"> </w:t>
            </w:r>
            <w:r w:rsidRPr="00462BBC">
              <w:rPr>
                <w:b/>
                <w:sz w:val="22"/>
                <w:szCs w:val="22"/>
              </w:rPr>
              <w:t>Exceeds</w:t>
            </w:r>
          </w:p>
        </w:tc>
        <w:tc>
          <w:tcPr>
            <w:tcW w:w="7460" w:type="dxa"/>
            <w:tcBorders>
              <w:top w:val="nil"/>
              <w:left w:val="nil"/>
              <w:bottom w:val="nil"/>
            </w:tcBorders>
          </w:tcPr>
          <w:p w14:paraId="6977F021" w14:textId="77777777" w:rsidR="00462BBC" w:rsidRPr="00462BBC" w:rsidRDefault="00462BBC" w:rsidP="00E83069">
            <w:pPr>
              <w:spacing w:before="80" w:after="80"/>
              <w:rPr>
                <w:sz w:val="22"/>
                <w:szCs w:val="22"/>
              </w:rPr>
            </w:pPr>
            <w:r w:rsidRPr="00462BBC">
              <w:rPr>
                <w:sz w:val="22"/>
                <w:szCs w:val="22"/>
              </w:rPr>
              <w:t>Fully and consistently meets the criterion and is a potential exemplar in this area.</w:t>
            </w:r>
          </w:p>
        </w:tc>
      </w:tr>
      <w:tr w:rsidR="00462BBC" w:rsidRPr="005A2C10" w14:paraId="75CCD48C" w14:textId="77777777" w:rsidTr="003B0C56">
        <w:trPr>
          <w:trHeight w:val="270"/>
          <w:tblHeader/>
        </w:trPr>
        <w:tc>
          <w:tcPr>
            <w:tcW w:w="1885" w:type="dxa"/>
            <w:tcBorders>
              <w:top w:val="nil"/>
              <w:bottom w:val="nil"/>
              <w:right w:val="nil"/>
            </w:tcBorders>
          </w:tcPr>
          <w:p w14:paraId="01C752AE" w14:textId="77777777" w:rsidR="00462BBC" w:rsidRPr="00462BBC" w:rsidRDefault="00462BBC" w:rsidP="00E83069">
            <w:pPr>
              <w:spacing w:before="80" w:after="80"/>
              <w:rPr>
                <w:b/>
                <w:sz w:val="22"/>
                <w:szCs w:val="22"/>
              </w:rPr>
            </w:pPr>
            <w:r w:rsidRPr="00462BBC">
              <w:rPr>
                <w:rFonts w:ascii="Wingdings" w:hAnsi="Wingdings"/>
                <w:color w:val="00B050"/>
                <w:sz w:val="22"/>
                <w:szCs w:val="22"/>
              </w:rPr>
              <w:t></w:t>
            </w:r>
            <w:r w:rsidRPr="00462BBC">
              <w:rPr>
                <w:color w:val="00B050"/>
                <w:sz w:val="22"/>
                <w:szCs w:val="22"/>
              </w:rPr>
              <w:t xml:space="preserve"> </w:t>
            </w:r>
            <w:r w:rsidRPr="00462BBC">
              <w:rPr>
                <w:b/>
                <w:sz w:val="22"/>
                <w:szCs w:val="22"/>
              </w:rPr>
              <w:t>Meets</w:t>
            </w:r>
          </w:p>
        </w:tc>
        <w:tc>
          <w:tcPr>
            <w:tcW w:w="7460" w:type="dxa"/>
            <w:tcBorders>
              <w:top w:val="nil"/>
              <w:left w:val="nil"/>
              <w:bottom w:val="nil"/>
            </w:tcBorders>
          </w:tcPr>
          <w:p w14:paraId="56BB9841" w14:textId="77777777" w:rsidR="00462BBC" w:rsidRPr="00462BBC" w:rsidRDefault="00462BBC" w:rsidP="00E83069">
            <w:pPr>
              <w:spacing w:before="80" w:after="80"/>
              <w:rPr>
                <w:sz w:val="22"/>
                <w:szCs w:val="22"/>
              </w:rPr>
            </w:pPr>
            <w:r w:rsidRPr="00462BBC">
              <w:rPr>
                <w:sz w:val="22"/>
                <w:szCs w:val="22"/>
              </w:rPr>
              <w:t>Generally meets the criterion; minor concerns are noted.</w:t>
            </w:r>
          </w:p>
        </w:tc>
      </w:tr>
      <w:tr w:rsidR="00462BBC" w:rsidRPr="005A2C10" w14:paraId="309512F6" w14:textId="77777777" w:rsidTr="003B0C56">
        <w:trPr>
          <w:trHeight w:val="87"/>
          <w:tblHeader/>
        </w:trPr>
        <w:tc>
          <w:tcPr>
            <w:tcW w:w="1885" w:type="dxa"/>
            <w:tcBorders>
              <w:top w:val="nil"/>
              <w:bottom w:val="nil"/>
              <w:right w:val="nil"/>
            </w:tcBorders>
          </w:tcPr>
          <w:p w14:paraId="4E02F505" w14:textId="77777777" w:rsidR="00462BBC" w:rsidRPr="00462BBC" w:rsidRDefault="00462BBC" w:rsidP="00E83069">
            <w:pPr>
              <w:spacing w:before="80" w:after="80"/>
              <w:rPr>
                <w:b/>
                <w:sz w:val="22"/>
                <w:szCs w:val="22"/>
              </w:rPr>
            </w:pPr>
            <w:r w:rsidRPr="00462BBC">
              <w:rPr>
                <w:rFonts w:ascii="Wingdings" w:hAnsi="Wingdings"/>
                <w:color w:val="FFC000"/>
                <w:sz w:val="22"/>
                <w:szCs w:val="22"/>
              </w:rPr>
              <w:t></w:t>
            </w:r>
            <w:r w:rsidRPr="00462BBC">
              <w:rPr>
                <w:color w:val="FFC000"/>
                <w:sz w:val="22"/>
                <w:szCs w:val="22"/>
              </w:rPr>
              <w:t xml:space="preserve"> </w:t>
            </w:r>
            <w:r w:rsidRPr="00462BBC">
              <w:rPr>
                <w:b/>
                <w:sz w:val="22"/>
                <w:szCs w:val="22"/>
              </w:rPr>
              <w:t>Partially meets</w:t>
            </w:r>
          </w:p>
        </w:tc>
        <w:tc>
          <w:tcPr>
            <w:tcW w:w="7460" w:type="dxa"/>
            <w:tcBorders>
              <w:top w:val="nil"/>
              <w:left w:val="nil"/>
              <w:bottom w:val="nil"/>
            </w:tcBorders>
          </w:tcPr>
          <w:p w14:paraId="627EABE3" w14:textId="77777777" w:rsidR="00462BBC" w:rsidRPr="00462BBC" w:rsidRDefault="00462BBC" w:rsidP="00E83069">
            <w:pPr>
              <w:spacing w:before="80" w:after="80"/>
              <w:rPr>
                <w:sz w:val="22"/>
                <w:szCs w:val="22"/>
              </w:rPr>
            </w:pPr>
            <w:r w:rsidRPr="00462BBC">
              <w:rPr>
                <w:sz w:val="22"/>
                <w:szCs w:val="22"/>
              </w:rPr>
              <w:t>Meets some aspects of the criterion but not others and/or moderate concerns are noted.</w:t>
            </w:r>
          </w:p>
        </w:tc>
      </w:tr>
      <w:tr w:rsidR="00462BBC" w:rsidRPr="005A2C10" w14:paraId="576BA8B9" w14:textId="77777777" w:rsidTr="003B0C56">
        <w:trPr>
          <w:trHeight w:val="87"/>
          <w:tblHeader/>
        </w:trPr>
        <w:tc>
          <w:tcPr>
            <w:tcW w:w="1885" w:type="dxa"/>
            <w:tcBorders>
              <w:top w:val="nil"/>
              <w:bottom w:val="single" w:sz="4" w:space="0" w:color="auto"/>
              <w:right w:val="nil"/>
            </w:tcBorders>
          </w:tcPr>
          <w:p w14:paraId="620525A1" w14:textId="77777777" w:rsidR="00462BBC" w:rsidRPr="00462BBC" w:rsidRDefault="00462BBC" w:rsidP="00E83069">
            <w:pPr>
              <w:spacing w:before="80" w:after="80"/>
              <w:rPr>
                <w:b/>
                <w:sz w:val="22"/>
                <w:szCs w:val="22"/>
              </w:rPr>
            </w:pPr>
            <w:r w:rsidRPr="00462BBC">
              <w:rPr>
                <w:rFonts w:ascii="Wingdings" w:hAnsi="Wingdings"/>
                <w:color w:val="FF0000"/>
                <w:sz w:val="22"/>
                <w:szCs w:val="22"/>
              </w:rPr>
              <w:t></w:t>
            </w:r>
            <w:r w:rsidRPr="00462BBC">
              <w:rPr>
                <w:sz w:val="22"/>
                <w:szCs w:val="22"/>
              </w:rPr>
              <w:t xml:space="preserve"> </w:t>
            </w:r>
            <w:r w:rsidRPr="00462BBC">
              <w:rPr>
                <w:b/>
                <w:sz w:val="22"/>
                <w:szCs w:val="22"/>
              </w:rPr>
              <w:t>Falls far below</w:t>
            </w:r>
          </w:p>
        </w:tc>
        <w:tc>
          <w:tcPr>
            <w:tcW w:w="7460" w:type="dxa"/>
            <w:tcBorders>
              <w:top w:val="nil"/>
              <w:left w:val="nil"/>
              <w:bottom w:val="single" w:sz="4" w:space="0" w:color="auto"/>
            </w:tcBorders>
          </w:tcPr>
          <w:p w14:paraId="7A818F84" w14:textId="77777777" w:rsidR="00462BBC" w:rsidRPr="00462BBC" w:rsidRDefault="00462BBC" w:rsidP="00E83069">
            <w:pPr>
              <w:spacing w:before="80" w:after="80"/>
              <w:rPr>
                <w:sz w:val="22"/>
                <w:szCs w:val="22"/>
              </w:rPr>
            </w:pPr>
            <w:r w:rsidRPr="00462BBC">
              <w:rPr>
                <w:sz w:val="22"/>
                <w:szCs w:val="22"/>
              </w:rPr>
              <w:t>Falls far below the criterion; significant concern(s) are noted.</w:t>
            </w:r>
          </w:p>
        </w:tc>
      </w:tr>
    </w:tbl>
    <w:p w14:paraId="36297B57" w14:textId="507A01EC" w:rsidR="002645A4" w:rsidRDefault="00462BBC" w:rsidP="00017B9E">
      <w:pPr>
        <w:pStyle w:val="Default"/>
      </w:pPr>
      <w: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aithfulness to certificate&#10;1. Mission and key design elements: Is faithful to its mission, implements the key design elements outlined in its certificate, and substantially meets its accountability plan goals. [Orange Dot] Partially Meets&#10;2. Access and equity: Ensures program access and equity for all students eligible to attend the school. [Orange Dot] Partially Meets&#10;3. Compliance: Compiles a record of compliance with the terms of its certificate and applicable state and federal laws and regulations. N/A&#10;&#10;Academic and program success&#10;4. Student performance: Consistently meets state student performance standards for academic growth, proficiency, and college and career readiness. [Red Dot]  Falls far below&#10;5. Program delivery: Delivers improved academic outcomes and educational success for all students. &#10;a. Curriculum [Orange Dot] Partially Meets&#10;b. Instruction [Orange Dot] Partially Meets&#10;c. Assessment and program evaluation [Orange Dot] Partially Meets&#10;d. Diverse learners [Orange Dot] Partially Meets&#10;6. Culture and family engagement: Supports students’ social and emotional health in a safe and respectful learning environment that engages families. [Green Dot] Meets&#10;&#10;Organizational viability&#10;7. Capacity: Sustains a well-functioning organizational structure and creates a professional working climate for all staff [Orange Dot] Partially Meets&#10;8. Governance: Board of Trustees acts as public agents authorized by the state and provides competent governance to ensure success and sustainability. [Green Dot] Meets&#10;9. Finance: Maintains a sound and stable financial condition that operates in a fiscally responsible and publicly accountable manner. [Green Dot] Meets&#10;"/>
      </w:tblPr>
      <w:tblGrid>
        <w:gridCol w:w="6858"/>
        <w:gridCol w:w="2502"/>
      </w:tblGrid>
      <w:tr w:rsidR="00462BBC" w:rsidRPr="000F3924" w14:paraId="1179FDFF" w14:textId="77777777" w:rsidTr="003B0C56">
        <w:trPr>
          <w:tblHeader/>
        </w:trPr>
        <w:tc>
          <w:tcPr>
            <w:tcW w:w="9360" w:type="dxa"/>
            <w:gridSpan w:val="2"/>
            <w:tcBorders>
              <w:bottom w:val="single" w:sz="18" w:space="0" w:color="auto"/>
            </w:tcBorders>
          </w:tcPr>
          <w:p w14:paraId="294D31BE" w14:textId="6711EFCD" w:rsidR="00462BBC" w:rsidRPr="000F3924" w:rsidRDefault="00462BBC" w:rsidP="00E83069">
            <w:pPr>
              <w:widowControl/>
              <w:spacing w:before="120" w:after="40"/>
              <w:rPr>
                <w:rFonts w:cstheme="minorHAnsi"/>
                <w:b/>
                <w:sz w:val="22"/>
                <w:szCs w:val="22"/>
              </w:rPr>
            </w:pPr>
            <w:r w:rsidRPr="000F3924">
              <w:rPr>
                <w:rFonts w:cstheme="minorHAnsi"/>
                <w:b/>
                <w:sz w:val="22"/>
                <w:szCs w:val="22"/>
              </w:rPr>
              <w:t>Faithfulness to certificate</w:t>
            </w:r>
          </w:p>
        </w:tc>
      </w:tr>
      <w:tr w:rsidR="00462BBC" w:rsidRPr="000F3924" w14:paraId="62DDE744" w14:textId="77777777" w:rsidTr="003B0C56">
        <w:trPr>
          <w:tblHeader/>
        </w:trPr>
        <w:tc>
          <w:tcPr>
            <w:tcW w:w="6858" w:type="dxa"/>
            <w:tcBorders>
              <w:top w:val="single" w:sz="18" w:space="0" w:color="auto"/>
            </w:tcBorders>
          </w:tcPr>
          <w:p w14:paraId="1011ED6A" w14:textId="77777777" w:rsidR="00462BBC" w:rsidRPr="000F3924" w:rsidRDefault="00462BBC" w:rsidP="00462BBC">
            <w:pPr>
              <w:pStyle w:val="ListParagraph"/>
              <w:numPr>
                <w:ilvl w:val="0"/>
                <w:numId w:val="10"/>
              </w:numPr>
              <w:spacing w:before="40" w:after="40"/>
              <w:contextualSpacing w:val="0"/>
              <w:rPr>
                <w:rFonts w:eastAsiaTheme="minorEastAsia"/>
                <w:sz w:val="22"/>
                <w:szCs w:val="22"/>
              </w:rPr>
            </w:pPr>
            <w:r w:rsidRPr="000F3924">
              <w:rPr>
                <w:rFonts w:eastAsiaTheme="minorEastAsia"/>
                <w:b/>
                <w:sz w:val="22"/>
                <w:szCs w:val="22"/>
              </w:rPr>
              <w:t>Mission and key design elements:</w:t>
            </w:r>
            <w:r w:rsidRPr="000F3924">
              <w:rPr>
                <w:rFonts w:eastAsiaTheme="minorEastAsia"/>
                <w:sz w:val="22"/>
                <w:szCs w:val="22"/>
              </w:rPr>
              <w:t xml:space="preserve"> Is faithful to its mission, implements the key design elements outlined in its certificate, and substantially meets its accountability plan goals.</w:t>
            </w:r>
          </w:p>
        </w:tc>
        <w:tc>
          <w:tcPr>
            <w:tcW w:w="2502" w:type="dxa"/>
            <w:tcBorders>
              <w:top w:val="single" w:sz="18" w:space="0" w:color="auto"/>
            </w:tcBorders>
          </w:tcPr>
          <w:p w14:paraId="1ACDC3D1" w14:textId="19379C93" w:rsidR="00462BBC" w:rsidRPr="000F3924" w:rsidRDefault="00462BBC" w:rsidP="00E83069">
            <w:pPr>
              <w:widowControl/>
              <w:spacing w:before="40" w:after="40"/>
              <w:ind w:left="180"/>
              <w:rPr>
                <w:rFonts w:cstheme="minorHAnsi"/>
                <w:b/>
                <w:sz w:val="22"/>
                <w:szCs w:val="22"/>
              </w:rPr>
            </w:pPr>
            <w:r w:rsidRPr="000F3924">
              <w:rPr>
                <w:rFonts w:ascii="Wingdings" w:hAnsi="Wingdings"/>
                <w:b/>
                <w:color w:val="FFC000"/>
                <w:sz w:val="22"/>
                <w:szCs w:val="22"/>
              </w:rPr>
              <w:t></w:t>
            </w:r>
            <w:r w:rsidRPr="000F3924">
              <w:rPr>
                <w:rFonts w:ascii="Wingdings" w:hAnsi="Wingdings"/>
                <w:b/>
                <w:color w:val="FFC000"/>
                <w:sz w:val="22"/>
                <w:szCs w:val="22"/>
              </w:rPr>
              <w:t></w:t>
            </w:r>
            <w:r w:rsidRPr="000F3924">
              <w:rPr>
                <w:rFonts w:cstheme="minorHAnsi"/>
                <w:b/>
                <w:sz w:val="22"/>
                <w:szCs w:val="22"/>
              </w:rPr>
              <w:t>Partially Meets</w:t>
            </w:r>
          </w:p>
        </w:tc>
      </w:tr>
      <w:tr w:rsidR="00462BBC" w:rsidRPr="000F3924" w14:paraId="73D16F29" w14:textId="77777777" w:rsidTr="003B0C56">
        <w:trPr>
          <w:tblHeader/>
        </w:trPr>
        <w:tc>
          <w:tcPr>
            <w:tcW w:w="6858" w:type="dxa"/>
          </w:tcPr>
          <w:p w14:paraId="75FDFA56" w14:textId="77777777" w:rsidR="00462BBC" w:rsidRPr="000F3924" w:rsidRDefault="00462BBC" w:rsidP="00462BBC">
            <w:pPr>
              <w:pStyle w:val="ListParagraph"/>
              <w:numPr>
                <w:ilvl w:val="0"/>
                <w:numId w:val="10"/>
              </w:numPr>
              <w:spacing w:before="40" w:after="40"/>
              <w:rPr>
                <w:rFonts w:eastAsiaTheme="minorEastAsia"/>
                <w:sz w:val="22"/>
                <w:szCs w:val="22"/>
              </w:rPr>
            </w:pPr>
            <w:r w:rsidRPr="000F3924">
              <w:rPr>
                <w:rFonts w:eastAsiaTheme="minorEastAsia"/>
                <w:b/>
                <w:sz w:val="22"/>
                <w:szCs w:val="22"/>
              </w:rPr>
              <w:t>Access and equity:</w:t>
            </w:r>
            <w:r w:rsidRPr="000F3924">
              <w:rPr>
                <w:rFonts w:eastAsiaTheme="minorEastAsia"/>
                <w:sz w:val="22"/>
                <w:szCs w:val="22"/>
              </w:rPr>
              <w:t xml:space="preserve"> Ensures program access and equity for all students eligible to attend the school.</w:t>
            </w:r>
          </w:p>
        </w:tc>
        <w:tc>
          <w:tcPr>
            <w:tcW w:w="2502" w:type="dxa"/>
          </w:tcPr>
          <w:p w14:paraId="2B799EE5" w14:textId="77777777" w:rsidR="00462BBC" w:rsidRPr="000F3924" w:rsidRDefault="00462BBC" w:rsidP="00E83069">
            <w:pPr>
              <w:widowControl/>
              <w:spacing w:before="40" w:after="40"/>
              <w:ind w:left="180"/>
              <w:rPr>
                <w:rFonts w:cstheme="minorHAnsi"/>
                <w:b/>
                <w:sz w:val="22"/>
                <w:szCs w:val="22"/>
              </w:rPr>
            </w:pPr>
            <w:r w:rsidRPr="000F3924">
              <w:rPr>
                <w:rFonts w:ascii="Wingdings" w:hAnsi="Wingdings"/>
                <w:b/>
                <w:color w:val="FFC000"/>
                <w:sz w:val="22"/>
                <w:szCs w:val="22"/>
              </w:rPr>
              <w:t></w:t>
            </w:r>
            <w:r w:rsidRPr="000F3924">
              <w:rPr>
                <w:rFonts w:ascii="Wingdings" w:hAnsi="Wingdings"/>
                <w:b/>
                <w:color w:val="FFC000"/>
                <w:sz w:val="22"/>
                <w:szCs w:val="22"/>
              </w:rPr>
              <w:t></w:t>
            </w:r>
            <w:r w:rsidRPr="000F3924">
              <w:rPr>
                <w:rFonts w:cstheme="minorHAnsi"/>
                <w:b/>
                <w:sz w:val="22"/>
                <w:szCs w:val="22"/>
              </w:rPr>
              <w:t>Partially Meets</w:t>
            </w:r>
          </w:p>
        </w:tc>
      </w:tr>
      <w:tr w:rsidR="00462BBC" w:rsidRPr="000F3924" w14:paraId="697374D8" w14:textId="77777777" w:rsidTr="003B0C56">
        <w:trPr>
          <w:tblHeader/>
        </w:trPr>
        <w:tc>
          <w:tcPr>
            <w:tcW w:w="6858" w:type="dxa"/>
          </w:tcPr>
          <w:p w14:paraId="44A26C09" w14:textId="77777777" w:rsidR="00462BBC" w:rsidRPr="000F3924" w:rsidRDefault="00462BBC" w:rsidP="00462BBC">
            <w:pPr>
              <w:pStyle w:val="ListParagraph"/>
              <w:numPr>
                <w:ilvl w:val="0"/>
                <w:numId w:val="10"/>
              </w:numPr>
              <w:spacing w:before="40" w:after="40"/>
              <w:rPr>
                <w:rFonts w:eastAsiaTheme="minorEastAsia"/>
                <w:sz w:val="22"/>
                <w:szCs w:val="22"/>
              </w:rPr>
            </w:pPr>
            <w:r w:rsidRPr="000F3924">
              <w:rPr>
                <w:rFonts w:eastAsiaTheme="minorEastAsia"/>
                <w:b/>
                <w:sz w:val="22"/>
                <w:szCs w:val="22"/>
              </w:rPr>
              <w:t>Compliance:</w:t>
            </w:r>
            <w:r w:rsidRPr="000F3924">
              <w:rPr>
                <w:rFonts w:eastAsiaTheme="minorEastAsia"/>
                <w:sz w:val="22"/>
                <w:szCs w:val="22"/>
              </w:rPr>
              <w:t xml:space="preserve"> Compiles a record of compliance with the terms of its certificate and applicable state and federal laws and regulations.</w:t>
            </w:r>
          </w:p>
        </w:tc>
        <w:tc>
          <w:tcPr>
            <w:tcW w:w="2502" w:type="dxa"/>
          </w:tcPr>
          <w:p w14:paraId="26175DBA" w14:textId="4432B5F3" w:rsidR="00462BBC" w:rsidRPr="000F3924" w:rsidRDefault="00462BBC" w:rsidP="00017B9E">
            <w:pPr>
              <w:widowControl/>
              <w:spacing w:before="40" w:after="40"/>
              <w:ind w:left="180"/>
              <w:jc w:val="center"/>
              <w:rPr>
                <w:b/>
                <w:sz w:val="22"/>
                <w:szCs w:val="22"/>
              </w:rPr>
            </w:pPr>
            <w:r w:rsidRPr="000F3924">
              <w:rPr>
                <w:b/>
                <w:sz w:val="22"/>
                <w:szCs w:val="22"/>
              </w:rPr>
              <w:t>N/A</w:t>
            </w:r>
          </w:p>
        </w:tc>
      </w:tr>
      <w:tr w:rsidR="00462BBC" w:rsidRPr="000F3924" w14:paraId="4A5B981B" w14:textId="77777777" w:rsidTr="003B0C56">
        <w:trPr>
          <w:tblHeader/>
        </w:trPr>
        <w:tc>
          <w:tcPr>
            <w:tcW w:w="9360" w:type="dxa"/>
            <w:gridSpan w:val="2"/>
            <w:tcBorders>
              <w:bottom w:val="single" w:sz="18" w:space="0" w:color="auto"/>
            </w:tcBorders>
          </w:tcPr>
          <w:p w14:paraId="0D567F3A" w14:textId="77777777" w:rsidR="00462BBC" w:rsidRPr="000F3924" w:rsidRDefault="00462BBC" w:rsidP="00E83069">
            <w:pPr>
              <w:widowControl/>
              <w:spacing w:before="120" w:after="40"/>
              <w:rPr>
                <w:rFonts w:cstheme="minorHAnsi"/>
                <w:b/>
                <w:sz w:val="22"/>
                <w:szCs w:val="22"/>
              </w:rPr>
            </w:pPr>
            <w:r w:rsidRPr="000F3924">
              <w:rPr>
                <w:rFonts w:cstheme="minorHAnsi"/>
                <w:b/>
                <w:sz w:val="22"/>
                <w:szCs w:val="22"/>
              </w:rPr>
              <w:t>Academic and program success</w:t>
            </w:r>
          </w:p>
        </w:tc>
      </w:tr>
      <w:tr w:rsidR="00462BBC" w:rsidRPr="000F3924" w14:paraId="6D217E25" w14:textId="77777777" w:rsidTr="003B0C56">
        <w:trPr>
          <w:tblHeader/>
        </w:trPr>
        <w:tc>
          <w:tcPr>
            <w:tcW w:w="6858" w:type="dxa"/>
            <w:tcBorders>
              <w:top w:val="single" w:sz="18" w:space="0" w:color="auto"/>
            </w:tcBorders>
          </w:tcPr>
          <w:p w14:paraId="36E71AF3" w14:textId="77777777" w:rsidR="00462BBC" w:rsidRPr="000F3924" w:rsidRDefault="00462BBC" w:rsidP="00462BBC">
            <w:pPr>
              <w:pStyle w:val="ListParagraph"/>
              <w:numPr>
                <w:ilvl w:val="0"/>
                <w:numId w:val="10"/>
              </w:numPr>
              <w:spacing w:before="40" w:after="40"/>
              <w:rPr>
                <w:rFonts w:eastAsiaTheme="minorEastAsia"/>
                <w:sz w:val="22"/>
                <w:szCs w:val="22"/>
              </w:rPr>
            </w:pPr>
            <w:r w:rsidRPr="000F3924">
              <w:rPr>
                <w:rFonts w:eastAsiaTheme="minorEastAsia"/>
                <w:b/>
                <w:sz w:val="22"/>
                <w:szCs w:val="22"/>
              </w:rPr>
              <w:t>Student performance:</w:t>
            </w:r>
            <w:r w:rsidRPr="000F3924">
              <w:rPr>
                <w:rFonts w:eastAsiaTheme="minorEastAsia"/>
                <w:sz w:val="22"/>
                <w:szCs w:val="22"/>
              </w:rPr>
              <w:t xml:space="preserve"> Consistently meets state student performance standards for academic growth, proficiency, and college and career readiness.</w:t>
            </w:r>
          </w:p>
        </w:tc>
        <w:tc>
          <w:tcPr>
            <w:tcW w:w="2502" w:type="dxa"/>
            <w:tcBorders>
              <w:top w:val="single" w:sz="18" w:space="0" w:color="auto"/>
            </w:tcBorders>
          </w:tcPr>
          <w:p w14:paraId="5B01BFA2" w14:textId="751191CE" w:rsidR="00462BBC" w:rsidRPr="000F3924" w:rsidRDefault="00166BAA" w:rsidP="00E83069">
            <w:pPr>
              <w:widowControl/>
              <w:spacing w:before="40" w:after="40"/>
              <w:ind w:left="180"/>
              <w:rPr>
                <w:rFonts w:cstheme="minorHAnsi"/>
                <w:b/>
                <w:sz w:val="22"/>
                <w:szCs w:val="22"/>
              </w:rPr>
            </w:pPr>
            <w:r w:rsidRPr="000F3924">
              <w:rPr>
                <w:rFonts w:ascii="Wingdings" w:hAnsi="Wingdings"/>
                <w:color w:val="FF0000"/>
                <w:sz w:val="22"/>
                <w:szCs w:val="22"/>
              </w:rPr>
              <w:t></w:t>
            </w:r>
            <w:r w:rsidR="00072E6C" w:rsidRPr="000F3924">
              <w:rPr>
                <w:rFonts w:ascii="Wingdings" w:hAnsi="Wingdings"/>
                <w:b/>
                <w:color w:val="FFC000"/>
                <w:sz w:val="22"/>
                <w:szCs w:val="22"/>
              </w:rPr>
              <w:t></w:t>
            </w:r>
            <w:r w:rsidRPr="000F3924">
              <w:rPr>
                <w:b/>
                <w:sz w:val="22"/>
                <w:szCs w:val="22"/>
              </w:rPr>
              <w:t>Falls far below</w:t>
            </w:r>
          </w:p>
        </w:tc>
      </w:tr>
      <w:tr w:rsidR="00462BBC" w:rsidRPr="000F3924" w14:paraId="098AE70E" w14:textId="77777777" w:rsidTr="003B0C56">
        <w:trPr>
          <w:tblHeader/>
        </w:trPr>
        <w:tc>
          <w:tcPr>
            <w:tcW w:w="6858" w:type="dxa"/>
          </w:tcPr>
          <w:p w14:paraId="38F1388B" w14:textId="77777777" w:rsidR="00462BBC" w:rsidRPr="000F3924" w:rsidRDefault="00462BBC" w:rsidP="00462BBC">
            <w:pPr>
              <w:pStyle w:val="ListParagraph"/>
              <w:numPr>
                <w:ilvl w:val="0"/>
                <w:numId w:val="10"/>
              </w:numPr>
              <w:spacing w:before="40" w:after="40"/>
              <w:rPr>
                <w:rFonts w:eastAsiaTheme="minorEastAsia"/>
                <w:sz w:val="22"/>
                <w:szCs w:val="22"/>
              </w:rPr>
            </w:pPr>
            <w:r w:rsidRPr="000F3924">
              <w:rPr>
                <w:rFonts w:eastAsiaTheme="minorEastAsia"/>
                <w:b/>
                <w:sz w:val="22"/>
                <w:szCs w:val="22"/>
              </w:rPr>
              <w:t>Program delivery:</w:t>
            </w:r>
            <w:r w:rsidRPr="000F3924">
              <w:rPr>
                <w:rFonts w:eastAsiaTheme="minorEastAsia"/>
                <w:sz w:val="22"/>
                <w:szCs w:val="22"/>
              </w:rPr>
              <w:t xml:space="preserve"> Delivers improved academic outcomes and educational success for all students.</w:t>
            </w:r>
          </w:p>
        </w:tc>
        <w:tc>
          <w:tcPr>
            <w:tcW w:w="2502" w:type="dxa"/>
          </w:tcPr>
          <w:p w14:paraId="191303F1" w14:textId="77777777" w:rsidR="00462BBC" w:rsidRPr="000F3924" w:rsidRDefault="00462BBC" w:rsidP="00E83069">
            <w:pPr>
              <w:widowControl/>
              <w:spacing w:before="40" w:after="40"/>
              <w:ind w:left="340"/>
              <w:rPr>
                <w:rFonts w:cstheme="minorHAnsi"/>
                <w:b/>
                <w:sz w:val="22"/>
                <w:szCs w:val="22"/>
              </w:rPr>
            </w:pPr>
          </w:p>
        </w:tc>
      </w:tr>
      <w:tr w:rsidR="00462BBC" w:rsidRPr="000F3924" w14:paraId="720E2919" w14:textId="77777777" w:rsidTr="003B0C56">
        <w:trPr>
          <w:tblHeader/>
        </w:trPr>
        <w:tc>
          <w:tcPr>
            <w:tcW w:w="6858" w:type="dxa"/>
          </w:tcPr>
          <w:p w14:paraId="30CEC7E6" w14:textId="77777777" w:rsidR="00462BBC" w:rsidRPr="000F3924" w:rsidRDefault="00462BBC" w:rsidP="00462BBC">
            <w:pPr>
              <w:pStyle w:val="ListParagraph"/>
              <w:numPr>
                <w:ilvl w:val="1"/>
                <w:numId w:val="10"/>
              </w:numPr>
              <w:spacing w:before="40" w:after="40" w:line="276" w:lineRule="auto"/>
              <w:rPr>
                <w:rFonts w:eastAsiaTheme="minorEastAsia"/>
                <w:b/>
                <w:sz w:val="22"/>
                <w:szCs w:val="22"/>
              </w:rPr>
            </w:pPr>
            <w:r w:rsidRPr="000F3924">
              <w:rPr>
                <w:rFonts w:eastAsiaTheme="minorEastAsia"/>
                <w:b/>
                <w:sz w:val="22"/>
                <w:szCs w:val="22"/>
              </w:rPr>
              <w:t>Curriculum</w:t>
            </w:r>
          </w:p>
        </w:tc>
        <w:tc>
          <w:tcPr>
            <w:tcW w:w="2502" w:type="dxa"/>
          </w:tcPr>
          <w:p w14:paraId="07D784CC" w14:textId="77777777" w:rsidR="00462BBC" w:rsidRPr="000F3924" w:rsidRDefault="00462BBC" w:rsidP="00E83069">
            <w:pPr>
              <w:widowControl/>
              <w:spacing w:before="40" w:after="40"/>
              <w:ind w:left="180"/>
              <w:rPr>
                <w:rFonts w:cstheme="minorHAnsi"/>
                <w:b/>
                <w:sz w:val="22"/>
                <w:szCs w:val="22"/>
              </w:rPr>
            </w:pPr>
            <w:r w:rsidRPr="000F3924">
              <w:rPr>
                <w:rFonts w:ascii="Wingdings" w:hAnsi="Wingdings"/>
                <w:b/>
                <w:color w:val="FFC000"/>
                <w:sz w:val="22"/>
                <w:szCs w:val="22"/>
              </w:rPr>
              <w:t></w:t>
            </w:r>
            <w:r w:rsidRPr="000F3924">
              <w:rPr>
                <w:rFonts w:ascii="Wingdings" w:hAnsi="Wingdings"/>
                <w:b/>
                <w:color w:val="FFC000"/>
                <w:sz w:val="22"/>
                <w:szCs w:val="22"/>
              </w:rPr>
              <w:t></w:t>
            </w:r>
            <w:r w:rsidRPr="000F3924">
              <w:rPr>
                <w:rFonts w:cstheme="minorHAnsi"/>
                <w:b/>
                <w:sz w:val="22"/>
                <w:szCs w:val="22"/>
              </w:rPr>
              <w:t>Partially Meets</w:t>
            </w:r>
          </w:p>
        </w:tc>
      </w:tr>
      <w:tr w:rsidR="00462BBC" w:rsidRPr="000F3924" w14:paraId="56845EA9" w14:textId="77777777" w:rsidTr="003B0C56">
        <w:trPr>
          <w:tblHeader/>
        </w:trPr>
        <w:tc>
          <w:tcPr>
            <w:tcW w:w="6858" w:type="dxa"/>
          </w:tcPr>
          <w:p w14:paraId="244B9D9E" w14:textId="77777777" w:rsidR="00462BBC" w:rsidRPr="000F3924" w:rsidRDefault="00462BBC" w:rsidP="00462BBC">
            <w:pPr>
              <w:pStyle w:val="ListParagraph"/>
              <w:numPr>
                <w:ilvl w:val="1"/>
                <w:numId w:val="10"/>
              </w:numPr>
              <w:spacing w:before="40" w:after="40" w:line="276" w:lineRule="auto"/>
              <w:rPr>
                <w:rFonts w:eastAsiaTheme="minorEastAsia"/>
                <w:b/>
                <w:sz w:val="22"/>
                <w:szCs w:val="22"/>
              </w:rPr>
            </w:pPr>
            <w:r w:rsidRPr="000F3924">
              <w:rPr>
                <w:rFonts w:eastAsiaTheme="minorEastAsia"/>
                <w:b/>
                <w:sz w:val="22"/>
                <w:szCs w:val="22"/>
              </w:rPr>
              <w:t>Instruction</w:t>
            </w:r>
          </w:p>
        </w:tc>
        <w:tc>
          <w:tcPr>
            <w:tcW w:w="2502" w:type="dxa"/>
          </w:tcPr>
          <w:p w14:paraId="03EA81DB" w14:textId="72F65825" w:rsidR="00462BBC" w:rsidRPr="000F3924" w:rsidRDefault="00166BAA" w:rsidP="00E83069">
            <w:pPr>
              <w:widowControl/>
              <w:spacing w:before="40" w:after="40"/>
              <w:ind w:left="180"/>
              <w:rPr>
                <w:rFonts w:cstheme="minorHAnsi"/>
                <w:b/>
                <w:sz w:val="22"/>
                <w:szCs w:val="22"/>
              </w:rPr>
            </w:pPr>
            <w:r w:rsidRPr="000F3924">
              <w:rPr>
                <w:rFonts w:ascii="Wingdings" w:hAnsi="Wingdings"/>
                <w:b/>
                <w:color w:val="FFC000"/>
                <w:sz w:val="22"/>
                <w:szCs w:val="22"/>
              </w:rPr>
              <w:t></w:t>
            </w:r>
            <w:r w:rsidRPr="000F3924">
              <w:rPr>
                <w:rFonts w:ascii="Wingdings" w:hAnsi="Wingdings"/>
                <w:b/>
                <w:color w:val="FFC000"/>
                <w:sz w:val="22"/>
                <w:szCs w:val="22"/>
              </w:rPr>
              <w:t></w:t>
            </w:r>
            <w:r w:rsidRPr="000F3924">
              <w:rPr>
                <w:rFonts w:cstheme="minorHAnsi"/>
                <w:b/>
                <w:sz w:val="22"/>
                <w:szCs w:val="22"/>
              </w:rPr>
              <w:t>Partially Meets</w:t>
            </w:r>
          </w:p>
        </w:tc>
      </w:tr>
      <w:tr w:rsidR="00462BBC" w:rsidRPr="000F3924" w14:paraId="185B14A7" w14:textId="77777777" w:rsidTr="003B0C56">
        <w:trPr>
          <w:tblHeader/>
        </w:trPr>
        <w:tc>
          <w:tcPr>
            <w:tcW w:w="6858" w:type="dxa"/>
          </w:tcPr>
          <w:p w14:paraId="2F306AC3" w14:textId="77777777" w:rsidR="00462BBC" w:rsidRPr="000F3924" w:rsidRDefault="00462BBC" w:rsidP="00462BBC">
            <w:pPr>
              <w:pStyle w:val="ListParagraph"/>
              <w:numPr>
                <w:ilvl w:val="1"/>
                <w:numId w:val="10"/>
              </w:numPr>
              <w:spacing w:before="40" w:after="40" w:line="276" w:lineRule="auto"/>
              <w:rPr>
                <w:rFonts w:eastAsiaTheme="minorEastAsia"/>
                <w:b/>
                <w:sz w:val="22"/>
                <w:szCs w:val="22"/>
              </w:rPr>
            </w:pPr>
            <w:r w:rsidRPr="000F3924">
              <w:rPr>
                <w:rFonts w:eastAsiaTheme="minorEastAsia"/>
                <w:b/>
                <w:sz w:val="22"/>
                <w:szCs w:val="22"/>
              </w:rPr>
              <w:t>Assessment and program evaluation</w:t>
            </w:r>
          </w:p>
        </w:tc>
        <w:tc>
          <w:tcPr>
            <w:tcW w:w="2502" w:type="dxa"/>
          </w:tcPr>
          <w:p w14:paraId="6F7C8DDC" w14:textId="1712C495" w:rsidR="00462BBC" w:rsidRPr="000F3924" w:rsidRDefault="00166BAA" w:rsidP="00E83069">
            <w:pPr>
              <w:widowControl/>
              <w:spacing w:before="40" w:after="40"/>
              <w:ind w:left="180"/>
              <w:rPr>
                <w:rFonts w:cstheme="minorHAnsi"/>
                <w:b/>
                <w:sz w:val="22"/>
                <w:szCs w:val="22"/>
              </w:rPr>
            </w:pPr>
            <w:r w:rsidRPr="000F3924">
              <w:rPr>
                <w:rFonts w:ascii="Wingdings" w:hAnsi="Wingdings"/>
                <w:b/>
                <w:color w:val="FFC000"/>
                <w:sz w:val="22"/>
                <w:szCs w:val="22"/>
              </w:rPr>
              <w:t></w:t>
            </w:r>
            <w:r w:rsidRPr="000F3924">
              <w:rPr>
                <w:rFonts w:ascii="Wingdings" w:hAnsi="Wingdings"/>
                <w:b/>
                <w:color w:val="FFC000"/>
                <w:sz w:val="22"/>
                <w:szCs w:val="22"/>
              </w:rPr>
              <w:t></w:t>
            </w:r>
            <w:r w:rsidRPr="000F3924">
              <w:rPr>
                <w:rFonts w:cstheme="minorHAnsi"/>
                <w:b/>
                <w:sz w:val="22"/>
                <w:szCs w:val="22"/>
              </w:rPr>
              <w:t>Partially Meets</w:t>
            </w:r>
          </w:p>
        </w:tc>
      </w:tr>
      <w:tr w:rsidR="00462BBC" w:rsidRPr="000F3924" w14:paraId="14B58E38" w14:textId="77777777" w:rsidTr="003B0C56">
        <w:trPr>
          <w:tblHeader/>
        </w:trPr>
        <w:tc>
          <w:tcPr>
            <w:tcW w:w="6858" w:type="dxa"/>
          </w:tcPr>
          <w:p w14:paraId="79341B83" w14:textId="77777777" w:rsidR="00462BBC" w:rsidRPr="000F3924" w:rsidRDefault="00462BBC" w:rsidP="00462BBC">
            <w:pPr>
              <w:pStyle w:val="ListParagraph"/>
              <w:numPr>
                <w:ilvl w:val="1"/>
                <w:numId w:val="10"/>
              </w:numPr>
              <w:spacing w:before="40" w:after="40" w:line="276" w:lineRule="auto"/>
              <w:rPr>
                <w:rFonts w:eastAsiaTheme="minorEastAsia"/>
                <w:b/>
                <w:sz w:val="22"/>
                <w:szCs w:val="22"/>
              </w:rPr>
            </w:pPr>
            <w:r w:rsidRPr="000F3924">
              <w:rPr>
                <w:rFonts w:eastAsiaTheme="minorEastAsia"/>
                <w:b/>
                <w:sz w:val="22"/>
                <w:szCs w:val="22"/>
              </w:rPr>
              <w:t>Diverse learners</w:t>
            </w:r>
          </w:p>
        </w:tc>
        <w:tc>
          <w:tcPr>
            <w:tcW w:w="2502" w:type="dxa"/>
          </w:tcPr>
          <w:p w14:paraId="5F10706A" w14:textId="77777777" w:rsidR="00462BBC" w:rsidRPr="000F3924" w:rsidRDefault="00462BBC" w:rsidP="00E83069">
            <w:pPr>
              <w:widowControl/>
              <w:spacing w:before="40" w:after="40"/>
              <w:ind w:left="180"/>
              <w:rPr>
                <w:rFonts w:cstheme="minorHAnsi"/>
                <w:b/>
                <w:sz w:val="22"/>
                <w:szCs w:val="22"/>
              </w:rPr>
            </w:pPr>
            <w:r w:rsidRPr="000F3924">
              <w:rPr>
                <w:rFonts w:ascii="Wingdings" w:hAnsi="Wingdings"/>
                <w:b/>
                <w:color w:val="FFC000"/>
                <w:sz w:val="22"/>
                <w:szCs w:val="22"/>
              </w:rPr>
              <w:t></w:t>
            </w:r>
            <w:r w:rsidRPr="000F3924">
              <w:rPr>
                <w:rFonts w:ascii="Wingdings" w:hAnsi="Wingdings"/>
                <w:b/>
                <w:color w:val="FFC000"/>
                <w:sz w:val="22"/>
                <w:szCs w:val="22"/>
              </w:rPr>
              <w:t></w:t>
            </w:r>
            <w:r w:rsidRPr="000F3924">
              <w:rPr>
                <w:rFonts w:cstheme="minorHAnsi"/>
                <w:b/>
                <w:sz w:val="22"/>
                <w:szCs w:val="22"/>
              </w:rPr>
              <w:t>Partially Meets</w:t>
            </w:r>
          </w:p>
        </w:tc>
      </w:tr>
      <w:tr w:rsidR="00462BBC" w:rsidRPr="000F3924" w14:paraId="46767CFD" w14:textId="77777777" w:rsidTr="003B0C56">
        <w:trPr>
          <w:tblHeader/>
        </w:trPr>
        <w:tc>
          <w:tcPr>
            <w:tcW w:w="6858" w:type="dxa"/>
          </w:tcPr>
          <w:p w14:paraId="141DA98D" w14:textId="77777777" w:rsidR="00462BBC" w:rsidRPr="000F3924" w:rsidRDefault="00462BBC" w:rsidP="00462BBC">
            <w:pPr>
              <w:pStyle w:val="ListParagraph"/>
              <w:numPr>
                <w:ilvl w:val="0"/>
                <w:numId w:val="10"/>
              </w:numPr>
              <w:spacing w:before="40" w:after="40"/>
              <w:rPr>
                <w:rFonts w:eastAsiaTheme="minorEastAsia"/>
                <w:sz w:val="22"/>
                <w:szCs w:val="22"/>
              </w:rPr>
            </w:pPr>
            <w:r w:rsidRPr="000F3924">
              <w:rPr>
                <w:rFonts w:eastAsiaTheme="minorEastAsia"/>
                <w:b/>
                <w:sz w:val="22"/>
                <w:szCs w:val="22"/>
              </w:rPr>
              <w:t>Culture and family engagement:</w:t>
            </w:r>
            <w:r w:rsidRPr="000F3924">
              <w:rPr>
                <w:rFonts w:eastAsiaTheme="minorEastAsia"/>
                <w:sz w:val="22"/>
                <w:szCs w:val="22"/>
              </w:rPr>
              <w:t xml:space="preserve"> Supports students’ social and emotional health in a safe and respectful learning environment that engages families.</w:t>
            </w:r>
          </w:p>
        </w:tc>
        <w:tc>
          <w:tcPr>
            <w:tcW w:w="2502" w:type="dxa"/>
          </w:tcPr>
          <w:p w14:paraId="50FE4A55" w14:textId="77777777" w:rsidR="00462BBC" w:rsidRPr="000F3924" w:rsidRDefault="00462BBC" w:rsidP="00E83069">
            <w:pPr>
              <w:widowControl/>
              <w:spacing w:before="40" w:after="40"/>
              <w:ind w:left="180"/>
              <w:rPr>
                <w:rFonts w:cstheme="minorHAnsi"/>
                <w:b/>
                <w:sz w:val="22"/>
                <w:szCs w:val="22"/>
              </w:rPr>
            </w:pPr>
            <w:r w:rsidRPr="000F3924">
              <w:rPr>
                <w:rFonts w:ascii="Wingdings" w:hAnsi="Wingdings"/>
                <w:b/>
                <w:color w:val="00B050"/>
                <w:sz w:val="22"/>
                <w:szCs w:val="22"/>
              </w:rPr>
              <w:t></w:t>
            </w:r>
            <w:r w:rsidRPr="000F3924">
              <w:rPr>
                <w:rFonts w:ascii="Wingdings" w:hAnsi="Wingdings"/>
                <w:b/>
                <w:color w:val="00B050"/>
                <w:sz w:val="22"/>
                <w:szCs w:val="22"/>
              </w:rPr>
              <w:t></w:t>
            </w:r>
            <w:r w:rsidRPr="000F3924">
              <w:rPr>
                <w:rFonts w:cstheme="minorHAnsi"/>
                <w:b/>
                <w:sz w:val="22"/>
                <w:szCs w:val="22"/>
              </w:rPr>
              <w:t>Meets</w:t>
            </w:r>
          </w:p>
        </w:tc>
      </w:tr>
      <w:tr w:rsidR="00462BBC" w:rsidRPr="000F3924" w14:paraId="56EEC11C" w14:textId="77777777" w:rsidTr="003B0C56">
        <w:trPr>
          <w:tblHeader/>
        </w:trPr>
        <w:tc>
          <w:tcPr>
            <w:tcW w:w="9360" w:type="dxa"/>
            <w:gridSpan w:val="2"/>
            <w:tcBorders>
              <w:bottom w:val="single" w:sz="18" w:space="0" w:color="auto"/>
            </w:tcBorders>
          </w:tcPr>
          <w:p w14:paraId="4AA5D525" w14:textId="77777777" w:rsidR="00462BBC" w:rsidRPr="000F3924" w:rsidRDefault="00462BBC" w:rsidP="00E83069">
            <w:pPr>
              <w:widowControl/>
              <w:spacing w:before="120" w:after="40"/>
              <w:rPr>
                <w:rFonts w:cstheme="minorHAnsi"/>
                <w:b/>
                <w:sz w:val="22"/>
                <w:szCs w:val="22"/>
              </w:rPr>
            </w:pPr>
            <w:r w:rsidRPr="000F3924">
              <w:rPr>
                <w:rFonts w:cstheme="minorHAnsi"/>
                <w:b/>
                <w:sz w:val="22"/>
                <w:szCs w:val="22"/>
              </w:rPr>
              <w:t>Organizational viability</w:t>
            </w:r>
          </w:p>
        </w:tc>
      </w:tr>
      <w:tr w:rsidR="00462BBC" w:rsidRPr="000F3924" w14:paraId="7D85BD03" w14:textId="77777777" w:rsidTr="003B0C56">
        <w:trPr>
          <w:tblHeader/>
        </w:trPr>
        <w:tc>
          <w:tcPr>
            <w:tcW w:w="6858" w:type="dxa"/>
            <w:tcBorders>
              <w:top w:val="single" w:sz="18" w:space="0" w:color="auto"/>
            </w:tcBorders>
          </w:tcPr>
          <w:p w14:paraId="207332C1" w14:textId="77777777" w:rsidR="00462BBC" w:rsidRPr="000F3924" w:rsidRDefault="00462BBC" w:rsidP="00462BBC">
            <w:pPr>
              <w:pStyle w:val="ListParagraph"/>
              <w:numPr>
                <w:ilvl w:val="0"/>
                <w:numId w:val="10"/>
              </w:numPr>
              <w:spacing w:before="40" w:after="40"/>
              <w:rPr>
                <w:rFonts w:eastAsiaTheme="minorEastAsia"/>
                <w:sz w:val="22"/>
                <w:szCs w:val="22"/>
              </w:rPr>
            </w:pPr>
            <w:r w:rsidRPr="000F3924">
              <w:rPr>
                <w:rFonts w:eastAsiaTheme="minorEastAsia"/>
                <w:b/>
                <w:sz w:val="22"/>
                <w:szCs w:val="22"/>
              </w:rPr>
              <w:t>Capacity:</w:t>
            </w:r>
            <w:r w:rsidRPr="000F3924">
              <w:rPr>
                <w:rFonts w:eastAsiaTheme="minorEastAsia"/>
                <w:sz w:val="22"/>
                <w:szCs w:val="22"/>
              </w:rPr>
              <w:t xml:space="preserve"> Sustains a well-functioning organizational structure and creates a professional working climate for all staff</w:t>
            </w:r>
          </w:p>
        </w:tc>
        <w:tc>
          <w:tcPr>
            <w:tcW w:w="2502" w:type="dxa"/>
            <w:tcBorders>
              <w:top w:val="single" w:sz="18" w:space="0" w:color="auto"/>
            </w:tcBorders>
          </w:tcPr>
          <w:p w14:paraId="7E6ED8F2" w14:textId="7DF3EB7F" w:rsidR="00462BBC" w:rsidRPr="000F3924" w:rsidRDefault="00166BAA" w:rsidP="00E83069">
            <w:pPr>
              <w:widowControl/>
              <w:spacing w:before="40" w:after="40"/>
              <w:ind w:left="180"/>
              <w:rPr>
                <w:rFonts w:cstheme="minorHAnsi"/>
                <w:sz w:val="22"/>
                <w:szCs w:val="22"/>
              </w:rPr>
            </w:pPr>
            <w:r w:rsidRPr="000F3924">
              <w:rPr>
                <w:rFonts w:ascii="Wingdings" w:hAnsi="Wingdings"/>
                <w:b/>
                <w:color w:val="FFC000"/>
                <w:sz w:val="22"/>
                <w:szCs w:val="22"/>
              </w:rPr>
              <w:t></w:t>
            </w:r>
            <w:r w:rsidRPr="000F3924">
              <w:rPr>
                <w:rFonts w:ascii="Wingdings" w:hAnsi="Wingdings"/>
                <w:b/>
                <w:color w:val="FFC000"/>
                <w:sz w:val="22"/>
                <w:szCs w:val="22"/>
              </w:rPr>
              <w:t></w:t>
            </w:r>
            <w:r w:rsidRPr="000F3924">
              <w:rPr>
                <w:rFonts w:cstheme="minorHAnsi"/>
                <w:b/>
                <w:sz w:val="22"/>
                <w:szCs w:val="22"/>
              </w:rPr>
              <w:t>Partially Meets</w:t>
            </w:r>
          </w:p>
        </w:tc>
      </w:tr>
      <w:tr w:rsidR="00462BBC" w:rsidRPr="000F3924" w14:paraId="4F586461" w14:textId="77777777" w:rsidTr="003B0C56">
        <w:trPr>
          <w:tblHeader/>
        </w:trPr>
        <w:tc>
          <w:tcPr>
            <w:tcW w:w="6858" w:type="dxa"/>
          </w:tcPr>
          <w:p w14:paraId="0EB11B19" w14:textId="77777777" w:rsidR="00462BBC" w:rsidRPr="000F3924" w:rsidRDefault="00462BBC" w:rsidP="00462BBC">
            <w:pPr>
              <w:pStyle w:val="ListParagraph"/>
              <w:numPr>
                <w:ilvl w:val="0"/>
                <w:numId w:val="10"/>
              </w:numPr>
              <w:spacing w:before="40" w:after="40"/>
              <w:rPr>
                <w:rFonts w:eastAsiaTheme="minorEastAsia"/>
                <w:sz w:val="22"/>
                <w:szCs w:val="22"/>
              </w:rPr>
            </w:pPr>
            <w:r w:rsidRPr="000F3924">
              <w:rPr>
                <w:rFonts w:eastAsiaTheme="minorEastAsia"/>
                <w:b/>
                <w:sz w:val="22"/>
                <w:szCs w:val="22"/>
              </w:rPr>
              <w:t>Governance:</w:t>
            </w:r>
            <w:r w:rsidRPr="000F3924">
              <w:rPr>
                <w:rFonts w:eastAsiaTheme="minorEastAsia"/>
                <w:sz w:val="22"/>
                <w:szCs w:val="22"/>
              </w:rPr>
              <w:t xml:space="preserve"> </w:t>
            </w:r>
            <w:r w:rsidRPr="000F3924">
              <w:rPr>
                <w:sz w:val="22"/>
                <w:szCs w:val="22"/>
              </w:rPr>
              <w:t>Board of Trustees acts as public agents authorized by the state and provides competent governance to ensure success and sustainability.</w:t>
            </w:r>
          </w:p>
        </w:tc>
        <w:tc>
          <w:tcPr>
            <w:tcW w:w="2502" w:type="dxa"/>
          </w:tcPr>
          <w:p w14:paraId="3B693D10" w14:textId="4DD4740C" w:rsidR="00462BBC" w:rsidRPr="000F3924" w:rsidRDefault="00166BAA" w:rsidP="00E83069">
            <w:pPr>
              <w:widowControl/>
              <w:spacing w:before="40" w:after="40"/>
              <w:ind w:left="180"/>
              <w:rPr>
                <w:rFonts w:cstheme="minorHAnsi"/>
                <w:b/>
                <w:sz w:val="22"/>
                <w:szCs w:val="22"/>
              </w:rPr>
            </w:pPr>
            <w:r w:rsidRPr="000F3924">
              <w:rPr>
                <w:rFonts w:ascii="Wingdings" w:hAnsi="Wingdings"/>
                <w:b/>
                <w:color w:val="00B050"/>
                <w:sz w:val="22"/>
                <w:szCs w:val="22"/>
              </w:rPr>
              <w:t></w:t>
            </w:r>
            <w:r w:rsidRPr="000F3924">
              <w:rPr>
                <w:rFonts w:ascii="Wingdings" w:hAnsi="Wingdings"/>
                <w:b/>
                <w:color w:val="00B050"/>
                <w:sz w:val="22"/>
                <w:szCs w:val="22"/>
              </w:rPr>
              <w:t></w:t>
            </w:r>
            <w:r w:rsidRPr="000F3924">
              <w:rPr>
                <w:rFonts w:cstheme="minorHAnsi"/>
                <w:b/>
                <w:sz w:val="22"/>
                <w:szCs w:val="22"/>
              </w:rPr>
              <w:t>Meets</w:t>
            </w:r>
          </w:p>
        </w:tc>
      </w:tr>
      <w:tr w:rsidR="00462BBC" w:rsidRPr="000F3924" w14:paraId="4E50E34E" w14:textId="77777777" w:rsidTr="003B0C56">
        <w:trPr>
          <w:tblHeader/>
        </w:trPr>
        <w:tc>
          <w:tcPr>
            <w:tcW w:w="6858" w:type="dxa"/>
          </w:tcPr>
          <w:p w14:paraId="0D0FC7B7" w14:textId="77777777" w:rsidR="00462BBC" w:rsidRPr="000F3924" w:rsidRDefault="00462BBC" w:rsidP="00462BBC">
            <w:pPr>
              <w:pStyle w:val="ListParagraph"/>
              <w:numPr>
                <w:ilvl w:val="0"/>
                <w:numId w:val="10"/>
              </w:numPr>
              <w:spacing w:before="40" w:after="40"/>
              <w:rPr>
                <w:rFonts w:eastAsiaTheme="minorEastAsia"/>
                <w:sz w:val="22"/>
                <w:szCs w:val="22"/>
              </w:rPr>
            </w:pPr>
            <w:r w:rsidRPr="000F3924">
              <w:rPr>
                <w:rFonts w:eastAsiaTheme="minorEastAsia"/>
                <w:b/>
                <w:sz w:val="22"/>
                <w:szCs w:val="22"/>
              </w:rPr>
              <w:t>Finance:</w:t>
            </w:r>
            <w:r w:rsidRPr="000F3924">
              <w:rPr>
                <w:rFonts w:eastAsiaTheme="minorEastAsia"/>
                <w:sz w:val="22"/>
                <w:szCs w:val="22"/>
              </w:rPr>
              <w:t xml:space="preserve"> </w:t>
            </w:r>
            <w:r w:rsidRPr="000F3924">
              <w:rPr>
                <w:sz w:val="22"/>
                <w:szCs w:val="22"/>
              </w:rPr>
              <w:t>Maintains a sound and stable financial condition that operates in a fiscally responsible and publicly accountable manner.</w:t>
            </w:r>
          </w:p>
        </w:tc>
        <w:tc>
          <w:tcPr>
            <w:tcW w:w="2502" w:type="dxa"/>
          </w:tcPr>
          <w:p w14:paraId="316D6F3A" w14:textId="77777777" w:rsidR="00462BBC" w:rsidRPr="000F3924" w:rsidRDefault="00462BBC" w:rsidP="00E83069">
            <w:pPr>
              <w:widowControl/>
              <w:spacing w:before="40" w:after="40"/>
              <w:ind w:left="180"/>
              <w:rPr>
                <w:rFonts w:cstheme="minorHAnsi"/>
                <w:b/>
                <w:sz w:val="22"/>
                <w:szCs w:val="22"/>
              </w:rPr>
            </w:pPr>
            <w:r w:rsidRPr="000F3924">
              <w:rPr>
                <w:rFonts w:ascii="Wingdings" w:hAnsi="Wingdings"/>
                <w:b/>
                <w:color w:val="00B050"/>
                <w:sz w:val="22"/>
                <w:szCs w:val="22"/>
              </w:rPr>
              <w:t></w:t>
            </w:r>
            <w:r w:rsidRPr="000F3924">
              <w:rPr>
                <w:rFonts w:ascii="Wingdings" w:hAnsi="Wingdings"/>
                <w:b/>
                <w:color w:val="00B050"/>
                <w:sz w:val="22"/>
                <w:szCs w:val="22"/>
              </w:rPr>
              <w:t></w:t>
            </w:r>
            <w:r w:rsidRPr="000F3924">
              <w:rPr>
                <w:rFonts w:cstheme="minorHAnsi"/>
                <w:b/>
                <w:sz w:val="22"/>
                <w:szCs w:val="22"/>
              </w:rPr>
              <w:t>Meets</w:t>
            </w:r>
          </w:p>
        </w:tc>
      </w:tr>
    </w:tbl>
    <w:p w14:paraId="28B6F647" w14:textId="77777777" w:rsidR="00017B9E" w:rsidRDefault="00017B9E" w:rsidP="005E35E6">
      <w:pPr>
        <w:widowControl/>
        <w:rPr>
          <w:b/>
          <w:color w:val="000000"/>
          <w:szCs w:val="24"/>
          <w:u w:val="single"/>
        </w:rPr>
      </w:pPr>
    </w:p>
    <w:p w14:paraId="60623A5E" w14:textId="77777777" w:rsidR="000F3924" w:rsidRDefault="000F3924" w:rsidP="005E35E6">
      <w:pPr>
        <w:widowControl/>
        <w:rPr>
          <w:b/>
          <w:color w:val="000000"/>
          <w:szCs w:val="24"/>
          <w:u w:val="single"/>
        </w:rPr>
      </w:pPr>
    </w:p>
    <w:p w14:paraId="36E1486E" w14:textId="2B97248F" w:rsidR="005E35E6" w:rsidRPr="0087578E" w:rsidRDefault="005E35E6" w:rsidP="005E35E6">
      <w:pPr>
        <w:widowControl/>
        <w:rPr>
          <w:b/>
          <w:color w:val="000000"/>
          <w:szCs w:val="24"/>
          <w:u w:val="single"/>
        </w:rPr>
      </w:pPr>
      <w:r w:rsidRPr="00381F3C">
        <w:rPr>
          <w:b/>
          <w:color w:val="000000"/>
          <w:szCs w:val="24"/>
          <w:u w:val="single"/>
        </w:rPr>
        <w:lastRenderedPageBreak/>
        <w:t>Recommendation</w:t>
      </w:r>
    </w:p>
    <w:p w14:paraId="7BA46B84" w14:textId="77777777" w:rsidR="005E35E6" w:rsidRPr="002F7DF1" w:rsidRDefault="005E35E6" w:rsidP="005E35E6">
      <w:pPr>
        <w:widowControl/>
        <w:rPr>
          <w:color w:val="000000"/>
          <w:szCs w:val="24"/>
        </w:rPr>
      </w:pPr>
    </w:p>
    <w:p w14:paraId="1AFF25B7" w14:textId="023BA1A1" w:rsidR="00974426" w:rsidRPr="000A049C" w:rsidRDefault="00974426" w:rsidP="00974426">
      <w:pPr>
        <w:widowControl/>
        <w:rPr>
          <w:color w:val="000000"/>
          <w:szCs w:val="24"/>
        </w:rPr>
      </w:pPr>
      <w:r w:rsidRPr="002F7DF1">
        <w:rPr>
          <w:color w:val="000000"/>
          <w:szCs w:val="24"/>
        </w:rPr>
        <w:t xml:space="preserve">Pursuant to the regulations for Commonwealth of Massachusetts Virtual Schools at 603 CMR 52.12(2), I recommend that the Board renew the certificate </w:t>
      </w:r>
      <w:r>
        <w:rPr>
          <w:color w:val="000000"/>
          <w:szCs w:val="24"/>
        </w:rPr>
        <w:t xml:space="preserve">for GCVS </w:t>
      </w:r>
      <w:r w:rsidR="007E6BA5">
        <w:rPr>
          <w:color w:val="000000"/>
          <w:szCs w:val="24"/>
        </w:rPr>
        <w:t>for three years</w:t>
      </w:r>
      <w:r w:rsidR="00BD7550">
        <w:rPr>
          <w:color w:val="000000"/>
          <w:szCs w:val="24"/>
        </w:rPr>
        <w:t>,</w:t>
      </w:r>
      <w:r w:rsidR="007E6BA5">
        <w:rPr>
          <w:color w:val="000000"/>
          <w:szCs w:val="24"/>
        </w:rPr>
        <w:t xml:space="preserve"> </w:t>
      </w:r>
      <w:r w:rsidR="00BD7550" w:rsidRPr="002F7DF1">
        <w:rPr>
          <w:color w:val="000000"/>
          <w:szCs w:val="24"/>
        </w:rPr>
        <w:t xml:space="preserve">the minimum </w:t>
      </w:r>
      <w:r w:rsidR="00BD7550">
        <w:rPr>
          <w:color w:val="000000"/>
          <w:szCs w:val="24"/>
        </w:rPr>
        <w:t xml:space="preserve">period </w:t>
      </w:r>
      <w:r w:rsidR="00BD7550" w:rsidRPr="002F7DF1">
        <w:rPr>
          <w:color w:val="000000"/>
          <w:szCs w:val="24"/>
        </w:rPr>
        <w:t xml:space="preserve">permitted by </w:t>
      </w:r>
      <w:r w:rsidR="00BD7550">
        <w:rPr>
          <w:color w:val="000000"/>
          <w:szCs w:val="24"/>
        </w:rPr>
        <w:t xml:space="preserve">statute, </w:t>
      </w:r>
      <w:r>
        <w:rPr>
          <w:color w:val="000000"/>
          <w:szCs w:val="24"/>
        </w:rPr>
        <w:t xml:space="preserve">with conditions. </w:t>
      </w:r>
      <w:r w:rsidR="00B35AB9">
        <w:rPr>
          <w:color w:val="000000"/>
          <w:szCs w:val="24"/>
        </w:rPr>
        <w:t>I am not pleased with the outcomes reflected in the summary of review</w:t>
      </w:r>
      <w:r w:rsidR="008A0C9E">
        <w:rPr>
          <w:color w:val="000000"/>
          <w:szCs w:val="24"/>
        </w:rPr>
        <w:t xml:space="preserve"> and summarized in this memorandum</w:t>
      </w:r>
      <w:r w:rsidR="00B35AB9">
        <w:rPr>
          <w:color w:val="000000"/>
          <w:szCs w:val="24"/>
        </w:rPr>
        <w:t xml:space="preserve">; the school is not yet providing the results its students deserve. I have carefully weighed the school’s history, the </w:t>
      </w:r>
      <w:r w:rsidR="00B55FB0">
        <w:rPr>
          <w:color w:val="000000"/>
          <w:szCs w:val="24"/>
        </w:rPr>
        <w:t>composition of the school’s population</w:t>
      </w:r>
      <w:r w:rsidR="00B35AB9">
        <w:rPr>
          <w:color w:val="000000"/>
          <w:szCs w:val="24"/>
        </w:rPr>
        <w:t xml:space="preserve">, as well as the track record of virtual schools in Massachusetts and nationwide in making my recommendation. </w:t>
      </w:r>
      <w:r w:rsidRPr="002F7DF1">
        <w:rPr>
          <w:szCs w:val="24"/>
        </w:rPr>
        <w:t>My recommendation</w:t>
      </w:r>
      <w:r>
        <w:rPr>
          <w:szCs w:val="24"/>
        </w:rPr>
        <w:t xml:space="preserve"> </w:t>
      </w:r>
      <w:r w:rsidRPr="002F7DF1">
        <w:rPr>
          <w:szCs w:val="24"/>
        </w:rPr>
        <w:t>is based on several factors</w:t>
      </w:r>
      <w:r>
        <w:rPr>
          <w:szCs w:val="24"/>
        </w:rPr>
        <w:t>, as follows.</w:t>
      </w:r>
    </w:p>
    <w:p w14:paraId="2F603288" w14:textId="6FAA834D" w:rsidR="00974426" w:rsidRPr="002F7DF1" w:rsidRDefault="00974426" w:rsidP="00974426"/>
    <w:p w14:paraId="187F5331" w14:textId="21AFD097" w:rsidR="00974426" w:rsidRDefault="00974426" w:rsidP="00974426">
      <w:pPr>
        <w:pStyle w:val="ListParagraph"/>
        <w:numPr>
          <w:ilvl w:val="0"/>
          <w:numId w:val="2"/>
        </w:numPr>
      </w:pPr>
      <w:r w:rsidRPr="002F7DF1">
        <w:t xml:space="preserve">Focus group interviews with parents/guardians of GCVS students </w:t>
      </w:r>
      <w:r w:rsidR="006128D1">
        <w:t>continue to</w:t>
      </w:r>
      <w:r w:rsidRPr="002F7DF1">
        <w:t xml:space="preserve"> indicate that the existence of a virtual option benefits many students with unique circumstances. Examples include students with soci</w:t>
      </w:r>
      <w:r>
        <w:t xml:space="preserve">al and </w:t>
      </w:r>
      <w:r w:rsidRPr="002F7DF1">
        <w:t>emotional issues; students who experienced bullying in traditional public schools; students with chronic medical conditions that require in-home or hospital-based care, or otherwise necessitate frequent absence from their brick-and-mortar school; and academically or athletically gifted students who desire more flexible programming.</w:t>
      </w:r>
      <w:r>
        <w:t xml:space="preserve"> S</w:t>
      </w:r>
      <w:r w:rsidRPr="00735E7A">
        <w:t xml:space="preserve">tudent Information Management System (SIMS) data </w:t>
      </w:r>
      <w:r>
        <w:t xml:space="preserve">collected in </w:t>
      </w:r>
      <w:r w:rsidR="00D93A0D">
        <w:t>October 2018</w:t>
      </w:r>
      <w:r w:rsidRPr="00735E7A">
        <w:t xml:space="preserve"> </w:t>
      </w:r>
      <w:r w:rsidR="007E6BA5">
        <w:t>also indicates</w:t>
      </w:r>
      <w:r w:rsidRPr="00735E7A">
        <w:t xml:space="preserve"> that GCVS serves a unique student populatio</w:t>
      </w:r>
      <w:r w:rsidR="00D93A0D">
        <w:t>n. The school</w:t>
      </w:r>
      <w:r w:rsidR="006128D1">
        <w:t xml:space="preserve"> enrolls some populations at rates above state averages. During the 2018-2019 school year, </w:t>
      </w:r>
      <w:r w:rsidR="00D93A0D">
        <w:t>5.9 percent</w:t>
      </w:r>
      <w:r w:rsidRPr="00735E7A">
        <w:t xml:space="preserve"> of </w:t>
      </w:r>
      <w:r w:rsidR="006128D1">
        <w:t xml:space="preserve">GCVS </w:t>
      </w:r>
      <w:r w:rsidRPr="00735E7A">
        <w:t xml:space="preserve">students </w:t>
      </w:r>
      <w:r w:rsidR="0095710F">
        <w:t xml:space="preserve">are </w:t>
      </w:r>
      <w:r w:rsidRPr="00735E7A">
        <w:t>receiv</w:t>
      </w:r>
      <w:r w:rsidR="0095710F">
        <w:t>ing</w:t>
      </w:r>
      <w:r w:rsidRPr="00735E7A">
        <w:t xml:space="preserve"> accommodations through Section 504 </w:t>
      </w:r>
      <w:r w:rsidR="006128D1">
        <w:t>plans</w:t>
      </w:r>
      <w:r w:rsidR="00334B75">
        <w:t>,</w:t>
      </w:r>
      <w:r w:rsidR="006128D1">
        <w:t xml:space="preserve"> above </w:t>
      </w:r>
      <w:r w:rsidR="00334B75">
        <w:t xml:space="preserve">the </w:t>
      </w:r>
      <w:r w:rsidR="006128D1">
        <w:t>state average. Additionally, 21.2 percent of GCVS</w:t>
      </w:r>
      <w:r w:rsidR="00D93A0D">
        <w:t xml:space="preserve"> students have</w:t>
      </w:r>
      <w:r w:rsidRPr="00735E7A">
        <w:t xml:space="preserve"> Individualized Education </w:t>
      </w:r>
      <w:r w:rsidR="006128D1">
        <w:t>Plans</w:t>
      </w:r>
      <w:r w:rsidRPr="00735E7A">
        <w:t xml:space="preserve"> (IEPs)</w:t>
      </w:r>
      <w:r w:rsidR="006128D1">
        <w:t xml:space="preserve">, also above </w:t>
      </w:r>
      <w:r w:rsidR="00334B75">
        <w:t xml:space="preserve">the </w:t>
      </w:r>
      <w:r w:rsidR="006128D1">
        <w:t>state average</w:t>
      </w:r>
      <w:r>
        <w:t>.</w:t>
      </w:r>
      <w:r w:rsidRPr="001548E1">
        <w:rPr>
          <w:rStyle w:val="FootnoteReference"/>
          <w:vertAlign w:val="superscript"/>
        </w:rPr>
        <w:footnoteReference w:id="5"/>
      </w:r>
      <w:r w:rsidRPr="001548E1">
        <w:rPr>
          <w:vertAlign w:val="superscript"/>
        </w:rPr>
        <w:t xml:space="preserve"> </w:t>
      </w:r>
    </w:p>
    <w:p w14:paraId="67A732B9" w14:textId="77777777" w:rsidR="00974426" w:rsidRDefault="00974426" w:rsidP="00974426">
      <w:pPr>
        <w:pStyle w:val="ListParagraph"/>
      </w:pPr>
    </w:p>
    <w:p w14:paraId="5C7BF613" w14:textId="6AE27D6F" w:rsidR="003B382D" w:rsidRDefault="00017B9E" w:rsidP="00974426">
      <w:pPr>
        <w:pStyle w:val="ListParagraph"/>
        <w:numPr>
          <w:ilvl w:val="0"/>
          <w:numId w:val="2"/>
        </w:numPr>
      </w:pPr>
      <w:r w:rsidRPr="002A10A3">
        <w:t>Greenfield Commonwealth Virtual School</w:t>
      </w:r>
      <w:r w:rsidR="003B382D">
        <w:t xml:space="preserve"> has operat</w:t>
      </w:r>
      <w:r w:rsidR="00334B75">
        <w:t>ed</w:t>
      </w:r>
      <w:r w:rsidR="003B382D">
        <w:t xml:space="preserve"> independently of its former educational management organization, K12, Inc.</w:t>
      </w:r>
      <w:r w:rsidR="00334B75">
        <w:t>,</w:t>
      </w:r>
      <w:r w:rsidR="003B382D">
        <w:t xml:space="preserve"> since July 2017</w:t>
      </w:r>
      <w:r w:rsidR="00334B75">
        <w:t>, less than two years</w:t>
      </w:r>
      <w:r w:rsidR="003B382D">
        <w:t xml:space="preserve">. </w:t>
      </w:r>
      <w:r w:rsidR="00D30D1C">
        <w:t xml:space="preserve">Additionally, in December 2017, the Board voted to increase the per pupil tuition rate for </w:t>
      </w:r>
      <w:r w:rsidR="00D30D1C" w:rsidRPr="00B35AB9">
        <w:t>both Commonwealth of Massachusetts Virtual Schools (CMVS) currently operating</w:t>
      </w:r>
      <w:r w:rsidR="00B35AB9">
        <w:t>. With the vote, effective fiscal year 2019, the per pupil tuition rate for CMVS increased</w:t>
      </w:r>
      <w:r w:rsidR="00D30D1C" w:rsidRPr="00B35AB9">
        <w:t xml:space="preserve"> from $6,700 (less $75 per pupil retained by the Department </w:t>
      </w:r>
      <w:r w:rsidR="00B35AB9" w:rsidRPr="00B35AB9">
        <w:t xml:space="preserve">for programmatic administration) to </w:t>
      </w:r>
      <w:r w:rsidR="00B35AB9" w:rsidRPr="00B35AB9">
        <w:rPr>
          <w:color w:val="000000"/>
          <w:shd w:val="clear" w:color="auto" w:fill="FFFFFF"/>
        </w:rPr>
        <w:t>$8,26</w:t>
      </w:r>
      <w:r w:rsidR="00B35AB9">
        <w:rPr>
          <w:color w:val="000000"/>
          <w:shd w:val="clear" w:color="auto" w:fill="FFFFFF"/>
        </w:rPr>
        <w:t>5 per pupil (</w:t>
      </w:r>
      <w:r w:rsidR="00B35AB9" w:rsidRPr="00B35AB9">
        <w:rPr>
          <w:color w:val="000000"/>
          <w:shd w:val="clear" w:color="auto" w:fill="FFFFFF"/>
        </w:rPr>
        <w:t>with $75 per pupil retained by the Department</w:t>
      </w:r>
      <w:r w:rsidR="00B35AB9">
        <w:rPr>
          <w:color w:val="000000"/>
          <w:shd w:val="clear" w:color="auto" w:fill="FFFFFF"/>
        </w:rPr>
        <w:t>)</w:t>
      </w:r>
      <w:r w:rsidR="00D30D1C" w:rsidRPr="00B35AB9">
        <w:t xml:space="preserve">. </w:t>
      </w:r>
      <w:r w:rsidR="003B382D" w:rsidRPr="00B35AB9">
        <w:t>The</w:t>
      </w:r>
      <w:r w:rsidR="003B382D">
        <w:t xml:space="preserve"> school </w:t>
      </w:r>
      <w:r w:rsidR="00334B75">
        <w:t>needs</w:t>
      </w:r>
      <w:r w:rsidR="003B382D">
        <w:t xml:space="preserve"> additional time to implement its new educational program and </w:t>
      </w:r>
      <w:r w:rsidR="00F3443F">
        <w:t xml:space="preserve">leadership structure </w:t>
      </w:r>
      <w:r w:rsidR="00B35AB9">
        <w:t xml:space="preserve">as well additional time to leverage increased tuition rates in order to </w:t>
      </w:r>
      <w:r w:rsidR="00F3443F">
        <w:t xml:space="preserve">produce results. </w:t>
      </w:r>
    </w:p>
    <w:p w14:paraId="0D45F735" w14:textId="77777777" w:rsidR="003B382D" w:rsidRDefault="003B382D" w:rsidP="003B382D">
      <w:pPr>
        <w:pStyle w:val="ListParagraph"/>
      </w:pPr>
    </w:p>
    <w:p w14:paraId="54079034" w14:textId="75853964" w:rsidR="00974426" w:rsidRPr="002F7DF1" w:rsidRDefault="003B382D" w:rsidP="00974426">
      <w:pPr>
        <w:pStyle w:val="ListParagraph"/>
        <w:numPr>
          <w:ilvl w:val="0"/>
          <w:numId w:val="2"/>
        </w:numPr>
      </w:pPr>
      <w:r>
        <w:t>As noted above, GCVS’</w:t>
      </w:r>
      <w:r w:rsidR="00383C3D">
        <w:t>s</w:t>
      </w:r>
      <w:r>
        <w:t xml:space="preserve"> academic results have not met standards set by the statewide systems of accountability since the school’s inception. </w:t>
      </w:r>
      <w:r w:rsidR="00017B9E" w:rsidRPr="002A10A3">
        <w:t>Greenfield Commonwealth Virtual School</w:t>
      </w:r>
      <w:r>
        <w:t>’</w:t>
      </w:r>
      <w:r w:rsidR="00383C3D">
        <w:t>s</w:t>
      </w:r>
      <w:r>
        <w:t xml:space="preserve"> performance, however, is similar to that of TECCA. Both schools have struggled to meet the </w:t>
      </w:r>
      <w:r w:rsidR="0095710F">
        <w:t xml:space="preserve">state assessment </w:t>
      </w:r>
      <w:r>
        <w:t xml:space="preserve">participation levels required by law, both schools produce results that are well below state averages, and both schools have been identified </w:t>
      </w:r>
      <w:r>
        <w:lastRenderedPageBreak/>
        <w:t xml:space="preserve">as performing in the lowest percentile levels across the state. </w:t>
      </w:r>
      <w:r w:rsidR="00BB24C8">
        <w:t>Results of the two Massachusetts virtual schools are similar to the academic results seen</w:t>
      </w:r>
      <w:r w:rsidR="0095710F">
        <w:t xml:space="preserve"> in virtual schools</w:t>
      </w:r>
      <w:r w:rsidR="00BB24C8">
        <w:t xml:space="preserve"> nationwide.</w:t>
      </w:r>
      <w:r w:rsidR="00D30D1C" w:rsidRPr="002645A4">
        <w:rPr>
          <w:rStyle w:val="FootnoteReference"/>
          <w:vertAlign w:val="superscript"/>
        </w:rPr>
        <w:footnoteReference w:id="6"/>
      </w:r>
      <w:r w:rsidR="00BB24C8">
        <w:t xml:space="preserve"> </w:t>
      </w:r>
      <w:r w:rsidR="00017B9E" w:rsidRPr="002A10A3">
        <w:t>Greenfield Commonwealth Virtual School</w:t>
      </w:r>
      <w:r>
        <w:t xml:space="preserve"> has operated under the threat of closure based on academic performance since October 2014, but has not produced</w:t>
      </w:r>
      <w:r w:rsidR="00BB24C8">
        <w:t xml:space="preserve"> </w:t>
      </w:r>
      <w:r w:rsidR="00334B75">
        <w:t xml:space="preserve">any </w:t>
      </w:r>
      <w:r>
        <w:t xml:space="preserve">improvement in academic outcomes. </w:t>
      </w:r>
      <w:r w:rsidR="00F3443F">
        <w:t>Renewing</w:t>
      </w:r>
      <w:r w:rsidR="00974426" w:rsidRPr="002F7DF1">
        <w:t xml:space="preserve"> the school’s </w:t>
      </w:r>
      <w:r w:rsidR="00F3443F">
        <w:t>certificate</w:t>
      </w:r>
      <w:r w:rsidR="00974426" w:rsidRPr="002F7DF1">
        <w:t xml:space="preserve"> with conditions gives </w:t>
      </w:r>
      <w:r w:rsidR="00974426">
        <w:t>the</w:t>
      </w:r>
      <w:r w:rsidR="00974426" w:rsidRPr="002F7DF1">
        <w:t xml:space="preserve"> </w:t>
      </w:r>
      <w:r w:rsidR="00974426">
        <w:t xml:space="preserve">GCVS </w:t>
      </w:r>
      <w:r w:rsidR="00974426" w:rsidRPr="002F7DF1">
        <w:t xml:space="preserve">board </w:t>
      </w:r>
      <w:r w:rsidR="00974426">
        <w:t xml:space="preserve">additional time to demonstrate </w:t>
      </w:r>
      <w:r w:rsidR="00F3443F">
        <w:t>academic improvement</w:t>
      </w:r>
      <w:r w:rsidR="00334B75">
        <w:t xml:space="preserve"> and</w:t>
      </w:r>
      <w:r w:rsidR="00974426" w:rsidRPr="002F7DF1">
        <w:t xml:space="preserve"> retains the Board’s ability to</w:t>
      </w:r>
      <w:r w:rsidR="00F3443F">
        <w:t xml:space="preserve"> impose probation should the school’s performance worsen. </w:t>
      </w:r>
    </w:p>
    <w:p w14:paraId="4133F7E0" w14:textId="77777777" w:rsidR="00974426" w:rsidRPr="002F7DF1" w:rsidRDefault="00974426" w:rsidP="00974426">
      <w:pPr>
        <w:widowControl/>
        <w:rPr>
          <w:color w:val="000000"/>
          <w:szCs w:val="24"/>
        </w:rPr>
      </w:pPr>
    </w:p>
    <w:p w14:paraId="01B9362E" w14:textId="1668F089" w:rsidR="00974426" w:rsidRPr="002F7DF1" w:rsidRDefault="00974426" w:rsidP="00974426">
      <w:pPr>
        <w:widowControl/>
        <w:rPr>
          <w:szCs w:val="24"/>
        </w:rPr>
      </w:pPr>
      <w:r>
        <w:rPr>
          <w:szCs w:val="24"/>
        </w:rPr>
        <w:t>I recommend</w:t>
      </w:r>
      <w:r w:rsidRPr="00484B5B">
        <w:rPr>
          <w:szCs w:val="24"/>
        </w:rPr>
        <w:t xml:space="preserve"> </w:t>
      </w:r>
      <w:r>
        <w:rPr>
          <w:szCs w:val="24"/>
        </w:rPr>
        <w:t xml:space="preserve">that the Board </w:t>
      </w:r>
      <w:r w:rsidR="00BB24C8">
        <w:rPr>
          <w:szCs w:val="24"/>
        </w:rPr>
        <w:t xml:space="preserve">renew the school’s certificate and </w:t>
      </w:r>
      <w:r>
        <w:rPr>
          <w:szCs w:val="24"/>
        </w:rPr>
        <w:t>impose the conditions that follow</w:t>
      </w:r>
      <w:r w:rsidRPr="00484B5B">
        <w:rPr>
          <w:szCs w:val="24"/>
        </w:rPr>
        <w:t xml:space="preserve">. </w:t>
      </w:r>
    </w:p>
    <w:p w14:paraId="6C47F8BC" w14:textId="1260AF43" w:rsidR="00462BBC" w:rsidRDefault="00462BBC" w:rsidP="00462BBC">
      <w:pPr>
        <w:rPr>
          <w:color w:val="000000"/>
        </w:rPr>
      </w:pPr>
    </w:p>
    <w:p w14:paraId="6F5BB038" w14:textId="5DD43CF9" w:rsidR="00567D0F" w:rsidRDefault="00567D0F" w:rsidP="00414F88">
      <w:pPr>
        <w:pStyle w:val="ListParagraph"/>
        <w:numPr>
          <w:ilvl w:val="0"/>
          <w:numId w:val="7"/>
        </w:numPr>
        <w:ind w:left="1080"/>
      </w:pPr>
      <w:r w:rsidRPr="005F12F8">
        <w:t>Reporting Requirements</w:t>
      </w:r>
      <w:r w:rsidR="002645A4">
        <w:t>:</w:t>
      </w:r>
    </w:p>
    <w:p w14:paraId="2B843BE5" w14:textId="77777777" w:rsidR="00567D0F" w:rsidRPr="005F12F8" w:rsidRDefault="00567D0F" w:rsidP="00414F88">
      <w:pPr>
        <w:pStyle w:val="ListParagraph"/>
        <w:ind w:left="1080"/>
      </w:pPr>
    </w:p>
    <w:p w14:paraId="0AFA9B3C" w14:textId="42DB6628" w:rsidR="00567D0F" w:rsidRPr="00A23192" w:rsidRDefault="00017B9E" w:rsidP="00414F88">
      <w:pPr>
        <w:pStyle w:val="ListParagraph"/>
        <w:numPr>
          <w:ilvl w:val="1"/>
          <w:numId w:val="6"/>
        </w:numPr>
        <w:ind w:left="1080"/>
        <w:rPr>
          <w:b/>
        </w:rPr>
      </w:pPr>
      <w:r w:rsidRPr="002A10A3">
        <w:t>Greenfield Commonwealth Virtual School</w:t>
      </w:r>
      <w:r w:rsidR="00567D0F">
        <w:t xml:space="preserve"> must continue to submit to the Department, at </w:t>
      </w:r>
      <w:hyperlink r:id="rId16" w:history="1">
        <w:r w:rsidR="00567D0F" w:rsidRPr="00031D44">
          <w:rPr>
            <w:rStyle w:val="Hyperlink"/>
          </w:rPr>
          <w:t>odl@doe.mass.edu</w:t>
        </w:r>
      </w:hyperlink>
      <w:r w:rsidR="00567D0F">
        <w:t>, board meeting agendas and materials prior to each board meeting at the same time that these items are sent to the school’s board members. Further, the school must submit to the Department the minutes of these proceedings as soon as the school’s board approves them. The Department reserves the right to require the submission of additional information, such as quarterly or monthly financial statements, if board materials do not already include this information. The school must provide such additional information within two business days.</w:t>
      </w:r>
    </w:p>
    <w:p w14:paraId="4B21F482" w14:textId="77777777" w:rsidR="00567D0F" w:rsidRDefault="00567D0F" w:rsidP="00414F88">
      <w:pPr>
        <w:ind w:left="1080"/>
      </w:pPr>
    </w:p>
    <w:p w14:paraId="70AE0367" w14:textId="4FCB39BA" w:rsidR="00567D0F" w:rsidRDefault="00017B9E" w:rsidP="00414F88">
      <w:pPr>
        <w:pStyle w:val="ListParagraph"/>
        <w:numPr>
          <w:ilvl w:val="1"/>
          <w:numId w:val="6"/>
        </w:numPr>
        <w:ind w:left="1080"/>
      </w:pPr>
      <w:r w:rsidRPr="002A10A3">
        <w:t>Greenfield Commonwealth Virtual School</w:t>
      </w:r>
      <w:r w:rsidR="00567D0F">
        <w:t xml:space="preserve"> must continue to submit to the Department weekly student enrollment reports.</w:t>
      </w:r>
    </w:p>
    <w:p w14:paraId="5EC58100" w14:textId="77777777" w:rsidR="00567D0F" w:rsidRDefault="00567D0F" w:rsidP="00414F88">
      <w:pPr>
        <w:pStyle w:val="ListParagraph"/>
        <w:ind w:left="1080"/>
      </w:pPr>
    </w:p>
    <w:p w14:paraId="72E6957F" w14:textId="1F764662" w:rsidR="00567D0F" w:rsidRDefault="00017B9E" w:rsidP="00414F88">
      <w:pPr>
        <w:pStyle w:val="ListParagraph"/>
        <w:numPr>
          <w:ilvl w:val="0"/>
          <w:numId w:val="7"/>
        </w:numPr>
        <w:ind w:left="1080"/>
      </w:pPr>
      <w:r w:rsidRPr="002A10A3">
        <w:t>Greenfield Commonwealth Virtual School</w:t>
      </w:r>
      <w:r w:rsidR="00567D0F">
        <w:t xml:space="preserve"> </w:t>
      </w:r>
      <w:r w:rsidR="00A550BD">
        <w:t>may</w:t>
      </w:r>
      <w:r w:rsidR="00567D0F">
        <w:t xml:space="preserve"> enroll a maximum of 750 students.</w:t>
      </w:r>
    </w:p>
    <w:p w14:paraId="130216D6" w14:textId="77777777" w:rsidR="00567D0F" w:rsidRDefault="00567D0F" w:rsidP="00414F88">
      <w:pPr>
        <w:pStyle w:val="ListParagraph"/>
        <w:ind w:left="1080"/>
      </w:pPr>
    </w:p>
    <w:p w14:paraId="78CE1FB8" w14:textId="34C582AD" w:rsidR="008A0C9E" w:rsidRDefault="008A0C9E" w:rsidP="00414F88">
      <w:pPr>
        <w:pStyle w:val="ListParagraph"/>
        <w:numPr>
          <w:ilvl w:val="0"/>
          <w:numId w:val="7"/>
        </w:numPr>
        <w:ind w:left="1080"/>
      </w:pPr>
      <w:r>
        <w:rPr>
          <w:color w:val="000000"/>
        </w:rPr>
        <w:t xml:space="preserve">Beginning April 1, 2019 and monthly thereafter, GCVS shall provide the Department with an update on the implementation of its plan </w:t>
      </w:r>
      <w:r>
        <w:t>for serving students who are English learners.</w:t>
      </w:r>
    </w:p>
    <w:p w14:paraId="1832F0A8" w14:textId="1421CE50" w:rsidR="008A0C9E" w:rsidRPr="002645A4" w:rsidRDefault="008A0C9E" w:rsidP="002645A4"/>
    <w:p w14:paraId="181EBA59" w14:textId="4D13673B" w:rsidR="00BF346E" w:rsidRPr="00122B09" w:rsidRDefault="00BF346E" w:rsidP="00414F88">
      <w:pPr>
        <w:pStyle w:val="ListParagraph"/>
        <w:numPr>
          <w:ilvl w:val="0"/>
          <w:numId w:val="7"/>
        </w:numPr>
        <w:ind w:left="1080"/>
      </w:pPr>
      <w:r w:rsidRPr="00BF346E">
        <w:rPr>
          <w:color w:val="000000"/>
        </w:rPr>
        <w:t xml:space="preserve">By </w:t>
      </w:r>
      <w:r>
        <w:rPr>
          <w:color w:val="000000"/>
        </w:rPr>
        <w:t>June</w:t>
      </w:r>
      <w:r w:rsidRPr="00BF346E">
        <w:rPr>
          <w:color w:val="000000"/>
        </w:rPr>
        <w:t xml:space="preserve"> 30, 2019, </w:t>
      </w:r>
      <w:r>
        <w:t>GCVS</w:t>
      </w:r>
      <w:r w:rsidRPr="00BF346E">
        <w:rPr>
          <w:color w:val="000000"/>
        </w:rPr>
        <w:t xml:space="preserve"> must submit to the Department a comprehensive evaluation of the school’s mathematics, English language arts, and science programs. Additionally, the comprehensive evaluation should address </w:t>
      </w:r>
      <w:r>
        <w:rPr>
          <w:color w:val="000000"/>
        </w:rPr>
        <w:t xml:space="preserve">instruction, supports for </w:t>
      </w:r>
      <w:r w:rsidR="002645A4">
        <w:rPr>
          <w:color w:val="000000"/>
        </w:rPr>
        <w:t xml:space="preserve">all </w:t>
      </w:r>
      <w:r>
        <w:rPr>
          <w:color w:val="000000"/>
        </w:rPr>
        <w:t xml:space="preserve">learners, and the degree to which all students have equitable access to the school’s academic program. </w:t>
      </w:r>
      <w:r w:rsidRPr="00BF346E">
        <w:rPr>
          <w:color w:val="000000"/>
        </w:rPr>
        <w:t xml:space="preserve">Such comprehensive evaluation must be conducted by an external consultant(s) acceptable to and approved in advance by the Department. The evaluation must be informed by disaggregated performance data from the statewide accountability system and aligned with the </w:t>
      </w:r>
      <w:r>
        <w:rPr>
          <w:color w:val="000000"/>
        </w:rPr>
        <w:t>CMVS</w:t>
      </w:r>
      <w:r w:rsidRPr="00BF346E">
        <w:rPr>
          <w:color w:val="000000"/>
        </w:rPr>
        <w:t xml:space="preserve"> Performance Criteria.</w:t>
      </w:r>
    </w:p>
    <w:p w14:paraId="6DDF9C08" w14:textId="77777777" w:rsidR="00BF346E" w:rsidRPr="00122B09" w:rsidRDefault="00BF346E" w:rsidP="00414F88">
      <w:pPr>
        <w:widowControl/>
        <w:ind w:left="1080"/>
        <w:rPr>
          <w:color w:val="000000"/>
        </w:rPr>
      </w:pPr>
    </w:p>
    <w:p w14:paraId="3671C57C" w14:textId="773251E4" w:rsidR="00BF346E" w:rsidRPr="00BF346E" w:rsidRDefault="00BF346E" w:rsidP="00414F88">
      <w:pPr>
        <w:pStyle w:val="ListParagraph"/>
        <w:numPr>
          <w:ilvl w:val="0"/>
          <w:numId w:val="7"/>
        </w:numPr>
        <w:ind w:left="1080"/>
        <w:rPr>
          <w:color w:val="000000"/>
        </w:rPr>
      </w:pPr>
      <w:r w:rsidRPr="00BF346E">
        <w:rPr>
          <w:color w:val="000000"/>
        </w:rPr>
        <w:t xml:space="preserve"> By </w:t>
      </w:r>
      <w:r>
        <w:rPr>
          <w:color w:val="000000"/>
        </w:rPr>
        <w:t>July 31</w:t>
      </w:r>
      <w:r w:rsidRPr="00BF346E">
        <w:rPr>
          <w:color w:val="000000"/>
        </w:rPr>
        <w:t xml:space="preserve">, 2019, the school must submit to the Department for approval a comprehensive action plan (action plan) for improving academic performance and </w:t>
      </w:r>
      <w:r w:rsidRPr="00BF346E">
        <w:rPr>
          <w:color w:val="000000"/>
        </w:rPr>
        <w:lastRenderedPageBreak/>
        <w:t xml:space="preserve">addressing other areas for improvement identified by the comprehensive evaluation. Such action plan must include a needs assessment aligned to the 2018 statewide accountability results for </w:t>
      </w:r>
      <w:r>
        <w:t>GCVS</w:t>
      </w:r>
      <w:r w:rsidRPr="00BF346E">
        <w:rPr>
          <w:color w:val="000000"/>
        </w:rPr>
        <w:t xml:space="preserve">. The action plan must also specify the evidence-based strategies the school will use to improve performance in mathematics, English language arts, and science for all student subgroups. The plan should also include strategies to improve </w:t>
      </w:r>
      <w:r>
        <w:rPr>
          <w:color w:val="000000"/>
        </w:rPr>
        <w:t xml:space="preserve">instruction, supports for </w:t>
      </w:r>
      <w:r w:rsidR="002645A4">
        <w:rPr>
          <w:color w:val="000000"/>
        </w:rPr>
        <w:t xml:space="preserve">all </w:t>
      </w:r>
      <w:r>
        <w:rPr>
          <w:color w:val="000000"/>
        </w:rPr>
        <w:t>learners, and the degree to which all students have equitable access to the school’s academic program</w:t>
      </w:r>
      <w:r w:rsidRPr="00BF346E">
        <w:rPr>
          <w:color w:val="000000"/>
        </w:rPr>
        <w:t xml:space="preserve">. The action plan must set clear and specific implementation benchmarks, with a clear timetable and deadlines for completion of key tasks, sufficient to allow the school's board of trustees and the Department to monitor implementation. The school must provide evidence that it has shared its improvement plan with the school’s community including, but not limited to, students, parents, and staff. </w:t>
      </w:r>
    </w:p>
    <w:p w14:paraId="45B1F326" w14:textId="77777777" w:rsidR="00BF346E" w:rsidRPr="00122B09" w:rsidRDefault="00BF346E" w:rsidP="00414F88">
      <w:pPr>
        <w:widowControl/>
        <w:ind w:left="1080"/>
        <w:rPr>
          <w:color w:val="000000"/>
        </w:rPr>
      </w:pPr>
    </w:p>
    <w:p w14:paraId="56C9CF1F" w14:textId="66DF1D2F" w:rsidR="00BF346E" w:rsidRPr="00BF346E" w:rsidRDefault="00BF346E" w:rsidP="00414F88">
      <w:pPr>
        <w:pStyle w:val="ListParagraph"/>
        <w:numPr>
          <w:ilvl w:val="0"/>
          <w:numId w:val="7"/>
        </w:numPr>
        <w:ind w:left="1080"/>
        <w:rPr>
          <w:color w:val="000000"/>
        </w:rPr>
      </w:pPr>
      <w:r w:rsidRPr="00BF346E">
        <w:rPr>
          <w:color w:val="000000"/>
        </w:rPr>
        <w:t>By December 31, 202</w:t>
      </w:r>
      <w:r w:rsidR="002645A4">
        <w:rPr>
          <w:color w:val="000000"/>
        </w:rPr>
        <w:t>1</w:t>
      </w:r>
      <w:r w:rsidRPr="00BF346E">
        <w:rPr>
          <w:color w:val="000000"/>
        </w:rPr>
        <w:t>, the school must demonstrate that it is an academic success by providing evidence that the school has exhibited significant and sustained academic improvement in mathematics, English language arts, and science on the statewide assessment</w:t>
      </w:r>
      <w:r w:rsidR="002645A4">
        <w:rPr>
          <w:color w:val="000000"/>
        </w:rPr>
        <w:t xml:space="preserve"> for all student subgroups</w:t>
      </w:r>
      <w:r w:rsidRPr="00BF346E">
        <w:rPr>
          <w:color w:val="000000"/>
        </w:rPr>
        <w:t xml:space="preserve">. </w:t>
      </w:r>
    </w:p>
    <w:p w14:paraId="22305AA2" w14:textId="4D1F59E1" w:rsidR="00974426" w:rsidRDefault="00974426" w:rsidP="00462BBC">
      <w:pPr>
        <w:rPr>
          <w:color w:val="000000"/>
        </w:rPr>
      </w:pPr>
    </w:p>
    <w:p w14:paraId="599416E3" w14:textId="23C4FA3A" w:rsidR="005E35E6" w:rsidRDefault="005E35E6" w:rsidP="005E35E6">
      <w:pPr>
        <w:widowControl/>
        <w:rPr>
          <w:szCs w:val="24"/>
        </w:rPr>
      </w:pPr>
      <w:r w:rsidRPr="002645A4">
        <w:rPr>
          <w:szCs w:val="24"/>
        </w:rPr>
        <w:t xml:space="preserve">My recommendation is tempered by the caution that, unlike other public school options in the Commonwealth, the CMVS initiative remains an experiment. Nationally, the performance of virtual schools is decidedly mixed. In order to demonstrate that virtual learning can be a viable alternative for the small number of families who exercise this option, I </w:t>
      </w:r>
      <w:r w:rsidR="000B55B9" w:rsidRPr="002645A4">
        <w:rPr>
          <w:szCs w:val="24"/>
        </w:rPr>
        <w:t xml:space="preserve">encourage </w:t>
      </w:r>
      <w:r w:rsidRPr="002645A4">
        <w:rPr>
          <w:szCs w:val="24"/>
        </w:rPr>
        <w:t xml:space="preserve">the two current Commonwealth of </w:t>
      </w:r>
      <w:r w:rsidR="000B55B9" w:rsidRPr="002645A4">
        <w:rPr>
          <w:szCs w:val="24"/>
        </w:rPr>
        <w:t xml:space="preserve">Massachusetts </w:t>
      </w:r>
      <w:r w:rsidRPr="002645A4">
        <w:rPr>
          <w:szCs w:val="24"/>
        </w:rPr>
        <w:t xml:space="preserve">virtual schools to </w:t>
      </w:r>
      <w:r w:rsidR="00FF307C" w:rsidRPr="002645A4">
        <w:rPr>
          <w:szCs w:val="24"/>
        </w:rPr>
        <w:t>rigorously reflect on their results, assess areas for improvement, access the expertise of Massachusetts’ Digital Learning Advisory Council, and exercise their autonomy to refine their models</w:t>
      </w:r>
      <w:r w:rsidRPr="002645A4">
        <w:rPr>
          <w:szCs w:val="24"/>
        </w:rPr>
        <w:t>.</w:t>
      </w:r>
    </w:p>
    <w:p w14:paraId="213EE320" w14:textId="77777777" w:rsidR="005E35E6" w:rsidRDefault="005E35E6" w:rsidP="005E35E6">
      <w:pPr>
        <w:widowControl/>
        <w:rPr>
          <w:szCs w:val="24"/>
        </w:rPr>
      </w:pPr>
    </w:p>
    <w:p w14:paraId="390EDF44" w14:textId="3663D198" w:rsidR="00974426" w:rsidRDefault="00974426" w:rsidP="00974426">
      <w:pPr>
        <w:widowControl/>
        <w:rPr>
          <w:szCs w:val="24"/>
        </w:rPr>
      </w:pPr>
      <w:r>
        <w:rPr>
          <w:szCs w:val="24"/>
        </w:rPr>
        <w:t xml:space="preserve">In conclusion, </w:t>
      </w:r>
      <w:r w:rsidRPr="002F7DF1">
        <w:rPr>
          <w:color w:val="000000"/>
          <w:szCs w:val="24"/>
        </w:rPr>
        <w:t xml:space="preserve">I recommend that the Board renew the certificate </w:t>
      </w:r>
      <w:r w:rsidRPr="002F7DF1">
        <w:rPr>
          <w:szCs w:val="24"/>
        </w:rPr>
        <w:t>for the Massachusetts Virtual Academy at Greenfield Commonwealth Virtual School (GCVS) for</w:t>
      </w:r>
      <w:r w:rsidRPr="002F7DF1">
        <w:rPr>
          <w:color w:val="000000"/>
          <w:szCs w:val="24"/>
        </w:rPr>
        <w:t xml:space="preserve"> an additional three ye</w:t>
      </w:r>
      <w:r>
        <w:rPr>
          <w:color w:val="000000"/>
          <w:szCs w:val="24"/>
        </w:rPr>
        <w:t xml:space="preserve">ars </w:t>
      </w:r>
      <w:r w:rsidR="0082063C">
        <w:rPr>
          <w:color w:val="000000"/>
          <w:szCs w:val="24"/>
        </w:rPr>
        <w:t>with</w:t>
      </w:r>
      <w:r w:rsidRPr="002F7DF1">
        <w:rPr>
          <w:color w:val="000000"/>
          <w:szCs w:val="24"/>
        </w:rPr>
        <w:t xml:space="preserve"> conditions placed on </w:t>
      </w:r>
      <w:r w:rsidRPr="002F7DF1">
        <w:rPr>
          <w:szCs w:val="24"/>
        </w:rPr>
        <w:t>the school’s certificate.</w:t>
      </w:r>
      <w:r>
        <w:rPr>
          <w:szCs w:val="24"/>
        </w:rPr>
        <w:t xml:space="preserve"> I look forward to further discussions with the Board regarding how to ensure that the Commonwealth’s virtual schools can provide students the same high quality education expected of all public schools in Massachusetts.</w:t>
      </w:r>
    </w:p>
    <w:p w14:paraId="700EC02A" w14:textId="77777777" w:rsidR="005E35E6" w:rsidRDefault="005E35E6" w:rsidP="005E35E6">
      <w:pPr>
        <w:widowControl/>
        <w:rPr>
          <w:szCs w:val="24"/>
        </w:rPr>
      </w:pPr>
    </w:p>
    <w:p w14:paraId="00EEFB94" w14:textId="79F30E7B" w:rsidR="005E35E6" w:rsidRDefault="005E35E6" w:rsidP="005E35E6">
      <w:pPr>
        <w:widowControl/>
        <w:rPr>
          <w:color w:val="000000"/>
          <w:szCs w:val="24"/>
        </w:rPr>
      </w:pPr>
      <w:r w:rsidRPr="002F7DF1">
        <w:rPr>
          <w:color w:val="000000"/>
          <w:szCs w:val="24"/>
        </w:rPr>
        <w:t xml:space="preserve">If you have any questions regarding this recommendation or require additional information, please contact </w:t>
      </w:r>
      <w:r w:rsidR="00462BBC">
        <w:rPr>
          <w:color w:val="000000"/>
          <w:szCs w:val="24"/>
        </w:rPr>
        <w:t>Alison Bagg</w:t>
      </w:r>
      <w:r w:rsidRPr="002F7DF1">
        <w:rPr>
          <w:color w:val="000000"/>
          <w:szCs w:val="24"/>
        </w:rPr>
        <w:t xml:space="preserve">, </w:t>
      </w:r>
      <w:r w:rsidR="007245C7">
        <w:rPr>
          <w:color w:val="000000"/>
          <w:szCs w:val="24"/>
        </w:rPr>
        <w:t>d</w:t>
      </w:r>
      <w:r w:rsidRPr="002F7DF1">
        <w:rPr>
          <w:color w:val="000000"/>
          <w:szCs w:val="24"/>
        </w:rPr>
        <w:t xml:space="preserve">irector, Office of </w:t>
      </w:r>
      <w:r w:rsidR="00462BBC">
        <w:rPr>
          <w:color w:val="000000"/>
          <w:szCs w:val="24"/>
        </w:rPr>
        <w:t>Charter Schools and School Redesign (781-338-3218</w:t>
      </w:r>
      <w:r w:rsidRPr="002F7DF1">
        <w:rPr>
          <w:color w:val="000000"/>
          <w:szCs w:val="24"/>
        </w:rPr>
        <w:t xml:space="preserve">); Cliff Chuang, </w:t>
      </w:r>
      <w:r w:rsidR="007245C7">
        <w:rPr>
          <w:color w:val="000000"/>
          <w:szCs w:val="24"/>
        </w:rPr>
        <w:t>s</w:t>
      </w:r>
      <w:r>
        <w:rPr>
          <w:color w:val="000000"/>
          <w:szCs w:val="24"/>
        </w:rPr>
        <w:t xml:space="preserve">enior </w:t>
      </w:r>
      <w:r w:rsidR="007245C7">
        <w:rPr>
          <w:color w:val="000000"/>
          <w:szCs w:val="24"/>
        </w:rPr>
        <w:t>a</w:t>
      </w:r>
      <w:r w:rsidRPr="002F7DF1">
        <w:rPr>
          <w:color w:val="000000"/>
          <w:szCs w:val="24"/>
        </w:rPr>
        <w:t xml:space="preserve">ssociate </w:t>
      </w:r>
      <w:r w:rsidR="007245C7">
        <w:rPr>
          <w:color w:val="000000"/>
          <w:szCs w:val="24"/>
        </w:rPr>
        <w:t>c</w:t>
      </w:r>
      <w:r w:rsidRPr="002F7DF1">
        <w:rPr>
          <w:color w:val="000000"/>
          <w:szCs w:val="24"/>
        </w:rPr>
        <w:t>ommissioner (781-338-3222); or me.</w:t>
      </w:r>
    </w:p>
    <w:p w14:paraId="6B361B07" w14:textId="77777777" w:rsidR="005E35E6" w:rsidRDefault="005E35E6" w:rsidP="005E35E6">
      <w:pPr>
        <w:widowControl/>
        <w:rPr>
          <w:szCs w:val="24"/>
        </w:rPr>
      </w:pPr>
    </w:p>
    <w:p w14:paraId="4922AF59" w14:textId="7537EE00" w:rsidR="005E35E6" w:rsidRPr="002645A4" w:rsidRDefault="005E35E6" w:rsidP="005E35E6">
      <w:pPr>
        <w:widowControl/>
        <w:rPr>
          <w:szCs w:val="24"/>
        </w:rPr>
      </w:pPr>
      <w:r w:rsidRPr="002F7DF1">
        <w:rPr>
          <w:szCs w:val="24"/>
        </w:rPr>
        <w:t>Attachments:</w:t>
      </w:r>
      <w:r w:rsidRPr="002F7DF1">
        <w:rPr>
          <w:szCs w:val="24"/>
        </w:rPr>
        <w:tab/>
      </w:r>
      <w:r w:rsidR="007245C7">
        <w:rPr>
          <w:szCs w:val="24"/>
        </w:rPr>
        <w:tab/>
      </w:r>
      <w:r w:rsidRPr="002645A4">
        <w:rPr>
          <w:szCs w:val="24"/>
        </w:rPr>
        <w:t xml:space="preserve">Motion </w:t>
      </w:r>
    </w:p>
    <w:p w14:paraId="52ADC618" w14:textId="73C791EF" w:rsidR="005E35E6" w:rsidRPr="002645A4" w:rsidRDefault="00FB1A55" w:rsidP="007245C7">
      <w:pPr>
        <w:widowControl/>
        <w:ind w:left="1440" w:firstLine="720"/>
        <w:rPr>
          <w:szCs w:val="24"/>
        </w:rPr>
      </w:pPr>
      <w:hyperlink r:id="rId17" w:history="1">
        <w:r w:rsidR="005E35E6" w:rsidRPr="005814AA">
          <w:rPr>
            <w:rStyle w:val="Hyperlink"/>
            <w:szCs w:val="24"/>
          </w:rPr>
          <w:t>Attachment A: Renewal Inspection Report</w:t>
        </w:r>
      </w:hyperlink>
      <w:r w:rsidR="005E35E6" w:rsidRPr="002645A4">
        <w:rPr>
          <w:szCs w:val="24"/>
        </w:rPr>
        <w:t xml:space="preserve"> </w:t>
      </w:r>
    </w:p>
    <w:p w14:paraId="6F955B9C" w14:textId="11851A7D" w:rsidR="005E35E6" w:rsidRPr="002645A4" w:rsidRDefault="00FB1A55" w:rsidP="007245C7">
      <w:pPr>
        <w:widowControl/>
        <w:ind w:left="1440" w:firstLine="720"/>
        <w:rPr>
          <w:szCs w:val="24"/>
        </w:rPr>
      </w:pPr>
      <w:hyperlink r:id="rId18" w:history="1">
        <w:r w:rsidR="005E35E6" w:rsidRPr="005814AA">
          <w:rPr>
            <w:rStyle w:val="Hyperlink"/>
            <w:szCs w:val="24"/>
          </w:rPr>
          <w:t>Attachment B: Summary of Review</w:t>
        </w:r>
      </w:hyperlink>
    </w:p>
    <w:p w14:paraId="4FE86828" w14:textId="247322B6" w:rsidR="005E35E6" w:rsidRPr="002645A4" w:rsidRDefault="00FB1A55" w:rsidP="007245C7">
      <w:pPr>
        <w:widowControl/>
        <w:ind w:left="1440" w:firstLine="720"/>
        <w:rPr>
          <w:szCs w:val="24"/>
        </w:rPr>
      </w:pPr>
      <w:hyperlink r:id="rId19" w:history="1">
        <w:r w:rsidR="005E35E6" w:rsidRPr="005814AA">
          <w:rPr>
            <w:rStyle w:val="Hyperlink"/>
            <w:szCs w:val="24"/>
          </w:rPr>
          <w:t>Attachment C: Terms of Certificate</w:t>
        </w:r>
      </w:hyperlink>
    </w:p>
    <w:p w14:paraId="27B82903" w14:textId="77777777" w:rsidR="005E35E6" w:rsidRDefault="005E35E6"/>
    <w:sectPr w:rsidR="005E35E6" w:rsidSect="005C1013">
      <w:endnotePr>
        <w:numFmt w:val="decimal"/>
      </w:endnotePr>
      <w:type w:val="continuous"/>
      <w:pgSz w:w="12240" w:h="15840"/>
      <w:pgMar w:top="1440" w:right="1440" w:bottom="1440" w:left="1440" w:header="1440" w:footer="144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8A784" w14:textId="77777777" w:rsidR="00F61EF4" w:rsidRDefault="00F61EF4" w:rsidP="005E35E6">
      <w:r>
        <w:separator/>
      </w:r>
    </w:p>
  </w:endnote>
  <w:endnote w:type="continuationSeparator" w:id="0">
    <w:p w14:paraId="27331ECC" w14:textId="77777777" w:rsidR="00F61EF4" w:rsidRDefault="00F61EF4" w:rsidP="005E3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7119420"/>
      <w:docPartObj>
        <w:docPartGallery w:val="Page Numbers (Bottom of Page)"/>
        <w:docPartUnique/>
      </w:docPartObj>
    </w:sdtPr>
    <w:sdtEndPr>
      <w:rPr>
        <w:noProof/>
      </w:rPr>
    </w:sdtEndPr>
    <w:sdtContent>
      <w:p w14:paraId="2607889A" w14:textId="33DF04B8" w:rsidR="002A10A3" w:rsidRDefault="002A10A3">
        <w:pPr>
          <w:pStyle w:val="Footer"/>
          <w:jc w:val="right"/>
        </w:pPr>
        <w:r>
          <w:fldChar w:fldCharType="begin"/>
        </w:r>
        <w:r>
          <w:instrText xml:space="preserve"> PAGE   \* MERGEFORMAT </w:instrText>
        </w:r>
        <w:r>
          <w:fldChar w:fldCharType="separate"/>
        </w:r>
        <w:r w:rsidR="005814AA">
          <w:rPr>
            <w:noProof/>
          </w:rPr>
          <w:t>9</w:t>
        </w:r>
        <w:r>
          <w:rPr>
            <w:noProof/>
          </w:rPr>
          <w:fldChar w:fldCharType="end"/>
        </w:r>
      </w:p>
    </w:sdtContent>
  </w:sdt>
  <w:p w14:paraId="1CF21EA4" w14:textId="77777777" w:rsidR="0072749F" w:rsidRDefault="00727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D7483" w14:textId="77777777" w:rsidR="00F61EF4" w:rsidRDefault="00F61EF4" w:rsidP="005E35E6">
      <w:r>
        <w:separator/>
      </w:r>
    </w:p>
  </w:footnote>
  <w:footnote w:type="continuationSeparator" w:id="0">
    <w:p w14:paraId="762BBB9F" w14:textId="77777777" w:rsidR="00F61EF4" w:rsidRDefault="00F61EF4" w:rsidP="005E35E6">
      <w:r>
        <w:continuationSeparator/>
      </w:r>
    </w:p>
  </w:footnote>
  <w:footnote w:id="1">
    <w:p w14:paraId="6300236A" w14:textId="77777777" w:rsidR="0072749F" w:rsidRDefault="0072749F" w:rsidP="005E35E6">
      <w:pPr>
        <w:pStyle w:val="FootnoteText"/>
        <w:spacing w:before="40" w:after="40"/>
      </w:pPr>
      <w:r w:rsidRPr="00AC5487">
        <w:rPr>
          <w:rStyle w:val="FootnoteReference"/>
          <w:vertAlign w:val="superscript"/>
        </w:rPr>
        <w:footnoteRef/>
      </w:r>
      <w:r>
        <w:t xml:space="preserve"> Pursuant to 603 CMR 52.12(1), t</w:t>
      </w:r>
      <w:r w:rsidRPr="00863697">
        <w:t xml:space="preserve">he </w:t>
      </w:r>
      <w:r>
        <w:t>“</w:t>
      </w:r>
      <w:r w:rsidRPr="00863697">
        <w:t>Board or Commissioner may impose conditions on a virtual school's certificate for violations of law, failure to improve student achievement, failure to comply with the terms of the virtual school's certificate, or failure to remain viable.</w:t>
      </w:r>
      <w:r>
        <w:t>”</w:t>
      </w:r>
    </w:p>
  </w:footnote>
  <w:footnote w:id="2">
    <w:p w14:paraId="175B95D1" w14:textId="77777777" w:rsidR="0072749F" w:rsidRPr="00CA1982" w:rsidRDefault="0072749F" w:rsidP="005E35E6">
      <w:pPr>
        <w:pStyle w:val="FootnoteText"/>
        <w:spacing w:before="40" w:after="40"/>
        <w:rPr>
          <w:sz w:val="22"/>
        </w:rPr>
      </w:pPr>
      <w:r w:rsidRPr="00204A6F">
        <w:rPr>
          <w:rStyle w:val="FootnoteReference"/>
          <w:vertAlign w:val="superscript"/>
        </w:rPr>
        <w:footnoteRef/>
      </w:r>
      <w:r>
        <w:t xml:space="preserve">The criteria in their entirety may be found at </w:t>
      </w:r>
      <w:r w:rsidRPr="00507F2E">
        <w:rPr>
          <w:rStyle w:val="Hyperlink"/>
        </w:rPr>
        <w:t>http://www.doe.mass.edu/odl/cmvs/</w:t>
      </w:r>
      <w:r>
        <w:t>.</w:t>
      </w:r>
    </w:p>
  </w:footnote>
  <w:footnote w:id="3">
    <w:p w14:paraId="0A9AA747" w14:textId="342A3A18" w:rsidR="0072749F" w:rsidRDefault="0072749F" w:rsidP="00A960D7">
      <w:pPr>
        <w:pStyle w:val="FootnoteText"/>
        <w:spacing w:before="40" w:after="40"/>
      </w:pPr>
      <w:r w:rsidRPr="00F32DCB">
        <w:rPr>
          <w:rStyle w:val="FootnoteReference"/>
          <w:vertAlign w:val="superscript"/>
        </w:rPr>
        <w:footnoteRef/>
      </w:r>
      <w:r w:rsidRPr="00F32DCB">
        <w:t xml:space="preserve"> These terms were described in the Commissioner’s memo</w:t>
      </w:r>
      <w:r>
        <w:t>randum</w:t>
      </w:r>
      <w:r w:rsidRPr="00F32DCB">
        <w:t xml:space="preserve"> to the Board</w:t>
      </w:r>
      <w:r>
        <w:t xml:space="preserve"> dated </w:t>
      </w:r>
      <w:r w:rsidRPr="000112EA">
        <w:t>June 18, 2013</w:t>
      </w:r>
      <w:r w:rsidRPr="00F32DCB">
        <w:t xml:space="preserve">: </w:t>
      </w:r>
      <w:hyperlink r:id="rId1" w:history="1">
        <w:r w:rsidRPr="00F32DCB">
          <w:rPr>
            <w:rStyle w:val="Hyperlink"/>
          </w:rPr>
          <w:t>http://www.doe.mass.edu/boe/docs/fy2013/2013-06/item3.html</w:t>
        </w:r>
      </w:hyperlink>
      <w:r>
        <w:rPr>
          <w:rFonts w:asciiTheme="minorHAnsi" w:hAnsiTheme="minorHAnsi"/>
          <w:sz w:val="19"/>
          <w:szCs w:val="19"/>
        </w:rPr>
        <w:t>.</w:t>
      </w:r>
    </w:p>
  </w:footnote>
  <w:footnote w:id="4">
    <w:p w14:paraId="57F3B56D" w14:textId="77777777" w:rsidR="0072749F" w:rsidRPr="0031047A" w:rsidRDefault="0072749F" w:rsidP="0031047A">
      <w:pPr>
        <w:ind w:left="360"/>
        <w:rPr>
          <w:rFonts w:cstheme="minorHAnsi"/>
          <w:sz w:val="20"/>
        </w:rPr>
      </w:pPr>
      <w:r w:rsidRPr="0031047A">
        <w:rPr>
          <w:rStyle w:val="FootnoteReference"/>
          <w:sz w:val="20"/>
          <w:vertAlign w:val="superscript"/>
        </w:rPr>
        <w:footnoteRef/>
      </w:r>
      <w:r w:rsidRPr="0031047A">
        <w:rPr>
          <w:sz w:val="20"/>
        </w:rPr>
        <w:t xml:space="preserve"> </w:t>
      </w:r>
      <w:r w:rsidRPr="0031047A">
        <w:rPr>
          <w:rFonts w:cstheme="minorHAnsi"/>
          <w:sz w:val="20"/>
        </w:rPr>
        <w:t>The Composite Performance Index is a 100-point index that serves as a measure of the extent to which all students are progressing toward proficiency. When all students score Proficient or Advanced on the legacy MCAS assessment, the CPI will be 100.</w:t>
      </w:r>
    </w:p>
    <w:p w14:paraId="030422E9" w14:textId="55335A0F" w:rsidR="0072749F" w:rsidRDefault="0072749F">
      <w:pPr>
        <w:pStyle w:val="FootnoteText"/>
      </w:pPr>
    </w:p>
  </w:footnote>
  <w:footnote w:id="5">
    <w:p w14:paraId="380943C6" w14:textId="77777777" w:rsidR="0072749F" w:rsidRPr="00BD17DA" w:rsidRDefault="0072749F" w:rsidP="00974426">
      <w:pPr>
        <w:pStyle w:val="FootnoteText"/>
      </w:pPr>
      <w:r w:rsidRPr="001908D9">
        <w:rPr>
          <w:rStyle w:val="FootnoteReference"/>
          <w:vertAlign w:val="superscript"/>
        </w:rPr>
        <w:footnoteRef/>
      </w:r>
      <w:r>
        <w:t xml:space="preserve"> </w:t>
      </w:r>
      <w:r w:rsidRPr="00BD17DA">
        <w:t xml:space="preserve">Section 504 </w:t>
      </w:r>
      <w:r>
        <w:t>of</w:t>
      </w:r>
      <w:r w:rsidRPr="00BD17DA">
        <w:t xml:space="preserve"> the Rehabilitation Act of 1973 </w:t>
      </w:r>
      <w:r>
        <w:t xml:space="preserve">is a federal law that </w:t>
      </w:r>
      <w:r w:rsidRPr="00BD17DA">
        <w:t xml:space="preserve">requires the needs of students with disabilities to be met as adequately as the needs of non-disabled </w:t>
      </w:r>
      <w:r>
        <w:t xml:space="preserve">students </w:t>
      </w:r>
      <w:r w:rsidRPr="00BD17DA">
        <w:t xml:space="preserve">are met. A student is </w:t>
      </w:r>
      <w:r>
        <w:t xml:space="preserve">eligible for </w:t>
      </w:r>
      <w:r w:rsidRPr="00BD17DA">
        <w:t>a Section 504 Accommodation Plan if the</w:t>
      </w:r>
      <w:r>
        <w:t xml:space="preserve"> student has </w:t>
      </w:r>
      <w:r w:rsidRPr="00BD17DA">
        <w:t xml:space="preserve">been </w:t>
      </w:r>
      <w:r>
        <w:t xml:space="preserve">determined to have </w:t>
      </w:r>
      <w:r w:rsidRPr="00BD17DA">
        <w:t>a mental or physical impairment that substantially limits one or more major life activities.</w:t>
      </w:r>
    </w:p>
  </w:footnote>
  <w:footnote w:id="6">
    <w:p w14:paraId="1CF647D5" w14:textId="0980BBE4" w:rsidR="00D30D1C" w:rsidRDefault="00D30D1C">
      <w:pPr>
        <w:pStyle w:val="FootnoteText"/>
      </w:pPr>
      <w:r w:rsidRPr="002645A4">
        <w:rPr>
          <w:rStyle w:val="FootnoteReference"/>
          <w:vertAlign w:val="superscript"/>
        </w:rPr>
        <w:footnoteRef/>
      </w:r>
      <w:r>
        <w:t xml:space="preserve"> </w:t>
      </w:r>
      <w:hyperlink r:id="rId2" w:history="1">
        <w:r w:rsidRPr="00E00DC6">
          <w:rPr>
            <w:rStyle w:val="Hyperlink"/>
          </w:rPr>
          <w:t>https://nepc.colorado.edu/publication/virtual-schools-annual-2018</w:t>
        </w:r>
      </w:hyperlink>
      <w:r>
        <w:t xml:space="preserve"> “Full-Time Virtual and Blended Schools: Enrollment, Student Characteristics, and Performance”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B5F6D"/>
    <w:multiLevelType w:val="hybridMultilevel"/>
    <w:tmpl w:val="2226831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744446"/>
    <w:multiLevelType w:val="hybridMultilevel"/>
    <w:tmpl w:val="089EE8AC"/>
    <w:lvl w:ilvl="0" w:tplc="0409000F">
      <w:start w:val="1"/>
      <w:numFmt w:val="decimal"/>
      <w:lvlText w:val="%1."/>
      <w:lvlJc w:val="left"/>
      <w:pPr>
        <w:ind w:left="720" w:hanging="360"/>
      </w:pPr>
    </w:lvl>
    <w:lvl w:ilvl="1" w:tplc="B95A389A">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02936"/>
    <w:multiLevelType w:val="hybridMultilevel"/>
    <w:tmpl w:val="6EDC8A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614DA5"/>
    <w:multiLevelType w:val="hybridMultilevel"/>
    <w:tmpl w:val="E3A6DE92"/>
    <w:lvl w:ilvl="0" w:tplc="0409000F">
      <w:start w:val="1"/>
      <w:numFmt w:val="decimal"/>
      <w:lvlText w:val="%1."/>
      <w:lvlJc w:val="left"/>
      <w:pPr>
        <w:ind w:left="720" w:hanging="360"/>
      </w:pPr>
    </w:lvl>
    <w:lvl w:ilvl="1" w:tplc="1814233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012071"/>
    <w:multiLevelType w:val="hybridMultilevel"/>
    <w:tmpl w:val="81D68BA4"/>
    <w:lvl w:ilvl="0" w:tplc="04090019">
      <w:start w:val="1"/>
      <w:numFmt w:val="lowerLetter"/>
      <w:lvlText w:val="%1."/>
      <w:lvlJc w:val="left"/>
      <w:pPr>
        <w:ind w:left="720" w:hanging="360"/>
      </w:pPr>
    </w:lvl>
    <w:lvl w:ilvl="1" w:tplc="B95A389A">
      <w:start w:val="1"/>
      <w:numFmt w:val="lowerLetter"/>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957D54"/>
    <w:multiLevelType w:val="hybridMultilevel"/>
    <w:tmpl w:val="3A846C22"/>
    <w:lvl w:ilvl="0" w:tplc="BD7CF18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7430057"/>
    <w:multiLevelType w:val="hybridMultilevel"/>
    <w:tmpl w:val="935A6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4D0577"/>
    <w:multiLevelType w:val="hybridMultilevel"/>
    <w:tmpl w:val="885A828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79AC1724"/>
    <w:multiLevelType w:val="hybridMultilevel"/>
    <w:tmpl w:val="D89EC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485B79"/>
    <w:multiLevelType w:val="hybridMultilevel"/>
    <w:tmpl w:val="6BB0D916"/>
    <w:lvl w:ilvl="0" w:tplc="E23EF1D0">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9"/>
  </w:num>
  <w:num w:numId="3">
    <w:abstractNumId w:val="0"/>
  </w:num>
  <w:num w:numId="4">
    <w:abstractNumId w:val="2"/>
  </w:num>
  <w:num w:numId="5">
    <w:abstractNumId w:val="8"/>
  </w:num>
  <w:num w:numId="6">
    <w:abstractNumId w:val="3"/>
  </w:num>
  <w:num w:numId="7">
    <w:abstractNumId w:val="5"/>
  </w:num>
  <w:num w:numId="8">
    <w:abstractNumId w:val="1"/>
  </w:num>
  <w:num w:numId="9">
    <w:abstractNumId w:val="4"/>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5E6"/>
    <w:rsid w:val="00007469"/>
    <w:rsid w:val="00010603"/>
    <w:rsid w:val="00017B9E"/>
    <w:rsid w:val="00024DA0"/>
    <w:rsid w:val="00025507"/>
    <w:rsid w:val="00036277"/>
    <w:rsid w:val="00037A1E"/>
    <w:rsid w:val="00041CA1"/>
    <w:rsid w:val="00047B4C"/>
    <w:rsid w:val="0005528C"/>
    <w:rsid w:val="00064CD8"/>
    <w:rsid w:val="00072E6C"/>
    <w:rsid w:val="000B3091"/>
    <w:rsid w:val="000B55B9"/>
    <w:rsid w:val="000C1A8E"/>
    <w:rsid w:val="000E0994"/>
    <w:rsid w:val="000F3924"/>
    <w:rsid w:val="00122AE9"/>
    <w:rsid w:val="00130065"/>
    <w:rsid w:val="00152D1E"/>
    <w:rsid w:val="001576C9"/>
    <w:rsid w:val="00166BAA"/>
    <w:rsid w:val="001B1678"/>
    <w:rsid w:val="001D42C7"/>
    <w:rsid w:val="00201172"/>
    <w:rsid w:val="00205D30"/>
    <w:rsid w:val="002471DE"/>
    <w:rsid w:val="002538B7"/>
    <w:rsid w:val="002645A4"/>
    <w:rsid w:val="002A10A3"/>
    <w:rsid w:val="002A3E22"/>
    <w:rsid w:val="002B4B10"/>
    <w:rsid w:val="002C0CF9"/>
    <w:rsid w:val="002D0301"/>
    <w:rsid w:val="002F5424"/>
    <w:rsid w:val="0031047A"/>
    <w:rsid w:val="00334B75"/>
    <w:rsid w:val="00341528"/>
    <w:rsid w:val="00371D6B"/>
    <w:rsid w:val="00381F3C"/>
    <w:rsid w:val="00383C3D"/>
    <w:rsid w:val="003953C8"/>
    <w:rsid w:val="003B0C56"/>
    <w:rsid w:val="003B382D"/>
    <w:rsid w:val="003C5415"/>
    <w:rsid w:val="003C6189"/>
    <w:rsid w:val="003D46F9"/>
    <w:rsid w:val="0041210C"/>
    <w:rsid w:val="0041346C"/>
    <w:rsid w:val="00414F88"/>
    <w:rsid w:val="00453BA6"/>
    <w:rsid w:val="00462BBC"/>
    <w:rsid w:val="004700B3"/>
    <w:rsid w:val="004A26B5"/>
    <w:rsid w:val="004B14D5"/>
    <w:rsid w:val="004C398D"/>
    <w:rsid w:val="004D08F2"/>
    <w:rsid w:val="004E5697"/>
    <w:rsid w:val="00507F2E"/>
    <w:rsid w:val="00523C24"/>
    <w:rsid w:val="005430E2"/>
    <w:rsid w:val="00567D0F"/>
    <w:rsid w:val="00571666"/>
    <w:rsid w:val="005814AA"/>
    <w:rsid w:val="0059178C"/>
    <w:rsid w:val="005C1013"/>
    <w:rsid w:val="005E3535"/>
    <w:rsid w:val="005E35E6"/>
    <w:rsid w:val="0060115E"/>
    <w:rsid w:val="006128D1"/>
    <w:rsid w:val="00635070"/>
    <w:rsid w:val="006516B7"/>
    <w:rsid w:val="0069633B"/>
    <w:rsid w:val="006A136A"/>
    <w:rsid w:val="006A4AC1"/>
    <w:rsid w:val="006D7967"/>
    <w:rsid w:val="007245C7"/>
    <w:rsid w:val="0072749F"/>
    <w:rsid w:val="007554BB"/>
    <w:rsid w:val="00761FD8"/>
    <w:rsid w:val="007732FB"/>
    <w:rsid w:val="007A57AF"/>
    <w:rsid w:val="007E6BA5"/>
    <w:rsid w:val="00804319"/>
    <w:rsid w:val="008205AE"/>
    <w:rsid w:val="0082063C"/>
    <w:rsid w:val="008443C9"/>
    <w:rsid w:val="008964BF"/>
    <w:rsid w:val="008A0C9E"/>
    <w:rsid w:val="008C0E95"/>
    <w:rsid w:val="008C238A"/>
    <w:rsid w:val="008D7233"/>
    <w:rsid w:val="008E1CEF"/>
    <w:rsid w:val="0095710F"/>
    <w:rsid w:val="0096219D"/>
    <w:rsid w:val="00974426"/>
    <w:rsid w:val="00A1178A"/>
    <w:rsid w:val="00A20194"/>
    <w:rsid w:val="00A550BD"/>
    <w:rsid w:val="00A55307"/>
    <w:rsid w:val="00A70FE3"/>
    <w:rsid w:val="00A7681B"/>
    <w:rsid w:val="00A960D7"/>
    <w:rsid w:val="00AC6AC7"/>
    <w:rsid w:val="00AD14AA"/>
    <w:rsid w:val="00B15E7C"/>
    <w:rsid w:val="00B34968"/>
    <w:rsid w:val="00B35AB9"/>
    <w:rsid w:val="00B55FB0"/>
    <w:rsid w:val="00B62C75"/>
    <w:rsid w:val="00BB24C8"/>
    <w:rsid w:val="00BC1CAB"/>
    <w:rsid w:val="00BC5CE1"/>
    <w:rsid w:val="00BD5090"/>
    <w:rsid w:val="00BD67DE"/>
    <w:rsid w:val="00BD7550"/>
    <w:rsid w:val="00BF346E"/>
    <w:rsid w:val="00C974A6"/>
    <w:rsid w:val="00CD116D"/>
    <w:rsid w:val="00CE232B"/>
    <w:rsid w:val="00D1782C"/>
    <w:rsid w:val="00D30D1C"/>
    <w:rsid w:val="00D456B8"/>
    <w:rsid w:val="00D73B50"/>
    <w:rsid w:val="00D93A0D"/>
    <w:rsid w:val="00DD2268"/>
    <w:rsid w:val="00DE3F5A"/>
    <w:rsid w:val="00E05FF6"/>
    <w:rsid w:val="00E170D1"/>
    <w:rsid w:val="00E77FAD"/>
    <w:rsid w:val="00E83069"/>
    <w:rsid w:val="00EE0A55"/>
    <w:rsid w:val="00F25840"/>
    <w:rsid w:val="00F32DCB"/>
    <w:rsid w:val="00F3443F"/>
    <w:rsid w:val="00F45344"/>
    <w:rsid w:val="00F530DB"/>
    <w:rsid w:val="00F61EF4"/>
    <w:rsid w:val="00F76E32"/>
    <w:rsid w:val="00F85362"/>
    <w:rsid w:val="00F878C5"/>
    <w:rsid w:val="00F92D7D"/>
    <w:rsid w:val="00FA018F"/>
    <w:rsid w:val="00FB1A55"/>
    <w:rsid w:val="00FF1CF8"/>
    <w:rsid w:val="00FF30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5532A0"/>
  <w15:docId w15:val="{1879D5BE-5CC8-43F1-B443-C80162195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table" w:styleId="TableGrid">
    <w:name w:val="Table Grid"/>
    <w:basedOn w:val="TableNormal"/>
    <w:uiPriority w:val="59"/>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character" w:styleId="Hyperlink">
    <w:name w:val="Hyperlink"/>
    <w:uiPriority w:val="99"/>
    <w:rsid w:val="005E35E6"/>
    <w:rPr>
      <w:color w:val="0000FF"/>
      <w:u w:val="single"/>
    </w:rPr>
  </w:style>
  <w:style w:type="paragraph" w:styleId="FootnoteText">
    <w:name w:val="footnote text"/>
    <w:basedOn w:val="Normal"/>
    <w:link w:val="FootnoteTextChar"/>
    <w:rsid w:val="005E35E6"/>
    <w:pPr>
      <w:widowControl/>
    </w:pPr>
    <w:rPr>
      <w:snapToGrid/>
      <w:sz w:val="20"/>
    </w:rPr>
  </w:style>
  <w:style w:type="character" w:customStyle="1" w:styleId="FootnoteTextChar">
    <w:name w:val="Footnote Text Char"/>
    <w:basedOn w:val="DefaultParagraphFont"/>
    <w:link w:val="FootnoteText"/>
    <w:rsid w:val="005E35E6"/>
  </w:style>
  <w:style w:type="paragraph" w:customStyle="1" w:styleId="Default">
    <w:name w:val="Default"/>
    <w:rsid w:val="005E35E6"/>
    <w:pPr>
      <w:autoSpaceDE w:val="0"/>
      <w:autoSpaceDN w:val="0"/>
      <w:adjustRightInd w:val="0"/>
    </w:pPr>
    <w:rPr>
      <w:color w:val="000000"/>
      <w:sz w:val="24"/>
      <w:szCs w:val="24"/>
    </w:rPr>
  </w:style>
  <w:style w:type="paragraph" w:styleId="NormalWeb">
    <w:name w:val="Normal (Web)"/>
    <w:basedOn w:val="Normal"/>
    <w:uiPriority w:val="99"/>
    <w:unhideWhenUsed/>
    <w:rsid w:val="005E35E6"/>
    <w:rPr>
      <w:szCs w:val="24"/>
    </w:rPr>
  </w:style>
  <w:style w:type="paragraph" w:styleId="ListParagraph">
    <w:name w:val="List Paragraph"/>
    <w:basedOn w:val="Normal"/>
    <w:link w:val="ListParagraphChar"/>
    <w:uiPriority w:val="34"/>
    <w:qFormat/>
    <w:rsid w:val="005E35E6"/>
    <w:pPr>
      <w:widowControl/>
      <w:ind w:left="720"/>
      <w:contextualSpacing/>
    </w:pPr>
    <w:rPr>
      <w:snapToGrid/>
      <w:szCs w:val="24"/>
    </w:rPr>
  </w:style>
  <w:style w:type="character" w:customStyle="1" w:styleId="ListParagraphChar">
    <w:name w:val="List Paragraph Char"/>
    <w:basedOn w:val="DefaultParagraphFont"/>
    <w:link w:val="ListParagraph"/>
    <w:uiPriority w:val="34"/>
    <w:rsid w:val="005E35E6"/>
    <w:rPr>
      <w:sz w:val="24"/>
      <w:szCs w:val="24"/>
    </w:rPr>
  </w:style>
  <w:style w:type="paragraph" w:styleId="Header">
    <w:name w:val="header"/>
    <w:basedOn w:val="Normal"/>
    <w:link w:val="HeaderChar"/>
    <w:unhideWhenUsed/>
    <w:rsid w:val="005E35E6"/>
    <w:pPr>
      <w:tabs>
        <w:tab w:val="center" w:pos="4680"/>
        <w:tab w:val="right" w:pos="9360"/>
      </w:tabs>
    </w:pPr>
  </w:style>
  <w:style w:type="character" w:customStyle="1" w:styleId="HeaderChar">
    <w:name w:val="Header Char"/>
    <w:basedOn w:val="DefaultParagraphFont"/>
    <w:link w:val="Header"/>
    <w:rsid w:val="005E35E6"/>
    <w:rPr>
      <w:snapToGrid w:val="0"/>
      <w:sz w:val="24"/>
    </w:rPr>
  </w:style>
  <w:style w:type="character" w:styleId="FollowedHyperlink">
    <w:name w:val="FollowedHyperlink"/>
    <w:basedOn w:val="DefaultParagraphFont"/>
    <w:semiHidden/>
    <w:unhideWhenUsed/>
    <w:rsid w:val="00507F2E"/>
    <w:rPr>
      <w:color w:val="800080" w:themeColor="followedHyperlink"/>
      <w:u w:val="single"/>
    </w:rPr>
  </w:style>
  <w:style w:type="character" w:styleId="CommentReference">
    <w:name w:val="annotation reference"/>
    <w:basedOn w:val="DefaultParagraphFont"/>
    <w:semiHidden/>
    <w:unhideWhenUsed/>
    <w:rsid w:val="00064CD8"/>
    <w:rPr>
      <w:sz w:val="16"/>
      <w:szCs w:val="16"/>
    </w:rPr>
  </w:style>
  <w:style w:type="paragraph" w:styleId="CommentText">
    <w:name w:val="annotation text"/>
    <w:basedOn w:val="Normal"/>
    <w:link w:val="CommentTextChar"/>
    <w:semiHidden/>
    <w:unhideWhenUsed/>
    <w:rsid w:val="00064CD8"/>
    <w:rPr>
      <w:sz w:val="20"/>
    </w:rPr>
  </w:style>
  <w:style w:type="character" w:customStyle="1" w:styleId="CommentTextChar">
    <w:name w:val="Comment Text Char"/>
    <w:basedOn w:val="DefaultParagraphFont"/>
    <w:link w:val="CommentText"/>
    <w:semiHidden/>
    <w:rsid w:val="00064CD8"/>
    <w:rPr>
      <w:snapToGrid w:val="0"/>
    </w:rPr>
  </w:style>
  <w:style w:type="paragraph" w:styleId="CommentSubject">
    <w:name w:val="annotation subject"/>
    <w:basedOn w:val="CommentText"/>
    <w:next w:val="CommentText"/>
    <w:link w:val="CommentSubjectChar"/>
    <w:semiHidden/>
    <w:unhideWhenUsed/>
    <w:rsid w:val="00064CD8"/>
    <w:rPr>
      <w:b/>
      <w:bCs/>
    </w:rPr>
  </w:style>
  <w:style w:type="character" w:customStyle="1" w:styleId="CommentSubjectChar">
    <w:name w:val="Comment Subject Char"/>
    <w:basedOn w:val="CommentTextChar"/>
    <w:link w:val="CommentSubject"/>
    <w:semiHidden/>
    <w:rsid w:val="00064CD8"/>
    <w:rPr>
      <w:b/>
      <w:bCs/>
      <w:snapToGrid w:val="0"/>
    </w:rPr>
  </w:style>
  <w:style w:type="paragraph" w:styleId="TOCHeading">
    <w:name w:val="TOC Heading"/>
    <w:basedOn w:val="Heading1"/>
    <w:next w:val="Normal"/>
    <w:uiPriority w:val="39"/>
    <w:qFormat/>
    <w:rsid w:val="00A960D7"/>
    <w:pPr>
      <w:keepLines/>
      <w:widowControl/>
      <w:tabs>
        <w:tab w:val="clear" w:pos="4680"/>
      </w:tabs>
      <w:spacing w:before="480" w:line="276" w:lineRule="auto"/>
      <w:jc w:val="left"/>
      <w:outlineLvl w:val="9"/>
    </w:pPr>
    <w:rPr>
      <w:rFonts w:ascii="Cambria" w:hAnsi="Cambria"/>
      <w:bCs/>
      <w:snapToGrid/>
      <w:color w:val="365F91"/>
      <w:sz w:val="28"/>
      <w:szCs w:val="28"/>
    </w:rPr>
  </w:style>
  <w:style w:type="table" w:customStyle="1" w:styleId="TableGrid3">
    <w:name w:val="Table Grid3"/>
    <w:basedOn w:val="TableNormal"/>
    <w:next w:val="TableGrid"/>
    <w:uiPriority w:val="59"/>
    <w:rsid w:val="0031047A"/>
    <w:rPr>
      <w:rFonts w:asciiTheme="minorHAnsi" w:eastAsiaTheme="minorEastAsia" w:hAnsiTheme="minorHAnsi" w:cstheme="minorBidi"/>
      <w:sz w:val="24"/>
      <w:szCs w:val="22"/>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530DB"/>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doe.mass.edu/bese/docs/fy2019/2019-03/item3-attachment-b.docx"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oe.mass.edu/bese/docs/fy2019/2019-03/item3-attachment-a.docx" TargetMode="External"/><Relationship Id="rId2" Type="http://schemas.openxmlformats.org/officeDocument/2006/relationships/customXml" Target="../customXml/item2.xml"/><Relationship Id="rId16" Type="http://schemas.openxmlformats.org/officeDocument/2006/relationships/hyperlink" Target="mailto:odl@doe.mass.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odl@doe.mass.edu" TargetMode="External"/><Relationship Id="rId10" Type="http://schemas.openxmlformats.org/officeDocument/2006/relationships/footnotes" Target="footnotes.xml"/><Relationship Id="rId19" Type="http://schemas.openxmlformats.org/officeDocument/2006/relationships/hyperlink" Target="http://www.doe.mass.edu/bese/docs/fy2019/2019-03/item3-attachment-c"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bese/docs/fy2018/2018-03/item7.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nepc.colorado.edu/publication/virtual-schools-annual-2018" TargetMode="External"/><Relationship Id="rId1" Type="http://schemas.openxmlformats.org/officeDocument/2006/relationships/hyperlink" Target="http://www.doe.mass.edu/boe/docs/fy2013/2013-06/item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DESE-231-49507</_dlc_DocId>
    <_dlc_DocIdUrl xmlns="733efe1c-5bbe-4968-87dc-d400e65c879f">
      <Url>https://sharepoint.doemass.org/ese/webteam/cps/_layouts/DocIdRedir.aspx?ID=DESE-231-49507</Url>
      <Description>DESE-231-49507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9B25D-6E1E-443A-B138-1A174E6B0A4A}">
  <ds:schemaRefs>
    <ds:schemaRef ds:uri="http://schemas.microsoft.com/sharepoint/events"/>
  </ds:schemaRefs>
</ds:datastoreItem>
</file>

<file path=customXml/itemProps2.xml><?xml version="1.0" encoding="utf-8"?>
<ds:datastoreItem xmlns:ds="http://schemas.openxmlformats.org/officeDocument/2006/customXml" ds:itemID="{28A2F330-2AE9-4CE1-B1C3-1E4EE48609FD}">
  <ds:schemaRefs>
    <ds:schemaRef ds:uri="http://schemas.microsoft.com/sharepoint/v3/contenttype/forms"/>
  </ds:schemaRefs>
</ds:datastoreItem>
</file>

<file path=customXml/itemProps3.xml><?xml version="1.0" encoding="utf-8"?>
<ds:datastoreItem xmlns:ds="http://schemas.openxmlformats.org/officeDocument/2006/customXml" ds:itemID="{FE512AC1-0B3A-433B-B5A0-6FB63CCD5ED9}">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48F49B8E-9054-40F1-A099-3C7787EBF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5B76B8-6ECC-48F7-8C91-DC2E528AB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3735</Words>
  <Characters>22052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BESE March 2019 item 3 memo: Greenfield Virtual Commonwealth School: Renewal and Report on Probation</vt:lpstr>
    </vt:vector>
  </TitlesOfParts>
  <Company/>
  <LinksUpToDate>false</LinksUpToDate>
  <CharactersWithSpaces>25736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2019 Item 3 Memo: Greenfield Virtual Commonwealth School: Renewal and Report on Probation</dc:title>
  <dc:creator>DESE</dc:creator>
  <cp:lastModifiedBy>Zou, Dong (EOE)</cp:lastModifiedBy>
  <cp:revision>6</cp:revision>
  <cp:lastPrinted>2008-03-05T18:17:00Z</cp:lastPrinted>
  <dcterms:created xsi:type="dcterms:W3CDTF">2019-03-13T19:20:00Z</dcterms:created>
  <dcterms:modified xsi:type="dcterms:W3CDTF">2019-04-25T16:10:00Z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18 2019</vt:lpwstr>
  </property>
</Properties>
</file>