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379B0"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14:anchorId="61225C38" wp14:editId="7E38CAC6">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70102914"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3704E3CB" w14:textId="77777777" w:rsidR="00A20194" w:rsidRDefault="002674AD">
      <w:pPr>
        <w:rPr>
          <w:rFonts w:ascii="Arial" w:hAnsi="Arial"/>
          <w:i/>
        </w:rPr>
      </w:pPr>
      <w:bookmarkStart w:id="0" w:name="_GoBack"/>
      <w:r>
        <w:rPr>
          <w:rFonts w:ascii="Arial" w:hAnsi="Arial"/>
          <w:i/>
          <w:noProof/>
          <w:snapToGrid/>
        </w:rPr>
        <mc:AlternateContent>
          <mc:Choice Requires="wps">
            <w:drawing>
              <wp:anchor distT="4294967292" distB="4294967292" distL="114300" distR="114300" simplePos="0" relativeHeight="251658240" behindDoc="0" locked="0" layoutInCell="0" allowOverlap="1" wp14:anchorId="63C8067D" wp14:editId="5711DB6D">
                <wp:simplePos x="0" y="0"/>
                <wp:positionH relativeFrom="column">
                  <wp:posOffset>914400</wp:posOffset>
                </wp:positionH>
                <wp:positionV relativeFrom="paragraph">
                  <wp:posOffset>68579</wp:posOffset>
                </wp:positionV>
                <wp:extent cx="4800600" cy="0"/>
                <wp:effectExtent l="0" t="0" r="0" b="0"/>
                <wp:wrapNone/>
                <wp:docPr id="1"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DEFD4" id="Line 3" o:spid="_x0000_s1026" alt="Horizontal Line"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" o:allowincell="f" strokeweight="1pt"/>
            </w:pict>
          </mc:Fallback>
        </mc:AlternateContent>
      </w:r>
      <w:bookmarkEnd w:id="0"/>
    </w:p>
    <w:p w14:paraId="51A3C294"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126C8DD2" w14:textId="77777777" w:rsidR="00A20194" w:rsidRPr="00C974A6" w:rsidRDefault="00A20194">
      <w:pPr>
        <w:ind w:left="720"/>
        <w:rPr>
          <w:rFonts w:ascii="Arial" w:hAnsi="Arial"/>
          <w:i/>
          <w:sz w:val="16"/>
          <w:szCs w:val="16"/>
        </w:rPr>
      </w:pPr>
    </w:p>
    <w:p w14:paraId="698973E6" w14:textId="77777777" w:rsidR="00A20194" w:rsidRDefault="00A20194">
      <w:pPr>
        <w:ind w:left="720"/>
        <w:rPr>
          <w:rFonts w:ascii="Arial" w:hAnsi="Arial"/>
          <w:i/>
          <w:sz w:val="18"/>
        </w:rPr>
        <w:sectPr w:rsidR="00A20194" w:rsidSect="00DB7827">
          <w:footerReference w:type="default" r:id="rId12"/>
          <w:endnotePr>
            <w:numFmt w:val="decimal"/>
          </w:endnotePr>
          <w:pgSz w:w="12240" w:h="15840"/>
          <w:pgMar w:top="864" w:right="1080" w:bottom="1440" w:left="1800" w:header="1440" w:footer="1440" w:gutter="0"/>
          <w:cols w:space="720"/>
          <w:noEndnote/>
          <w:titlePg/>
          <w:docGrid w:linePitch="326"/>
        </w:sectPr>
      </w:pPr>
    </w:p>
    <w:p w14:paraId="59302AC0"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5976F98F" w14:textId="77777777">
        <w:tc>
          <w:tcPr>
            <w:tcW w:w="2988" w:type="dxa"/>
          </w:tcPr>
          <w:p w14:paraId="27E4ECAE"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14589C64"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26745F41" w14:textId="77777777" w:rsidR="00C974A6" w:rsidRPr="00C974A6" w:rsidRDefault="00C974A6" w:rsidP="00C974A6">
            <w:pPr>
              <w:jc w:val="center"/>
              <w:rPr>
                <w:rFonts w:ascii="Arial" w:hAnsi="Arial"/>
                <w:i/>
                <w:sz w:val="16"/>
                <w:szCs w:val="16"/>
              </w:rPr>
            </w:pPr>
          </w:p>
        </w:tc>
      </w:tr>
    </w:tbl>
    <w:p w14:paraId="4450BE96" w14:textId="77777777" w:rsidR="00A20194" w:rsidRDefault="00A20194">
      <w:pPr>
        <w:rPr>
          <w:rFonts w:ascii="Arial" w:hAnsi="Arial"/>
          <w:i/>
          <w:sz w:val="18"/>
        </w:rPr>
      </w:pPr>
    </w:p>
    <w:p w14:paraId="68AC5FF3"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37E9D6DA" w14:textId="77777777" w:rsidR="00201172" w:rsidRDefault="00201172"/>
    <w:p w14:paraId="20E4406A" w14:textId="77777777" w:rsidR="00CC5103" w:rsidRDefault="00CC5103" w:rsidP="00CC5103">
      <w:pPr>
        <w:pStyle w:val="Heading1"/>
        <w:tabs>
          <w:tab w:val="clear" w:pos="4680"/>
        </w:tabs>
      </w:pPr>
      <w:r>
        <w:t>MEMORANDUM</w:t>
      </w:r>
    </w:p>
    <w:p w14:paraId="6F87E677" w14:textId="77777777" w:rsidR="00CC5103" w:rsidRDefault="00CC5103" w:rsidP="00CC5103">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CC5103" w14:paraId="274FF5E0" w14:textId="77777777" w:rsidTr="00D20C89">
        <w:tc>
          <w:tcPr>
            <w:tcW w:w="1188" w:type="dxa"/>
          </w:tcPr>
          <w:p w14:paraId="4BA159C4" w14:textId="77777777" w:rsidR="00CC5103" w:rsidRDefault="00CC5103" w:rsidP="00D20C89">
            <w:pPr>
              <w:rPr>
                <w:b/>
              </w:rPr>
            </w:pPr>
            <w:r>
              <w:rPr>
                <w:b/>
              </w:rPr>
              <w:t>To:</w:t>
            </w:r>
          </w:p>
        </w:tc>
        <w:tc>
          <w:tcPr>
            <w:tcW w:w="8388" w:type="dxa"/>
          </w:tcPr>
          <w:p w14:paraId="07FD9BD5" w14:textId="77777777" w:rsidR="00CC5103" w:rsidRPr="005B61CF" w:rsidRDefault="00F72DD9" w:rsidP="00D20C89">
            <w:pPr>
              <w:pStyle w:val="Footer"/>
              <w:widowControl w:val="0"/>
              <w:tabs>
                <w:tab w:val="clear" w:pos="4320"/>
                <w:tab w:val="clear" w:pos="8640"/>
              </w:tabs>
              <w:rPr>
                <w:bCs/>
                <w:snapToGrid w:val="0"/>
                <w:szCs w:val="20"/>
              </w:rPr>
            </w:pPr>
            <w:r w:rsidRPr="00F72DD9">
              <w:t>Members of the Board of Elementary and Secondary Education</w:t>
            </w:r>
          </w:p>
        </w:tc>
      </w:tr>
      <w:tr w:rsidR="00CC5103" w:rsidRPr="00782ECA" w14:paraId="3CF67E93" w14:textId="77777777" w:rsidTr="00D20C89">
        <w:tc>
          <w:tcPr>
            <w:tcW w:w="1188" w:type="dxa"/>
          </w:tcPr>
          <w:p w14:paraId="41984E65" w14:textId="77777777" w:rsidR="00CC5103" w:rsidRDefault="00CC5103" w:rsidP="00D20C89">
            <w:pPr>
              <w:rPr>
                <w:b/>
              </w:rPr>
            </w:pPr>
            <w:r>
              <w:rPr>
                <w:b/>
              </w:rPr>
              <w:t>From:</w:t>
            </w:r>
            <w:r>
              <w:tab/>
            </w:r>
          </w:p>
        </w:tc>
        <w:tc>
          <w:tcPr>
            <w:tcW w:w="8388" w:type="dxa"/>
          </w:tcPr>
          <w:p w14:paraId="0B043F21" w14:textId="77777777" w:rsidR="00CC5103" w:rsidRPr="00782ECA" w:rsidRDefault="00F72DD9" w:rsidP="00F72DD9">
            <w:pPr>
              <w:pStyle w:val="Footer"/>
              <w:widowControl w:val="0"/>
              <w:tabs>
                <w:tab w:val="clear" w:pos="4320"/>
                <w:tab w:val="clear" w:pos="8640"/>
              </w:tabs>
            </w:pPr>
            <w:r w:rsidRPr="00F72DD9">
              <w:t xml:space="preserve">Jeffrey C. Riley, Commissioner </w:t>
            </w:r>
          </w:p>
        </w:tc>
      </w:tr>
      <w:tr w:rsidR="00CC5103" w14:paraId="7C568328" w14:textId="77777777" w:rsidTr="00D20C89">
        <w:tc>
          <w:tcPr>
            <w:tcW w:w="1188" w:type="dxa"/>
          </w:tcPr>
          <w:p w14:paraId="57629FF9" w14:textId="77777777" w:rsidR="00CC5103" w:rsidRDefault="00CC5103" w:rsidP="00D20C89">
            <w:pPr>
              <w:rPr>
                <w:b/>
              </w:rPr>
            </w:pPr>
            <w:r>
              <w:rPr>
                <w:b/>
              </w:rPr>
              <w:t>Date:</w:t>
            </w:r>
            <w:r>
              <w:tab/>
            </w:r>
          </w:p>
        </w:tc>
        <w:tc>
          <w:tcPr>
            <w:tcW w:w="8388" w:type="dxa"/>
          </w:tcPr>
          <w:p w14:paraId="7D9FF3BD" w14:textId="26470072" w:rsidR="00CC5103" w:rsidRPr="005B61CF" w:rsidRDefault="0081441F" w:rsidP="002674AD">
            <w:pPr>
              <w:pStyle w:val="Footer"/>
              <w:widowControl w:val="0"/>
              <w:tabs>
                <w:tab w:val="clear" w:pos="4320"/>
                <w:tab w:val="clear" w:pos="8640"/>
              </w:tabs>
              <w:rPr>
                <w:bCs/>
                <w:snapToGrid w:val="0"/>
                <w:szCs w:val="20"/>
              </w:rPr>
            </w:pPr>
            <w:r>
              <w:rPr>
                <w:bCs/>
                <w:snapToGrid w:val="0"/>
                <w:szCs w:val="20"/>
              </w:rPr>
              <w:t>J</w:t>
            </w:r>
            <w:r w:rsidR="00526F7F">
              <w:rPr>
                <w:bCs/>
                <w:snapToGrid w:val="0"/>
                <w:szCs w:val="20"/>
              </w:rPr>
              <w:t>anuary</w:t>
            </w:r>
            <w:r>
              <w:rPr>
                <w:bCs/>
                <w:snapToGrid w:val="0"/>
                <w:szCs w:val="20"/>
              </w:rPr>
              <w:t xml:space="preserve"> </w:t>
            </w:r>
            <w:r w:rsidR="00D61098">
              <w:rPr>
                <w:bCs/>
                <w:snapToGrid w:val="0"/>
                <w:szCs w:val="20"/>
              </w:rPr>
              <w:t>2</w:t>
            </w:r>
            <w:r w:rsidR="008C4004">
              <w:rPr>
                <w:bCs/>
                <w:snapToGrid w:val="0"/>
                <w:szCs w:val="20"/>
              </w:rPr>
              <w:t>7</w:t>
            </w:r>
            <w:r w:rsidR="00B14811">
              <w:rPr>
                <w:bCs/>
                <w:snapToGrid w:val="0"/>
                <w:szCs w:val="20"/>
              </w:rPr>
              <w:t>,</w:t>
            </w:r>
            <w:r w:rsidR="002674AD">
              <w:rPr>
                <w:bCs/>
                <w:snapToGrid w:val="0"/>
                <w:szCs w:val="20"/>
              </w:rPr>
              <w:t xml:space="preserve"> </w:t>
            </w:r>
            <w:r w:rsidR="005B6719">
              <w:rPr>
                <w:bCs/>
                <w:snapToGrid w:val="0"/>
                <w:szCs w:val="20"/>
              </w:rPr>
              <w:t>20</w:t>
            </w:r>
            <w:r w:rsidR="00A112C0">
              <w:rPr>
                <w:bCs/>
                <w:snapToGrid w:val="0"/>
                <w:szCs w:val="20"/>
              </w:rPr>
              <w:t>20</w:t>
            </w:r>
          </w:p>
        </w:tc>
      </w:tr>
      <w:tr w:rsidR="00CC5103" w14:paraId="31E9D75A" w14:textId="77777777" w:rsidTr="00D20C89">
        <w:tc>
          <w:tcPr>
            <w:tcW w:w="1188" w:type="dxa"/>
          </w:tcPr>
          <w:p w14:paraId="1DF28C25" w14:textId="77777777" w:rsidR="00CC5103" w:rsidRDefault="00CC5103" w:rsidP="00D20C89">
            <w:pPr>
              <w:rPr>
                <w:b/>
              </w:rPr>
            </w:pPr>
            <w:r>
              <w:rPr>
                <w:b/>
              </w:rPr>
              <w:t>Subject:</w:t>
            </w:r>
          </w:p>
        </w:tc>
        <w:tc>
          <w:tcPr>
            <w:tcW w:w="8388" w:type="dxa"/>
          </w:tcPr>
          <w:p w14:paraId="7CF72F98" w14:textId="0CCBCF3E" w:rsidR="00CC5103" w:rsidRPr="005B61CF" w:rsidRDefault="00526F7F">
            <w:pPr>
              <w:pStyle w:val="Footer"/>
              <w:widowControl w:val="0"/>
              <w:tabs>
                <w:tab w:val="clear" w:pos="4320"/>
                <w:tab w:val="clear" w:pos="8640"/>
              </w:tabs>
              <w:rPr>
                <w:bCs/>
                <w:i/>
                <w:snapToGrid w:val="0"/>
                <w:szCs w:val="20"/>
              </w:rPr>
            </w:pPr>
            <w:r>
              <w:rPr>
                <w:bCs/>
                <w:snapToGrid w:val="0"/>
                <w:szCs w:val="20"/>
              </w:rPr>
              <w:t>Governor’s FY2</w:t>
            </w:r>
            <w:r w:rsidR="00A112C0">
              <w:rPr>
                <w:bCs/>
                <w:snapToGrid w:val="0"/>
                <w:szCs w:val="20"/>
              </w:rPr>
              <w:t>1</w:t>
            </w:r>
            <w:r>
              <w:rPr>
                <w:bCs/>
                <w:snapToGrid w:val="0"/>
                <w:szCs w:val="20"/>
              </w:rPr>
              <w:t xml:space="preserve"> </w:t>
            </w:r>
            <w:r w:rsidR="00FD2DDE">
              <w:rPr>
                <w:bCs/>
                <w:snapToGrid w:val="0"/>
                <w:szCs w:val="20"/>
              </w:rPr>
              <w:t>House 2</w:t>
            </w:r>
            <w:r>
              <w:rPr>
                <w:bCs/>
                <w:snapToGrid w:val="0"/>
                <w:szCs w:val="20"/>
              </w:rPr>
              <w:t xml:space="preserve"> Budget Proposal </w:t>
            </w:r>
          </w:p>
        </w:tc>
      </w:tr>
    </w:tbl>
    <w:p w14:paraId="72F7585B" w14:textId="77777777" w:rsidR="00CC5103" w:rsidRDefault="00CC5103" w:rsidP="00CC5103">
      <w:pPr>
        <w:pBdr>
          <w:bottom w:val="single" w:sz="4" w:space="1" w:color="auto"/>
        </w:pBdr>
      </w:pPr>
      <w:bookmarkStart w:id="1" w:name="TO"/>
      <w:bookmarkStart w:id="2" w:name="FROM"/>
      <w:bookmarkStart w:id="3" w:name="DATE"/>
      <w:bookmarkStart w:id="4" w:name="RE"/>
      <w:bookmarkEnd w:id="1"/>
      <w:bookmarkEnd w:id="2"/>
      <w:bookmarkEnd w:id="3"/>
      <w:bookmarkEnd w:id="4"/>
    </w:p>
    <w:p w14:paraId="160591E6" w14:textId="77777777" w:rsidR="00CC5103" w:rsidRDefault="00CC5103" w:rsidP="00CC5103">
      <w:pPr>
        <w:sectPr w:rsidR="00CC5103">
          <w:endnotePr>
            <w:numFmt w:val="decimal"/>
          </w:endnotePr>
          <w:type w:val="continuous"/>
          <w:pgSz w:w="12240" w:h="15840"/>
          <w:pgMar w:top="1440" w:right="1440" w:bottom="1440" w:left="1440" w:header="1440" w:footer="1440" w:gutter="0"/>
          <w:cols w:space="720"/>
          <w:noEndnote/>
        </w:sectPr>
      </w:pPr>
    </w:p>
    <w:p w14:paraId="6EBADB53" w14:textId="77777777" w:rsidR="00CC5103" w:rsidRDefault="00CC5103" w:rsidP="00CC5103">
      <w:pPr>
        <w:rPr>
          <w:szCs w:val="24"/>
        </w:rPr>
      </w:pPr>
    </w:p>
    <w:p w14:paraId="02184680" w14:textId="53BEF8B0" w:rsidR="00526F7F" w:rsidRPr="00761E57" w:rsidRDefault="00526F7F" w:rsidP="00526F7F">
      <w:pPr>
        <w:rPr>
          <w:color w:val="000000"/>
          <w:szCs w:val="24"/>
        </w:rPr>
      </w:pPr>
      <w:r>
        <w:rPr>
          <w:szCs w:val="24"/>
        </w:rPr>
        <w:t>On January 2</w:t>
      </w:r>
      <w:r w:rsidR="00A112C0">
        <w:rPr>
          <w:szCs w:val="24"/>
        </w:rPr>
        <w:t>2nd</w:t>
      </w:r>
      <w:r w:rsidRPr="00761E57">
        <w:rPr>
          <w:szCs w:val="24"/>
        </w:rPr>
        <w:t xml:space="preserve">, Governor Baker filed House </w:t>
      </w:r>
      <w:r w:rsidR="00A112C0">
        <w:rPr>
          <w:szCs w:val="24"/>
        </w:rPr>
        <w:t>2</w:t>
      </w:r>
      <w:r w:rsidRPr="00761E57">
        <w:rPr>
          <w:szCs w:val="24"/>
        </w:rPr>
        <w:t>, containing the Administration’s FY2</w:t>
      </w:r>
      <w:r w:rsidR="00A112C0">
        <w:rPr>
          <w:szCs w:val="24"/>
        </w:rPr>
        <w:t>1</w:t>
      </w:r>
      <w:r w:rsidRPr="00761E57">
        <w:rPr>
          <w:szCs w:val="24"/>
        </w:rPr>
        <w:t xml:space="preserve"> state spending recommendations for the upcoming fiscal year. The Governor recommends total state spending of $4</w:t>
      </w:r>
      <w:r w:rsidR="00A112C0">
        <w:rPr>
          <w:szCs w:val="24"/>
        </w:rPr>
        <w:t>4.6</w:t>
      </w:r>
      <w:r w:rsidRPr="00761E57">
        <w:rPr>
          <w:szCs w:val="24"/>
        </w:rPr>
        <w:t xml:space="preserve"> billion (excluding transfers to the Medical Assistance Trust Fund), representing a </w:t>
      </w:r>
      <w:r w:rsidR="00A112C0">
        <w:rPr>
          <w:szCs w:val="24"/>
        </w:rPr>
        <w:t>2.3</w:t>
      </w:r>
      <w:r w:rsidRPr="00761E57">
        <w:rPr>
          <w:szCs w:val="24"/>
        </w:rPr>
        <w:t>% increase over FY</w:t>
      </w:r>
      <w:r w:rsidR="00A112C0">
        <w:rPr>
          <w:szCs w:val="24"/>
        </w:rPr>
        <w:t>20</w:t>
      </w:r>
      <w:r w:rsidRPr="00761E57">
        <w:rPr>
          <w:szCs w:val="24"/>
        </w:rPr>
        <w:t xml:space="preserve"> spending. The Governor has prioritized spending increases </w:t>
      </w:r>
      <w:r w:rsidRPr="00761E57">
        <w:rPr>
          <w:color w:val="000000"/>
          <w:szCs w:val="24"/>
        </w:rPr>
        <w:t xml:space="preserve">for key areas, including education, transportation, </w:t>
      </w:r>
      <w:r w:rsidR="00A112C0">
        <w:rPr>
          <w:color w:val="000000"/>
          <w:szCs w:val="24"/>
        </w:rPr>
        <w:t>workforce</w:t>
      </w:r>
      <w:r w:rsidRPr="00761E57">
        <w:rPr>
          <w:color w:val="000000"/>
          <w:szCs w:val="24"/>
        </w:rPr>
        <w:t xml:space="preserve"> development, </w:t>
      </w:r>
      <w:r w:rsidR="00A112C0" w:rsidRPr="00761E57">
        <w:rPr>
          <w:color w:val="000000"/>
          <w:szCs w:val="24"/>
        </w:rPr>
        <w:t xml:space="preserve">substance misuse services and treatment, </w:t>
      </w:r>
      <w:r w:rsidRPr="00761E57">
        <w:rPr>
          <w:color w:val="000000"/>
          <w:szCs w:val="24"/>
        </w:rPr>
        <w:t>and local communities.</w:t>
      </w:r>
    </w:p>
    <w:p w14:paraId="78553C6B" w14:textId="77777777" w:rsidR="00526F7F" w:rsidRPr="00761E57" w:rsidRDefault="00526F7F" w:rsidP="00526F7F">
      <w:pPr>
        <w:rPr>
          <w:szCs w:val="24"/>
        </w:rPr>
      </w:pPr>
    </w:p>
    <w:p w14:paraId="78FBBD3F" w14:textId="40122981" w:rsidR="00526F7F" w:rsidRPr="00761E57" w:rsidRDefault="00526F7F" w:rsidP="00526F7F">
      <w:pPr>
        <w:rPr>
          <w:szCs w:val="24"/>
        </w:rPr>
      </w:pPr>
      <w:r w:rsidRPr="00761E57">
        <w:rPr>
          <w:szCs w:val="24"/>
        </w:rPr>
        <w:t>The Department’s recommended appropriations total $</w:t>
      </w:r>
      <w:r w:rsidR="00A112C0">
        <w:rPr>
          <w:szCs w:val="24"/>
        </w:rPr>
        <w:t>6.25</w:t>
      </w:r>
      <w:r w:rsidRPr="00761E57">
        <w:rPr>
          <w:szCs w:val="24"/>
        </w:rPr>
        <w:t xml:space="preserve"> billion, which represents an increase of $</w:t>
      </w:r>
      <w:r w:rsidR="002A4390">
        <w:rPr>
          <w:szCs w:val="24"/>
        </w:rPr>
        <w:t>296.9</w:t>
      </w:r>
      <w:r w:rsidRPr="00761E57">
        <w:rPr>
          <w:szCs w:val="24"/>
        </w:rPr>
        <w:t xml:space="preserve"> million (</w:t>
      </w:r>
      <w:r w:rsidR="009C3D3A">
        <w:rPr>
          <w:szCs w:val="24"/>
        </w:rPr>
        <w:t>4.98</w:t>
      </w:r>
      <w:r w:rsidRPr="00761E57">
        <w:rPr>
          <w:szCs w:val="24"/>
        </w:rPr>
        <w:t>%), over FY</w:t>
      </w:r>
      <w:r w:rsidR="002A4390">
        <w:rPr>
          <w:szCs w:val="24"/>
        </w:rPr>
        <w:t>20</w:t>
      </w:r>
      <w:r w:rsidRPr="00761E57">
        <w:rPr>
          <w:szCs w:val="24"/>
        </w:rPr>
        <w:t xml:space="preserve"> spending</w:t>
      </w:r>
      <w:r w:rsidR="002A4390">
        <w:rPr>
          <w:szCs w:val="24"/>
        </w:rPr>
        <w:t xml:space="preserve"> and supplemental budget</w:t>
      </w:r>
      <w:r w:rsidRPr="00761E57">
        <w:rPr>
          <w:szCs w:val="24"/>
        </w:rPr>
        <w:t xml:space="preserve">. </w:t>
      </w:r>
      <w:r w:rsidRPr="009C3D3A">
        <w:rPr>
          <w:szCs w:val="24"/>
        </w:rPr>
        <w:t xml:space="preserve">The Governor’s request </w:t>
      </w:r>
      <w:r w:rsidR="009C3D3A" w:rsidRPr="009C3D3A">
        <w:t xml:space="preserve">fully funds the first year of the Student Opportunity Act, adding a total of $355 million in new spending for initiatives laid out in this comprehensive education legislation. </w:t>
      </w:r>
      <w:r w:rsidRPr="009C3D3A">
        <w:rPr>
          <w:szCs w:val="24"/>
        </w:rPr>
        <w:t>The FY2</w:t>
      </w:r>
      <w:r w:rsidR="009C3D3A" w:rsidRPr="009C3D3A">
        <w:rPr>
          <w:szCs w:val="24"/>
        </w:rPr>
        <w:t>1</w:t>
      </w:r>
      <w:r w:rsidRPr="009C3D3A">
        <w:rPr>
          <w:szCs w:val="24"/>
        </w:rPr>
        <w:t xml:space="preserve"> budget proposal </w:t>
      </w:r>
      <w:r w:rsidR="009C3D3A" w:rsidRPr="009C3D3A">
        <w:rPr>
          <w:szCs w:val="24"/>
        </w:rPr>
        <w:t xml:space="preserve">includes $10 million for the new Twenty-First Century Education </w:t>
      </w:r>
      <w:r w:rsidR="004926D8">
        <w:rPr>
          <w:szCs w:val="24"/>
        </w:rPr>
        <w:t>F</w:t>
      </w:r>
      <w:r w:rsidR="009C3D3A" w:rsidRPr="009C3D3A">
        <w:rPr>
          <w:szCs w:val="24"/>
        </w:rPr>
        <w:t>und which will supplement the 7061-9408 Targeted Assistance account to close achievement gaps in low-performing schools.</w:t>
      </w:r>
      <w:r w:rsidR="009C3D3A">
        <w:rPr>
          <w:szCs w:val="24"/>
        </w:rPr>
        <w:t xml:space="preserve"> </w:t>
      </w:r>
    </w:p>
    <w:p w14:paraId="6C980BB3" w14:textId="77777777" w:rsidR="00526F7F" w:rsidRPr="00761E57" w:rsidRDefault="00526F7F" w:rsidP="00526F7F">
      <w:pPr>
        <w:rPr>
          <w:szCs w:val="24"/>
        </w:rPr>
      </w:pPr>
    </w:p>
    <w:p w14:paraId="2005CEEF" w14:textId="77777777" w:rsidR="00526F7F" w:rsidRPr="00761E57" w:rsidRDefault="00526F7F" w:rsidP="00526F7F">
      <w:pPr>
        <w:rPr>
          <w:szCs w:val="24"/>
        </w:rPr>
      </w:pPr>
      <w:r w:rsidRPr="00761E57">
        <w:rPr>
          <w:szCs w:val="24"/>
        </w:rPr>
        <w:t>The following summarizes the Governor’s education recommendations by program area.</w:t>
      </w:r>
    </w:p>
    <w:p w14:paraId="5389D8E1" w14:textId="77777777" w:rsidR="00526F7F" w:rsidRPr="00761E57" w:rsidRDefault="00526F7F" w:rsidP="00526F7F">
      <w:pPr>
        <w:rPr>
          <w:szCs w:val="24"/>
        </w:rPr>
      </w:pPr>
    </w:p>
    <w:p w14:paraId="6A520FB8" w14:textId="77777777" w:rsidR="00526F7F" w:rsidRPr="00761E57" w:rsidRDefault="00526F7F" w:rsidP="00526F7F">
      <w:pPr>
        <w:numPr>
          <w:ilvl w:val="0"/>
          <w:numId w:val="2"/>
        </w:numPr>
        <w:ind w:left="180" w:hanging="180"/>
        <w:rPr>
          <w:b/>
          <w:szCs w:val="24"/>
        </w:rPr>
      </w:pPr>
      <w:r w:rsidRPr="00761E57">
        <w:rPr>
          <w:b/>
          <w:szCs w:val="24"/>
        </w:rPr>
        <w:t xml:space="preserve">     Education Local Aid &amp; Reimbursements</w:t>
      </w:r>
    </w:p>
    <w:p w14:paraId="6931F9D5" w14:textId="77777777" w:rsidR="00526F7F" w:rsidRPr="00761E57" w:rsidRDefault="00526F7F" w:rsidP="00526F7F">
      <w:pPr>
        <w:rPr>
          <w:szCs w:val="24"/>
        </w:rPr>
      </w:pPr>
    </w:p>
    <w:p w14:paraId="27C23CB2" w14:textId="60574B55" w:rsidR="00676932" w:rsidRDefault="00676932" w:rsidP="00676932">
      <w:r w:rsidRPr="00761E57">
        <w:rPr>
          <w:szCs w:val="24"/>
        </w:rPr>
        <w:t>Chapter 70 aid (7061-0008), is increased by $3</w:t>
      </w:r>
      <w:r>
        <w:rPr>
          <w:szCs w:val="24"/>
        </w:rPr>
        <w:t>03.5</w:t>
      </w:r>
      <w:r w:rsidRPr="00761E57">
        <w:rPr>
          <w:szCs w:val="24"/>
        </w:rPr>
        <w:t>M (</w:t>
      </w:r>
      <w:r>
        <w:rPr>
          <w:szCs w:val="24"/>
        </w:rPr>
        <w:t>5.86</w:t>
      </w:r>
      <w:r w:rsidRPr="00761E57">
        <w:rPr>
          <w:szCs w:val="24"/>
        </w:rPr>
        <w:t xml:space="preserve">%) over </w:t>
      </w:r>
      <w:r>
        <w:rPr>
          <w:szCs w:val="24"/>
        </w:rPr>
        <w:t>FY20</w:t>
      </w:r>
      <w:r w:rsidRPr="00761E57">
        <w:rPr>
          <w:szCs w:val="24"/>
        </w:rPr>
        <w:t xml:space="preserve"> to $5.</w:t>
      </w:r>
      <w:r>
        <w:rPr>
          <w:szCs w:val="24"/>
        </w:rPr>
        <w:t>479</w:t>
      </w:r>
      <w:r w:rsidRPr="00761E57">
        <w:rPr>
          <w:szCs w:val="24"/>
        </w:rPr>
        <w:t xml:space="preserve">B. </w:t>
      </w:r>
      <w:r>
        <w:t>The FY21 Chapter 70 program reflects the passage in November 2019 of An Act Relative to Educational Opportunity for Students—commonly known as the Student Opportunity Act (the Act). The Act makes significant changes to the Chapter 70 formula, based in large part on the recommendations of the Foundation Budget Review Commission (FBRC). The updated formula is also codified in Chapter 70 of the general laws.</w:t>
      </w:r>
    </w:p>
    <w:p w14:paraId="619F4191" w14:textId="77777777" w:rsidR="00676932" w:rsidRDefault="00676932" w:rsidP="00676932"/>
    <w:p w14:paraId="35A34DC4" w14:textId="356A1E1E" w:rsidR="00676932" w:rsidRDefault="00676932" w:rsidP="00676932">
      <w:r>
        <w:t>The Act establishes new, higher foundation budget rates in five areas: benefits and fixed charges, guidance and psychological services, special education out</w:t>
      </w:r>
      <w:r w:rsidR="008C4004">
        <w:t>-</w:t>
      </w:r>
      <w:r>
        <w:t>of</w:t>
      </w:r>
      <w:r w:rsidR="008C4004">
        <w:t>-</w:t>
      </w:r>
      <w:r>
        <w:t>district tuition, English learners, and low</w:t>
      </w:r>
      <w:r w:rsidR="008C4004">
        <w:t>-</w:t>
      </w:r>
      <w:r>
        <w:t>income students, all to be phased in over a seven-year period. For the first four categories, the rates have been increased by 1/7 of the gap between the FY20 rates and the final target rates. Because of the significant increase in foundation budgets associated with low</w:t>
      </w:r>
      <w:r w:rsidR="008C4004">
        <w:t>-</w:t>
      </w:r>
      <w:r>
        <w:lastRenderedPageBreak/>
        <w:t>income enrollment in FY21 (discussed below), and the directive in Section 30 of the Act to implement foundation and increment amounts in "an equitable and consistent manner," the low</w:t>
      </w:r>
      <w:r w:rsidR="008C4004">
        <w:t>-</w:t>
      </w:r>
      <w:r>
        <w:t>income increment rate increases are set at 4/100 of the gap. The number of tiers for the low</w:t>
      </w:r>
      <w:r w:rsidR="008C4004">
        <w:t>-</w:t>
      </w:r>
      <w:r>
        <w:t>income increment rates is increased from ten to twelve; districts with higher concentrations of low</w:t>
      </w:r>
      <w:r w:rsidR="008C4004">
        <w:t>-</w:t>
      </w:r>
      <w:r>
        <w:t>income students benefit from higher rates.</w:t>
      </w:r>
    </w:p>
    <w:p w14:paraId="54EB15DE" w14:textId="77777777" w:rsidR="00676932" w:rsidRDefault="00676932" w:rsidP="00676932"/>
    <w:p w14:paraId="59B2D24B" w14:textId="77777777" w:rsidR="00676932" w:rsidRDefault="00676932" w:rsidP="00676932">
      <w:r>
        <w:t xml:space="preserve">In addition to these targeted rate increases, all foundation budget categories have been adjusted upward to account for inflation. A new employee benefits inflation rate is applied to the employee benefits and fixed charges category. This is based on the enrollment-weighted, three-year average premium increase for all Group Insurance Commission plans; for FY21 the increase is 2.34%. An inflation </w:t>
      </w:r>
      <w:proofErr w:type="gramStart"/>
      <w:r>
        <w:t>increase</w:t>
      </w:r>
      <w:proofErr w:type="gramEnd"/>
      <w:r>
        <w:t xml:space="preserve"> of 1.99% has been applied to all other foundation budget rates, based on the U.S. Department of Commerce's state and local government price deflator.</w:t>
      </w:r>
    </w:p>
    <w:p w14:paraId="3C3A6F9F" w14:textId="77777777" w:rsidR="00676932" w:rsidRDefault="00676932" w:rsidP="00676932"/>
    <w:p w14:paraId="28D90194" w14:textId="77777777" w:rsidR="00676932" w:rsidRDefault="00676932" w:rsidP="00676932">
      <w:r>
        <w:t>The Act also adds a new minimum aid adjustment to the formula. This provides "hold harmless" aid to 25 districts that otherwise would have lost aid due to the new foundation budget factors.</w:t>
      </w:r>
    </w:p>
    <w:p w14:paraId="281E43F0" w14:textId="77777777" w:rsidR="00676932" w:rsidRDefault="00676932" w:rsidP="00676932"/>
    <w:p w14:paraId="2C21185E" w14:textId="2BD8BA0A" w:rsidR="00676932" w:rsidRDefault="00676932" w:rsidP="00676932">
      <w:r>
        <w:t>The Act reinstates the definition of low</w:t>
      </w:r>
      <w:r w:rsidR="00F65CD8">
        <w:t>-</w:t>
      </w:r>
      <w:r>
        <w:t>income enrollment used prior to FY17, based on 185% of the federal poverty level. It replaces the "economically disadvantaged" designation (based on 133% of the federal poverty level) used from FY17 through FY20. For FY21, a district's low</w:t>
      </w:r>
      <w:r w:rsidR="008C4004">
        <w:t>-</w:t>
      </w:r>
      <w:r>
        <w:t xml:space="preserve">income enrollment is the higher of: (a) the number of students </w:t>
      </w:r>
      <w:proofErr w:type="spellStart"/>
      <w:r>
        <w:t>matched</w:t>
      </w:r>
      <w:proofErr w:type="spellEnd"/>
      <w:r>
        <w:t xml:space="preserve"> through the Department's current direct certification process (which identifies students whose families have been approved for various federal and state benefit programs); or (b) the district's FY16 low</w:t>
      </w:r>
      <w:r w:rsidR="008C4004">
        <w:t>-</w:t>
      </w:r>
      <w:r>
        <w:t>income percentage multiplied by its current foundation enrollment. Statewide low</w:t>
      </w:r>
      <w:r w:rsidR="00F65CD8">
        <w:t>-</w:t>
      </w:r>
      <w:r>
        <w:t>income enrollment for FY21 is 389,380, compared to 342,575 identified as economically disadvantaged in FY20.</w:t>
      </w:r>
    </w:p>
    <w:p w14:paraId="0CB0A13F" w14:textId="77777777" w:rsidR="00676932" w:rsidRDefault="00676932" w:rsidP="00676932"/>
    <w:p w14:paraId="6F26B238" w14:textId="3E362765" w:rsidR="00676932" w:rsidRDefault="00676932" w:rsidP="00676932">
      <w:r w:rsidRPr="00EA3DD3">
        <w:t>For FY22 and subsequent years, the Act directs the Department to recommend a new methodology for identifying low</w:t>
      </w:r>
      <w:r w:rsidR="008C4004" w:rsidRPr="00EA3DD3">
        <w:t>-</w:t>
      </w:r>
      <w:r w:rsidRPr="00EA3DD3">
        <w:t>income students.</w:t>
      </w:r>
      <w:r w:rsidR="00055898" w:rsidRPr="00EA3DD3">
        <w:t xml:space="preserve"> We are working with stakeholders to develop a new methodology </w:t>
      </w:r>
      <w:r w:rsidR="0015378A">
        <w:t xml:space="preserve">for submittal </w:t>
      </w:r>
      <w:r w:rsidR="00055898" w:rsidRPr="00EA3DD3">
        <w:t>to the Legislature.</w:t>
      </w:r>
    </w:p>
    <w:p w14:paraId="3A90015C" w14:textId="77777777" w:rsidR="00676932" w:rsidRDefault="00676932" w:rsidP="00676932"/>
    <w:p w14:paraId="713D40F4" w14:textId="09F1C7D6" w:rsidR="00526F7F" w:rsidRDefault="00676932" w:rsidP="00DB7827">
      <w:r>
        <w:t>The Act increases the assumed in-district special education enrollment to 5% for vocational students and 4% for non-vocational students. This is also being phased in over 7 years, so the factors used in FY21 are 4.82% and 3.82%, respectively.</w:t>
      </w:r>
    </w:p>
    <w:p w14:paraId="1B8C23DA" w14:textId="77777777" w:rsidR="00DB7827" w:rsidRPr="00DB7827" w:rsidRDefault="00DB7827" w:rsidP="00DB7827"/>
    <w:p w14:paraId="26DC4430" w14:textId="323B4216" w:rsidR="00676932" w:rsidRDefault="00676932" w:rsidP="00676932">
      <w:r w:rsidRPr="00BC11E2">
        <w:t>The Governor has also proposed an increase of $18.2M</w:t>
      </w:r>
      <w:r>
        <w:t xml:space="preserve"> over </w:t>
      </w:r>
      <w:r w:rsidR="008C4004">
        <w:t xml:space="preserve">the </w:t>
      </w:r>
      <w:r>
        <w:t xml:space="preserve">FY20 GAA (including supplemental budget of $5M) </w:t>
      </w:r>
      <w:r w:rsidRPr="00BC11E2">
        <w:t>for Charter School Tuition Reimbursement</w:t>
      </w:r>
      <w:r>
        <w:t>s (7061-9010) to $138.2M total.</w:t>
      </w:r>
      <w:r w:rsidRPr="00BC11E2">
        <w:t xml:space="preserve"> This appropriation level is expected to meet or exceed the 75% requirement when tuition assessments are updated to reflect actual enrollments and district spending levels.</w:t>
      </w:r>
    </w:p>
    <w:p w14:paraId="7D7CC3E9" w14:textId="77777777" w:rsidR="00526F7F" w:rsidRPr="00761E57" w:rsidRDefault="00526F7F" w:rsidP="00526F7F">
      <w:pPr>
        <w:rPr>
          <w:szCs w:val="24"/>
        </w:rPr>
      </w:pPr>
    </w:p>
    <w:p w14:paraId="65B28DE6" w14:textId="40D442FF" w:rsidR="00676932" w:rsidRDefault="00676932" w:rsidP="00676932">
      <w:r>
        <w:t>Foundation tuition rates for Commonwealth charter schools are based on the same foundation budget rates used in Chapter 70. The foundation budget rate increases being implemented in FY21 have been incorporated into our projected FY21 tuition rates. In addition, charter school low</w:t>
      </w:r>
      <w:r w:rsidR="008C4004">
        <w:t>-</w:t>
      </w:r>
      <w:r>
        <w:t>income enrollment for FY21 has been calculated in a manner consistent with the methodology used for districts. The facilities component of the tuition rate is held constant at FY20 levels, at $938 per pupil, with this cost fully reimbursed by the state as in prior years.</w:t>
      </w:r>
    </w:p>
    <w:p w14:paraId="0DFA9D47" w14:textId="77777777" w:rsidR="00676932" w:rsidRDefault="00676932" w:rsidP="00676932"/>
    <w:p w14:paraId="627075C5" w14:textId="77777777" w:rsidR="00676932" w:rsidRPr="00300EC8" w:rsidRDefault="00676932" w:rsidP="00676932">
      <w:pPr>
        <w:rPr>
          <w:szCs w:val="24"/>
        </w:rPr>
      </w:pPr>
      <w:r>
        <w:lastRenderedPageBreak/>
        <w:t xml:space="preserve">The reimbursement formula for transitional aid to districts remains unchanged from the change enacted by Section 38 of the FY20 budget, with an entitlement of 100% of any tuition increase in the first year, 60% in the second year, and 40% in the third year. Funding for first year reimbursements is prioritized first, followed by funding for second year reimbursements. The Act requires 75% of the total state obligation to be funded in FY21, 90% in FY22, and 100% in FY23 and subsequent years. </w:t>
      </w:r>
    </w:p>
    <w:p w14:paraId="5501EF24" w14:textId="77777777" w:rsidR="00676932" w:rsidRDefault="00676932" w:rsidP="00526F7F">
      <w:pPr>
        <w:rPr>
          <w:szCs w:val="24"/>
        </w:rPr>
      </w:pPr>
    </w:p>
    <w:p w14:paraId="1320EB51" w14:textId="3D0244A6" w:rsidR="00676932" w:rsidRPr="00761E57" w:rsidRDefault="00676932" w:rsidP="00676932">
      <w:pPr>
        <w:rPr>
          <w:szCs w:val="24"/>
        </w:rPr>
      </w:pPr>
      <w:r w:rsidRPr="003D5434">
        <w:rPr>
          <w:szCs w:val="24"/>
        </w:rPr>
        <w:t xml:space="preserve">Special Education Circuit Breaker reimbursement (7061-0012) is increased by $15.3M over </w:t>
      </w:r>
      <w:r w:rsidR="008C4004">
        <w:rPr>
          <w:szCs w:val="24"/>
        </w:rPr>
        <w:t xml:space="preserve">the </w:t>
      </w:r>
      <w:r w:rsidRPr="003D5434">
        <w:rPr>
          <w:szCs w:val="24"/>
        </w:rPr>
        <w:t>FY20 level (including supplemental budget of $2M) to $362.4M</w:t>
      </w:r>
      <w:r w:rsidR="008C4004">
        <w:rPr>
          <w:szCs w:val="24"/>
        </w:rPr>
        <w:t>,</w:t>
      </w:r>
      <w:r w:rsidRPr="003D5434">
        <w:rPr>
          <w:szCs w:val="24"/>
        </w:rPr>
        <w:t xml:space="preserve"> to reimburse up to 25% of out-of-district special education transportation costs, a provision of the Student Opportunity Act.</w:t>
      </w:r>
    </w:p>
    <w:p w14:paraId="24A2C309" w14:textId="77777777" w:rsidR="00676932" w:rsidRDefault="00676932" w:rsidP="00526F7F">
      <w:pPr>
        <w:rPr>
          <w:szCs w:val="24"/>
        </w:rPr>
      </w:pPr>
    </w:p>
    <w:p w14:paraId="36ADE57B" w14:textId="6C9F0032" w:rsidR="00526F7F" w:rsidRPr="00761E57" w:rsidRDefault="00526F7F" w:rsidP="00526F7F">
      <w:pPr>
        <w:rPr>
          <w:szCs w:val="24"/>
        </w:rPr>
      </w:pPr>
      <w:r w:rsidRPr="00761E57">
        <w:rPr>
          <w:szCs w:val="24"/>
        </w:rPr>
        <w:t xml:space="preserve">The </w:t>
      </w:r>
      <w:r w:rsidR="00676932">
        <w:rPr>
          <w:szCs w:val="24"/>
        </w:rPr>
        <w:t xml:space="preserve">FY21 </w:t>
      </w:r>
      <w:r w:rsidR="00FD2DDE">
        <w:rPr>
          <w:szCs w:val="24"/>
        </w:rPr>
        <w:t>House 2</w:t>
      </w:r>
      <w:r w:rsidRPr="00761E57">
        <w:rPr>
          <w:szCs w:val="24"/>
        </w:rPr>
        <w:t xml:space="preserve"> budget has level funded all other district reimbursement accounts at </w:t>
      </w:r>
      <w:r w:rsidR="009C3D3A">
        <w:rPr>
          <w:szCs w:val="24"/>
        </w:rPr>
        <w:t>FY20</w:t>
      </w:r>
      <w:r w:rsidRPr="00761E57">
        <w:rPr>
          <w:szCs w:val="24"/>
        </w:rPr>
        <w:t xml:space="preserve"> </w:t>
      </w:r>
      <w:r w:rsidR="00FD2DDE">
        <w:rPr>
          <w:szCs w:val="24"/>
        </w:rPr>
        <w:t xml:space="preserve">GAA </w:t>
      </w:r>
      <w:r w:rsidRPr="00761E57">
        <w:rPr>
          <w:szCs w:val="24"/>
        </w:rPr>
        <w:t xml:space="preserve">spending levels including Regional School Transportation (7035-0006), Non-Resident Vocational Student Transportation (7035-0007), </w:t>
      </w:r>
      <w:r w:rsidR="0087458C">
        <w:rPr>
          <w:szCs w:val="24"/>
        </w:rPr>
        <w:t xml:space="preserve">and </w:t>
      </w:r>
      <w:r w:rsidRPr="00761E57">
        <w:rPr>
          <w:szCs w:val="24"/>
        </w:rPr>
        <w:t>Homeless Transportation (7035-0008). The METCO Program (7010-0012) is also level funded at $2</w:t>
      </w:r>
      <w:r w:rsidR="002F39AB">
        <w:rPr>
          <w:szCs w:val="24"/>
        </w:rPr>
        <w:t>4</w:t>
      </w:r>
      <w:r w:rsidRPr="00761E57">
        <w:rPr>
          <w:szCs w:val="24"/>
        </w:rPr>
        <w:t>.1</w:t>
      </w:r>
      <w:r w:rsidR="002F39AB">
        <w:rPr>
          <w:szCs w:val="24"/>
        </w:rPr>
        <w:t>8</w:t>
      </w:r>
      <w:r w:rsidRPr="00761E57">
        <w:rPr>
          <w:szCs w:val="24"/>
        </w:rPr>
        <w:t>M</w:t>
      </w:r>
      <w:r w:rsidR="002F39AB">
        <w:rPr>
          <w:szCs w:val="24"/>
        </w:rPr>
        <w:t xml:space="preserve"> less earmarks</w:t>
      </w:r>
      <w:r w:rsidR="00CE621E">
        <w:rPr>
          <w:szCs w:val="24"/>
        </w:rPr>
        <w:t>. Proposed House 2 funding for Rural School Aid (7061-9813) has been reduced to $1.5M for FY21</w:t>
      </w:r>
      <w:r w:rsidRPr="00761E57">
        <w:rPr>
          <w:szCs w:val="24"/>
        </w:rPr>
        <w:t xml:space="preserve">. </w:t>
      </w:r>
      <w:r w:rsidR="00CE621E">
        <w:rPr>
          <w:szCs w:val="24"/>
        </w:rPr>
        <w:t xml:space="preserve">Low-Income Student Supports (7061-0016) is not funded in the FY21 House 2 proposal (a cut of $10.5M). </w:t>
      </w:r>
    </w:p>
    <w:p w14:paraId="455200A7" w14:textId="23D07F3F" w:rsidR="00526F7F" w:rsidRPr="00DB7827" w:rsidRDefault="00526F7F" w:rsidP="00526F7F"/>
    <w:p w14:paraId="75EFEF91" w14:textId="1500A703" w:rsidR="00526F7F" w:rsidRDefault="00526F7F" w:rsidP="00526F7F">
      <w:pPr>
        <w:numPr>
          <w:ilvl w:val="0"/>
          <w:numId w:val="2"/>
        </w:numPr>
        <w:ind w:left="720"/>
        <w:rPr>
          <w:b/>
          <w:szCs w:val="24"/>
        </w:rPr>
      </w:pPr>
      <w:r>
        <w:rPr>
          <w:b/>
          <w:szCs w:val="24"/>
        </w:rPr>
        <w:t xml:space="preserve">New </w:t>
      </w:r>
      <w:r w:rsidR="00CE621E">
        <w:rPr>
          <w:b/>
          <w:szCs w:val="24"/>
        </w:rPr>
        <w:t>Twenty</w:t>
      </w:r>
      <w:r w:rsidR="004926D8">
        <w:rPr>
          <w:b/>
          <w:szCs w:val="24"/>
        </w:rPr>
        <w:t>-</w:t>
      </w:r>
      <w:r w:rsidR="00CE621E">
        <w:rPr>
          <w:b/>
          <w:szCs w:val="24"/>
        </w:rPr>
        <w:t xml:space="preserve">First Century </w:t>
      </w:r>
      <w:r w:rsidRPr="00761E57">
        <w:rPr>
          <w:b/>
          <w:szCs w:val="24"/>
        </w:rPr>
        <w:t xml:space="preserve">Education Trust Funding </w:t>
      </w:r>
    </w:p>
    <w:p w14:paraId="10C672E8" w14:textId="77777777" w:rsidR="00526F7F" w:rsidRDefault="00526F7F" w:rsidP="00526F7F">
      <w:pPr>
        <w:rPr>
          <w:b/>
          <w:szCs w:val="24"/>
        </w:rPr>
      </w:pPr>
    </w:p>
    <w:p w14:paraId="2832F10B" w14:textId="10AE5215" w:rsidR="00526F7F" w:rsidRPr="00761E57" w:rsidRDefault="00CE621E" w:rsidP="00526F7F">
      <w:pPr>
        <w:rPr>
          <w:b/>
          <w:szCs w:val="24"/>
        </w:rPr>
      </w:pPr>
      <w:r>
        <w:t xml:space="preserve">The Student Opportunity Act established a new </w:t>
      </w:r>
      <w:r w:rsidR="004926D8">
        <w:t>Twenty-First Century Education Trust Fund for the purpose of addressing persistent disparities in achievement among student subgroups, improv</w:t>
      </w:r>
      <w:r w:rsidR="008C4004">
        <w:t>ing</w:t>
      </w:r>
      <w:r w:rsidR="004926D8">
        <w:t xml:space="preserve"> educational opportunities for all students, shar</w:t>
      </w:r>
      <w:r w:rsidR="008C4004">
        <w:t>ing</w:t>
      </w:r>
      <w:r w:rsidR="004926D8">
        <w:t xml:space="preserve"> best practices for improving classroom learning</w:t>
      </w:r>
      <w:r w:rsidR="008C4004">
        <w:t>,</w:t>
      </w:r>
      <w:r w:rsidR="004926D8">
        <w:t xml:space="preserve"> and support</w:t>
      </w:r>
      <w:r w:rsidR="008C4004">
        <w:t>ing</w:t>
      </w:r>
      <w:r w:rsidR="004926D8">
        <w:t xml:space="preserve"> efficiencies within and across school districts. The Governor has requested $10M for this new trust fund in the FY20 supplemental budget proposal currently under consideration by </w:t>
      </w:r>
      <w:r w:rsidR="008C4004">
        <w:t xml:space="preserve">the </w:t>
      </w:r>
      <w:r w:rsidR="004926D8">
        <w:t>House Ways and Means Committee as well as a $10M budget in the FY21 House 1 proposal</w:t>
      </w:r>
      <w:r w:rsidR="008C4004">
        <w:t>.</w:t>
      </w:r>
    </w:p>
    <w:p w14:paraId="455606C4" w14:textId="77777777" w:rsidR="00526F7F" w:rsidRDefault="00526F7F" w:rsidP="00526F7F">
      <w:pPr>
        <w:rPr>
          <w:b/>
          <w:szCs w:val="24"/>
        </w:rPr>
      </w:pPr>
    </w:p>
    <w:p w14:paraId="658C61F8" w14:textId="77777777" w:rsidR="00526F7F" w:rsidRPr="00761E57" w:rsidRDefault="00526F7F" w:rsidP="00526F7F">
      <w:pPr>
        <w:numPr>
          <w:ilvl w:val="0"/>
          <w:numId w:val="2"/>
        </w:numPr>
        <w:ind w:left="720"/>
        <w:rPr>
          <w:b/>
          <w:szCs w:val="24"/>
        </w:rPr>
      </w:pPr>
      <w:r>
        <w:rPr>
          <w:b/>
          <w:szCs w:val="24"/>
        </w:rPr>
        <w:t xml:space="preserve">Consolidation of </w:t>
      </w:r>
      <w:r w:rsidRPr="00761E57">
        <w:rPr>
          <w:b/>
          <w:szCs w:val="24"/>
        </w:rPr>
        <w:t>Literacy Account and English Language Acquisition</w:t>
      </w:r>
    </w:p>
    <w:p w14:paraId="559751CA" w14:textId="77777777" w:rsidR="00526F7F" w:rsidRPr="00761E57" w:rsidRDefault="00526F7F" w:rsidP="00526F7F"/>
    <w:p w14:paraId="2929A566" w14:textId="7613646D" w:rsidR="00526F7F" w:rsidRPr="00761E57" w:rsidRDefault="00526F7F" w:rsidP="00526F7F">
      <w:pPr>
        <w:rPr>
          <w:szCs w:val="24"/>
        </w:rPr>
      </w:pPr>
      <w:r w:rsidRPr="00761E57">
        <w:rPr>
          <w:szCs w:val="24"/>
        </w:rPr>
        <w:t xml:space="preserve">The Governor’s </w:t>
      </w:r>
      <w:r w:rsidR="00FD2DDE">
        <w:rPr>
          <w:szCs w:val="24"/>
        </w:rPr>
        <w:t>House 2</w:t>
      </w:r>
      <w:r w:rsidRPr="00761E57">
        <w:rPr>
          <w:szCs w:val="24"/>
        </w:rPr>
        <w:t xml:space="preserve"> budget consolidates the following line items into the newly renamed English Acquisition and Literacy Programs (7010-0033) account with a combined funding level of $4.3 million, same as </w:t>
      </w:r>
      <w:r>
        <w:rPr>
          <w:szCs w:val="24"/>
        </w:rPr>
        <w:t xml:space="preserve">the </w:t>
      </w:r>
      <w:r w:rsidR="009C3D3A">
        <w:rPr>
          <w:szCs w:val="24"/>
        </w:rPr>
        <w:t>FY20</w:t>
      </w:r>
      <w:r w:rsidRPr="00761E57">
        <w:rPr>
          <w:szCs w:val="24"/>
        </w:rPr>
        <w:t xml:space="preserve"> budget less </w:t>
      </w:r>
      <w:r w:rsidR="002F39AB">
        <w:rPr>
          <w:szCs w:val="24"/>
        </w:rPr>
        <w:t xml:space="preserve">some </w:t>
      </w:r>
      <w:r w:rsidRPr="00761E57">
        <w:rPr>
          <w:szCs w:val="24"/>
        </w:rPr>
        <w:t>earmark</w:t>
      </w:r>
      <w:r w:rsidR="002F39AB">
        <w:rPr>
          <w:szCs w:val="24"/>
        </w:rPr>
        <w:t>s</w:t>
      </w:r>
      <w:r w:rsidRPr="00761E57">
        <w:rPr>
          <w:szCs w:val="24"/>
        </w:rPr>
        <w:t>.</w:t>
      </w:r>
    </w:p>
    <w:p w14:paraId="3DBB0CED" w14:textId="77777777" w:rsidR="00526F7F" w:rsidRPr="00761E57" w:rsidRDefault="00526F7F" w:rsidP="00526F7F">
      <w:pPr>
        <w:rPr>
          <w:szCs w:val="24"/>
        </w:rPr>
      </w:pPr>
    </w:p>
    <w:p w14:paraId="4BEBB5E4" w14:textId="4B4395DC" w:rsidR="00526F7F" w:rsidRPr="00761E57" w:rsidRDefault="00526F7F" w:rsidP="00526F7F">
      <w:pPr>
        <w:pStyle w:val="ListParagraph"/>
        <w:widowControl/>
        <w:numPr>
          <w:ilvl w:val="0"/>
          <w:numId w:val="9"/>
        </w:numPr>
        <w:spacing w:after="200" w:line="276" w:lineRule="auto"/>
      </w:pPr>
      <w:r w:rsidRPr="00761E57">
        <w:t xml:space="preserve">7010-0033 Literacy Programs </w:t>
      </w:r>
      <w:r w:rsidR="0087458C">
        <w:t>($1M of earmarks removed)</w:t>
      </w:r>
    </w:p>
    <w:p w14:paraId="38FFB529" w14:textId="7AA4215E" w:rsidR="00247E52" w:rsidRPr="00761E57" w:rsidRDefault="00526F7F" w:rsidP="00247E52">
      <w:pPr>
        <w:pStyle w:val="ListParagraph"/>
        <w:widowControl/>
        <w:numPr>
          <w:ilvl w:val="0"/>
          <w:numId w:val="9"/>
        </w:numPr>
        <w:spacing w:after="200" w:line="276" w:lineRule="auto"/>
      </w:pPr>
      <w:r w:rsidRPr="00761E57">
        <w:t xml:space="preserve">7027-1004 English Language Acquisition </w:t>
      </w:r>
      <w:r w:rsidR="0087458C">
        <w:t xml:space="preserve">($1M earmark removed and a $250K reduction from </w:t>
      </w:r>
      <w:r w:rsidR="008C4004">
        <w:t xml:space="preserve">the </w:t>
      </w:r>
      <w:r w:rsidR="0087458C">
        <w:t>FY20 level)</w:t>
      </w:r>
    </w:p>
    <w:p w14:paraId="21656438" w14:textId="77777777" w:rsidR="00526F7F" w:rsidRPr="00761E57" w:rsidRDefault="00526F7F" w:rsidP="00526F7F">
      <w:pPr>
        <w:rPr>
          <w:b/>
          <w:szCs w:val="24"/>
        </w:rPr>
      </w:pPr>
    </w:p>
    <w:p w14:paraId="47CC08A6" w14:textId="387C1117" w:rsidR="00247E52" w:rsidRDefault="00247E52" w:rsidP="00526F7F">
      <w:pPr>
        <w:numPr>
          <w:ilvl w:val="0"/>
          <w:numId w:val="2"/>
        </w:numPr>
        <w:ind w:left="720"/>
        <w:rPr>
          <w:b/>
          <w:szCs w:val="24"/>
        </w:rPr>
      </w:pPr>
      <w:r>
        <w:rPr>
          <w:b/>
          <w:szCs w:val="24"/>
        </w:rPr>
        <w:t xml:space="preserve">Administrative Resources to </w:t>
      </w:r>
      <w:r w:rsidR="008C4004">
        <w:rPr>
          <w:b/>
          <w:szCs w:val="24"/>
        </w:rPr>
        <w:t>I</w:t>
      </w:r>
      <w:r>
        <w:rPr>
          <w:b/>
          <w:szCs w:val="24"/>
        </w:rPr>
        <w:t>mplement Student Opportunity Act</w:t>
      </w:r>
    </w:p>
    <w:p w14:paraId="43494E96" w14:textId="77777777" w:rsidR="00933232" w:rsidRDefault="00933232" w:rsidP="00247E52">
      <w:pPr>
        <w:rPr>
          <w:bCs/>
          <w:szCs w:val="24"/>
        </w:rPr>
      </w:pPr>
    </w:p>
    <w:p w14:paraId="0363C0A5" w14:textId="0F001A6A" w:rsidR="00247E52" w:rsidRDefault="00641FFC" w:rsidP="00247E52">
      <w:pPr>
        <w:rPr>
          <w:bCs/>
          <w:szCs w:val="24"/>
        </w:rPr>
      </w:pPr>
      <w:r>
        <w:rPr>
          <w:bCs/>
          <w:szCs w:val="24"/>
        </w:rPr>
        <w:t>Because t</w:t>
      </w:r>
      <w:r w:rsidR="00247E52">
        <w:rPr>
          <w:bCs/>
          <w:szCs w:val="24"/>
        </w:rPr>
        <w:t xml:space="preserve">he Student Opportunity Act assigned additional </w:t>
      </w:r>
      <w:r w:rsidR="005C3460">
        <w:rPr>
          <w:bCs/>
          <w:szCs w:val="24"/>
        </w:rPr>
        <w:t xml:space="preserve">responsibilities to the </w:t>
      </w:r>
      <w:r w:rsidR="00933232">
        <w:rPr>
          <w:bCs/>
          <w:szCs w:val="24"/>
        </w:rPr>
        <w:t>D</w:t>
      </w:r>
      <w:r w:rsidR="005C3460">
        <w:rPr>
          <w:bCs/>
          <w:szCs w:val="24"/>
        </w:rPr>
        <w:t>epartment</w:t>
      </w:r>
      <w:r>
        <w:rPr>
          <w:bCs/>
          <w:szCs w:val="24"/>
        </w:rPr>
        <w:t xml:space="preserve">, </w:t>
      </w:r>
      <w:r w:rsidR="005C3460">
        <w:rPr>
          <w:bCs/>
          <w:szCs w:val="24"/>
        </w:rPr>
        <w:t xml:space="preserve">the Governor’s House 2 proposal </w:t>
      </w:r>
      <w:r>
        <w:rPr>
          <w:bCs/>
          <w:szCs w:val="24"/>
        </w:rPr>
        <w:t>add</w:t>
      </w:r>
      <w:r w:rsidR="008C4004">
        <w:rPr>
          <w:bCs/>
          <w:szCs w:val="24"/>
        </w:rPr>
        <w:t>s</w:t>
      </w:r>
      <w:r w:rsidR="00D50258">
        <w:rPr>
          <w:bCs/>
          <w:szCs w:val="24"/>
        </w:rPr>
        <w:t xml:space="preserve"> more administrative funding to carry out these duties.</w:t>
      </w:r>
    </w:p>
    <w:p w14:paraId="51E30D1D" w14:textId="77777777" w:rsidR="00641FFC" w:rsidRDefault="00641FFC" w:rsidP="00247E52">
      <w:pPr>
        <w:rPr>
          <w:bCs/>
          <w:szCs w:val="24"/>
        </w:rPr>
      </w:pPr>
    </w:p>
    <w:p w14:paraId="357CDD0F" w14:textId="5748C5F9" w:rsidR="00D50258" w:rsidRDefault="00D50258" w:rsidP="00D50258">
      <w:pPr>
        <w:pStyle w:val="ListParagraph"/>
        <w:numPr>
          <w:ilvl w:val="0"/>
          <w:numId w:val="12"/>
        </w:numPr>
        <w:rPr>
          <w:bCs/>
          <w:szCs w:val="24"/>
        </w:rPr>
      </w:pPr>
      <w:r>
        <w:rPr>
          <w:bCs/>
          <w:szCs w:val="24"/>
        </w:rPr>
        <w:t>7061-9200 Education Data Services is increased by $500K</w:t>
      </w:r>
      <w:r w:rsidR="00641FFC">
        <w:rPr>
          <w:bCs/>
          <w:szCs w:val="24"/>
        </w:rPr>
        <w:t xml:space="preserve"> over </w:t>
      </w:r>
      <w:r w:rsidR="008C4004">
        <w:rPr>
          <w:bCs/>
          <w:szCs w:val="24"/>
        </w:rPr>
        <w:t xml:space="preserve">the </w:t>
      </w:r>
      <w:r w:rsidR="00641FFC">
        <w:rPr>
          <w:bCs/>
          <w:szCs w:val="24"/>
        </w:rPr>
        <w:t>FY20 GAA</w:t>
      </w:r>
    </w:p>
    <w:p w14:paraId="49C27257" w14:textId="7974921B" w:rsidR="00526F7F" w:rsidRPr="00761E57" w:rsidRDefault="00526F7F" w:rsidP="00526F7F">
      <w:pPr>
        <w:numPr>
          <w:ilvl w:val="0"/>
          <w:numId w:val="2"/>
        </w:numPr>
        <w:ind w:left="720"/>
        <w:rPr>
          <w:b/>
          <w:szCs w:val="24"/>
        </w:rPr>
      </w:pPr>
      <w:r w:rsidRPr="00761E57">
        <w:rPr>
          <w:b/>
          <w:szCs w:val="24"/>
        </w:rPr>
        <w:lastRenderedPageBreak/>
        <w:t>Program Changes</w:t>
      </w:r>
    </w:p>
    <w:p w14:paraId="4EB13B3E" w14:textId="0A8F99F8" w:rsidR="00526F7F" w:rsidRDefault="00526F7F" w:rsidP="00526F7F">
      <w:pPr>
        <w:rPr>
          <w:szCs w:val="24"/>
        </w:rPr>
      </w:pPr>
      <w:r w:rsidRPr="00761E57">
        <w:rPr>
          <w:szCs w:val="24"/>
        </w:rPr>
        <w:t xml:space="preserve">The Governor has not proposed </w:t>
      </w:r>
      <w:r w:rsidR="00B677CF">
        <w:rPr>
          <w:szCs w:val="24"/>
        </w:rPr>
        <w:t xml:space="preserve">any </w:t>
      </w:r>
      <w:r w:rsidRPr="00761E57">
        <w:rPr>
          <w:szCs w:val="24"/>
        </w:rPr>
        <w:t>FY2</w:t>
      </w:r>
      <w:r w:rsidR="00B677CF">
        <w:rPr>
          <w:szCs w:val="24"/>
        </w:rPr>
        <w:t>1</w:t>
      </w:r>
      <w:r w:rsidRPr="00761E57">
        <w:rPr>
          <w:szCs w:val="24"/>
        </w:rPr>
        <w:t xml:space="preserve"> funding for these </w:t>
      </w:r>
      <w:r w:rsidR="00B677CF">
        <w:rPr>
          <w:szCs w:val="24"/>
        </w:rPr>
        <w:t>four</w:t>
      </w:r>
      <w:r w:rsidRPr="00761E57">
        <w:rPr>
          <w:szCs w:val="24"/>
        </w:rPr>
        <w:t xml:space="preserve"> new initiatives: </w:t>
      </w:r>
      <w:r w:rsidR="00B677CF">
        <w:rPr>
          <w:szCs w:val="24"/>
        </w:rPr>
        <w:t xml:space="preserve">1595-0115 Civics Project Trust Fund, </w:t>
      </w:r>
      <w:r w:rsidRPr="00761E57">
        <w:rPr>
          <w:szCs w:val="24"/>
        </w:rPr>
        <w:t>7061-0010 Mental Health and Substance Abuse Grants</w:t>
      </w:r>
      <w:r w:rsidR="00B677CF">
        <w:rPr>
          <w:szCs w:val="24"/>
        </w:rPr>
        <w:t xml:space="preserve">, </w:t>
      </w:r>
      <w:r w:rsidRPr="00761E57">
        <w:rPr>
          <w:szCs w:val="24"/>
        </w:rPr>
        <w:t>7061-9</w:t>
      </w:r>
      <w:r w:rsidR="00B677CF">
        <w:rPr>
          <w:szCs w:val="24"/>
        </w:rPr>
        <w:t>650</w:t>
      </w:r>
      <w:r w:rsidRPr="00761E57">
        <w:rPr>
          <w:szCs w:val="24"/>
        </w:rPr>
        <w:t xml:space="preserve"> </w:t>
      </w:r>
      <w:r w:rsidR="00B677CF">
        <w:rPr>
          <w:szCs w:val="24"/>
        </w:rPr>
        <w:t>Supporting Healthy Alliances Reinforcing Education Grant Program</w:t>
      </w:r>
      <w:r w:rsidR="008C4004">
        <w:rPr>
          <w:szCs w:val="24"/>
        </w:rPr>
        <w:t>,</w:t>
      </w:r>
      <w:r w:rsidR="00B677CF">
        <w:rPr>
          <w:szCs w:val="24"/>
        </w:rPr>
        <w:t xml:space="preserve"> and 7061-9815 Grants for Hate Crime and Bias Prevention</w:t>
      </w:r>
      <w:r w:rsidRPr="00761E57">
        <w:rPr>
          <w:szCs w:val="24"/>
        </w:rPr>
        <w:t xml:space="preserve">. However, it is likely that some </w:t>
      </w:r>
      <w:r w:rsidR="009C3D3A">
        <w:rPr>
          <w:szCs w:val="24"/>
        </w:rPr>
        <w:t>FY20</w:t>
      </w:r>
      <w:r w:rsidRPr="00761E57">
        <w:rPr>
          <w:szCs w:val="24"/>
        </w:rPr>
        <w:t xml:space="preserve"> funding </w:t>
      </w:r>
      <w:r w:rsidR="00236BAF">
        <w:rPr>
          <w:szCs w:val="24"/>
        </w:rPr>
        <w:t xml:space="preserve">for those line items </w:t>
      </w:r>
      <w:r w:rsidRPr="00761E57">
        <w:rPr>
          <w:szCs w:val="24"/>
        </w:rPr>
        <w:t>will continue into FY2</w:t>
      </w:r>
      <w:r w:rsidR="00B677CF">
        <w:rPr>
          <w:szCs w:val="24"/>
        </w:rPr>
        <w:t>1 through</w:t>
      </w:r>
      <w:r w:rsidRPr="00761E57">
        <w:rPr>
          <w:szCs w:val="24"/>
        </w:rPr>
        <w:t xml:space="preserve"> </w:t>
      </w:r>
      <w:r>
        <w:rPr>
          <w:szCs w:val="24"/>
        </w:rPr>
        <w:t xml:space="preserve">a </w:t>
      </w:r>
      <w:r w:rsidRPr="00761E57">
        <w:rPr>
          <w:szCs w:val="24"/>
        </w:rPr>
        <w:t xml:space="preserve">PAC </w:t>
      </w:r>
      <w:r>
        <w:rPr>
          <w:szCs w:val="24"/>
        </w:rPr>
        <w:t xml:space="preserve">(prior appropriation continued) </w:t>
      </w:r>
      <w:r w:rsidRPr="00761E57">
        <w:rPr>
          <w:szCs w:val="24"/>
        </w:rPr>
        <w:t>provision</w:t>
      </w:r>
      <w:r w:rsidR="00B677CF">
        <w:rPr>
          <w:szCs w:val="24"/>
        </w:rPr>
        <w:t>.</w:t>
      </w:r>
    </w:p>
    <w:p w14:paraId="0696E842" w14:textId="6658EB70" w:rsidR="00B677CF" w:rsidRDefault="00B677CF" w:rsidP="00526F7F">
      <w:pPr>
        <w:rPr>
          <w:szCs w:val="24"/>
        </w:rPr>
      </w:pPr>
    </w:p>
    <w:p w14:paraId="7C4D221E" w14:textId="6E58B831" w:rsidR="00B677CF" w:rsidRPr="00761E57" w:rsidRDefault="004355A0" w:rsidP="00526F7F">
      <w:pPr>
        <w:rPr>
          <w:szCs w:val="24"/>
        </w:rPr>
      </w:pPr>
      <w:r w:rsidRPr="003D5434">
        <w:rPr>
          <w:szCs w:val="24"/>
        </w:rPr>
        <w:t>The FY21 House 2 does not have any direct funding for Digital Literacy Now Grant (7010-1202) but has directed a transfer of remaining funds from the Massachusetts</w:t>
      </w:r>
      <w:r w:rsidR="00933232" w:rsidRPr="003D5434">
        <w:rPr>
          <w:szCs w:val="24"/>
        </w:rPr>
        <w:t xml:space="preserve"> </w:t>
      </w:r>
      <w:r w:rsidR="004D30B9" w:rsidRPr="003D5434">
        <w:rPr>
          <w:szCs w:val="24"/>
        </w:rPr>
        <w:t xml:space="preserve">Tech </w:t>
      </w:r>
      <w:r w:rsidRPr="003D5434">
        <w:rPr>
          <w:szCs w:val="24"/>
        </w:rPr>
        <w:t>Co</w:t>
      </w:r>
      <w:r w:rsidR="004D30B9" w:rsidRPr="003D5434">
        <w:rPr>
          <w:szCs w:val="24"/>
        </w:rPr>
        <w:t>llaboratives</w:t>
      </w:r>
      <w:r w:rsidRPr="003D5434">
        <w:rPr>
          <w:szCs w:val="24"/>
        </w:rPr>
        <w:t xml:space="preserve"> to this account in Outside Section 106.</w:t>
      </w:r>
    </w:p>
    <w:p w14:paraId="003AA859" w14:textId="77777777" w:rsidR="00526F7F" w:rsidRPr="00761E57" w:rsidRDefault="00526F7F" w:rsidP="00526F7F">
      <w:pPr>
        <w:rPr>
          <w:szCs w:val="24"/>
        </w:rPr>
      </w:pPr>
    </w:p>
    <w:p w14:paraId="06415862" w14:textId="77777777" w:rsidR="0087458C" w:rsidRDefault="00FD2DDE" w:rsidP="00526F7F">
      <w:pPr>
        <w:rPr>
          <w:szCs w:val="24"/>
        </w:rPr>
      </w:pPr>
      <w:r>
        <w:rPr>
          <w:szCs w:val="24"/>
        </w:rPr>
        <w:t>House 2</w:t>
      </w:r>
      <w:r w:rsidR="00526F7F" w:rsidRPr="00761E57">
        <w:rPr>
          <w:szCs w:val="24"/>
        </w:rPr>
        <w:t xml:space="preserve"> eliminates spending for </w:t>
      </w:r>
      <w:r w:rsidR="004D30B9">
        <w:rPr>
          <w:szCs w:val="24"/>
        </w:rPr>
        <w:t>five</w:t>
      </w:r>
      <w:r w:rsidR="00526F7F" w:rsidRPr="00761E57">
        <w:rPr>
          <w:szCs w:val="24"/>
        </w:rPr>
        <w:t xml:space="preserve"> </w:t>
      </w:r>
      <w:r w:rsidR="004D30B9">
        <w:rPr>
          <w:szCs w:val="24"/>
        </w:rPr>
        <w:t xml:space="preserve">other </w:t>
      </w:r>
      <w:r w:rsidR="00526F7F" w:rsidRPr="00761E57">
        <w:rPr>
          <w:szCs w:val="24"/>
        </w:rPr>
        <w:t xml:space="preserve">accounts previously funded in </w:t>
      </w:r>
      <w:r w:rsidR="009C3D3A">
        <w:rPr>
          <w:szCs w:val="24"/>
        </w:rPr>
        <w:t>FY20</w:t>
      </w:r>
      <w:r w:rsidR="00526F7F" w:rsidRPr="00761E57">
        <w:rPr>
          <w:szCs w:val="24"/>
        </w:rPr>
        <w:t xml:space="preserve">: </w:t>
      </w:r>
    </w:p>
    <w:p w14:paraId="5DEC2AA8" w14:textId="42126442" w:rsidR="0087458C" w:rsidRDefault="00526F7F" w:rsidP="0087458C">
      <w:pPr>
        <w:pStyle w:val="ListParagraph"/>
        <w:numPr>
          <w:ilvl w:val="0"/>
          <w:numId w:val="12"/>
        </w:numPr>
        <w:rPr>
          <w:szCs w:val="24"/>
        </w:rPr>
      </w:pPr>
      <w:r w:rsidRPr="0087458C">
        <w:rPr>
          <w:szCs w:val="24"/>
        </w:rPr>
        <w:t>7010-1192 Educational Improvement Project Grants</w:t>
      </w:r>
      <w:r w:rsidR="0087458C">
        <w:rPr>
          <w:szCs w:val="24"/>
        </w:rPr>
        <w:t xml:space="preserve"> ($2.7M reduction)</w:t>
      </w:r>
    </w:p>
    <w:p w14:paraId="10819473" w14:textId="580A017F" w:rsidR="0087458C" w:rsidRDefault="004D30B9" w:rsidP="0087458C">
      <w:pPr>
        <w:pStyle w:val="ListParagraph"/>
        <w:numPr>
          <w:ilvl w:val="0"/>
          <w:numId w:val="12"/>
        </w:numPr>
        <w:rPr>
          <w:szCs w:val="24"/>
        </w:rPr>
      </w:pPr>
      <w:r w:rsidRPr="0087458C">
        <w:rPr>
          <w:szCs w:val="24"/>
        </w:rPr>
        <w:t>7010-1193 Civics Education Programs</w:t>
      </w:r>
      <w:r w:rsidR="0087458C">
        <w:rPr>
          <w:szCs w:val="24"/>
        </w:rPr>
        <w:t xml:space="preserve"> ($1M reduction)</w:t>
      </w:r>
    </w:p>
    <w:p w14:paraId="71FBBB96" w14:textId="1DFE20D8" w:rsidR="0087458C" w:rsidRDefault="004D30B9" w:rsidP="0087458C">
      <w:pPr>
        <w:pStyle w:val="ListParagraph"/>
        <w:numPr>
          <w:ilvl w:val="0"/>
          <w:numId w:val="12"/>
        </w:numPr>
        <w:rPr>
          <w:szCs w:val="24"/>
        </w:rPr>
      </w:pPr>
      <w:r w:rsidRPr="0087458C">
        <w:rPr>
          <w:szCs w:val="24"/>
        </w:rPr>
        <w:t>7010-1194 Financial Literacy Education</w:t>
      </w:r>
      <w:r w:rsidR="0087458C">
        <w:rPr>
          <w:szCs w:val="24"/>
        </w:rPr>
        <w:t xml:space="preserve"> ($250K reduction)</w:t>
      </w:r>
    </w:p>
    <w:p w14:paraId="145DAB8F" w14:textId="37C04EB9" w:rsidR="0087458C" w:rsidRDefault="00526F7F" w:rsidP="0087458C">
      <w:pPr>
        <w:pStyle w:val="ListParagraph"/>
        <w:numPr>
          <w:ilvl w:val="0"/>
          <w:numId w:val="12"/>
        </w:numPr>
        <w:rPr>
          <w:szCs w:val="24"/>
        </w:rPr>
      </w:pPr>
      <w:r w:rsidRPr="0087458C">
        <w:rPr>
          <w:szCs w:val="24"/>
        </w:rPr>
        <w:t xml:space="preserve">7061-9401 Assessment Consortium </w:t>
      </w:r>
      <w:r w:rsidR="0087458C">
        <w:rPr>
          <w:szCs w:val="24"/>
        </w:rPr>
        <w:t>($550K reduction)</w:t>
      </w:r>
    </w:p>
    <w:p w14:paraId="6559043E" w14:textId="4CEE23F6" w:rsidR="00526F7F" w:rsidRPr="0087458C" w:rsidRDefault="00526F7F" w:rsidP="0087458C">
      <w:pPr>
        <w:pStyle w:val="ListParagraph"/>
        <w:numPr>
          <w:ilvl w:val="0"/>
          <w:numId w:val="12"/>
        </w:numPr>
        <w:rPr>
          <w:szCs w:val="24"/>
        </w:rPr>
      </w:pPr>
      <w:r w:rsidRPr="0087458C">
        <w:rPr>
          <w:szCs w:val="24"/>
        </w:rPr>
        <w:t>7061-9406 College and Career Readiness account</w:t>
      </w:r>
      <w:r w:rsidR="0087458C">
        <w:rPr>
          <w:szCs w:val="24"/>
        </w:rPr>
        <w:t xml:space="preserve"> ($700K reduction)</w:t>
      </w:r>
    </w:p>
    <w:p w14:paraId="2304BB48" w14:textId="77777777" w:rsidR="00526F7F" w:rsidRPr="00761E57" w:rsidRDefault="00526F7F" w:rsidP="00526F7F">
      <w:pPr>
        <w:rPr>
          <w:b/>
          <w:szCs w:val="24"/>
        </w:rPr>
      </w:pPr>
    </w:p>
    <w:p w14:paraId="77E81992" w14:textId="7D00D8D3" w:rsidR="00247E52" w:rsidRDefault="00236BAF" w:rsidP="00526F7F">
      <w:pPr>
        <w:rPr>
          <w:szCs w:val="24"/>
        </w:rPr>
      </w:pPr>
      <w:r>
        <w:rPr>
          <w:szCs w:val="24"/>
        </w:rPr>
        <w:t xml:space="preserve">For </w:t>
      </w:r>
      <w:r w:rsidR="00247E52">
        <w:rPr>
          <w:szCs w:val="24"/>
        </w:rPr>
        <w:t>7027-0019 Connecting Activities</w:t>
      </w:r>
      <w:r>
        <w:rPr>
          <w:szCs w:val="24"/>
        </w:rPr>
        <w:t>, House 2</w:t>
      </w:r>
      <w:r w:rsidR="00247E52">
        <w:rPr>
          <w:szCs w:val="24"/>
        </w:rPr>
        <w:t xml:space="preserve"> recommend</w:t>
      </w:r>
      <w:r>
        <w:rPr>
          <w:szCs w:val="24"/>
        </w:rPr>
        <w:t>s</w:t>
      </w:r>
      <w:r w:rsidR="00247E52">
        <w:rPr>
          <w:szCs w:val="24"/>
        </w:rPr>
        <w:t xml:space="preserve"> funding of $5M, $460k less than the FY20 GAA</w:t>
      </w:r>
      <w:r>
        <w:rPr>
          <w:szCs w:val="24"/>
        </w:rPr>
        <w:t>,</w:t>
      </w:r>
      <w:r w:rsidR="00247E52">
        <w:rPr>
          <w:szCs w:val="24"/>
        </w:rPr>
        <w:t xml:space="preserve"> but with the removal of $960K in earmarks, more funding can be used to support Career Pathways districts.</w:t>
      </w:r>
    </w:p>
    <w:p w14:paraId="0A53E14B" w14:textId="569D1569" w:rsidR="00247E52" w:rsidRDefault="00247E52" w:rsidP="00526F7F">
      <w:pPr>
        <w:rPr>
          <w:szCs w:val="24"/>
        </w:rPr>
      </w:pPr>
    </w:p>
    <w:p w14:paraId="07918B95" w14:textId="35D5E3BE" w:rsidR="00526F7F" w:rsidRDefault="00526F7F" w:rsidP="00526F7F">
      <w:pPr>
        <w:rPr>
          <w:szCs w:val="24"/>
        </w:rPr>
      </w:pPr>
      <w:r>
        <w:rPr>
          <w:szCs w:val="24"/>
        </w:rPr>
        <w:t xml:space="preserve">The </w:t>
      </w:r>
      <w:r w:rsidRPr="00761E57">
        <w:rPr>
          <w:szCs w:val="24"/>
        </w:rPr>
        <w:t xml:space="preserve">Governor’s </w:t>
      </w:r>
      <w:r w:rsidR="00FD2DDE">
        <w:rPr>
          <w:szCs w:val="24"/>
        </w:rPr>
        <w:t>House 2</w:t>
      </w:r>
      <w:r w:rsidRPr="00761E57">
        <w:rPr>
          <w:szCs w:val="24"/>
        </w:rPr>
        <w:t xml:space="preserve"> budget </w:t>
      </w:r>
      <w:r w:rsidR="00A14F96">
        <w:rPr>
          <w:szCs w:val="24"/>
        </w:rPr>
        <w:t>level fund</w:t>
      </w:r>
      <w:r w:rsidR="00247E52">
        <w:rPr>
          <w:szCs w:val="24"/>
        </w:rPr>
        <w:t>s</w:t>
      </w:r>
      <w:r w:rsidRPr="00761E57">
        <w:rPr>
          <w:szCs w:val="24"/>
        </w:rPr>
        <w:t xml:space="preserve"> Adult Basic Education (7035-0002) </w:t>
      </w:r>
      <w:r w:rsidR="00A14F96">
        <w:rPr>
          <w:szCs w:val="24"/>
        </w:rPr>
        <w:t>less earmark</w:t>
      </w:r>
      <w:r w:rsidR="0087458C">
        <w:rPr>
          <w:szCs w:val="24"/>
        </w:rPr>
        <w:t>s totaling $445K</w:t>
      </w:r>
      <w:r w:rsidR="00A14F96">
        <w:rPr>
          <w:szCs w:val="24"/>
        </w:rPr>
        <w:t>.</w:t>
      </w:r>
    </w:p>
    <w:p w14:paraId="3E1E5FB6" w14:textId="77777777" w:rsidR="00A14F96" w:rsidRPr="00761E57" w:rsidRDefault="00A14F96" w:rsidP="00526F7F">
      <w:pPr>
        <w:rPr>
          <w:szCs w:val="24"/>
        </w:rPr>
      </w:pPr>
    </w:p>
    <w:p w14:paraId="5F7182AB" w14:textId="2448FD31" w:rsidR="00247E52" w:rsidRDefault="00641FFC" w:rsidP="00526F7F">
      <w:pPr>
        <w:rPr>
          <w:szCs w:val="24"/>
        </w:rPr>
      </w:pPr>
      <w:r>
        <w:rPr>
          <w:szCs w:val="24"/>
        </w:rPr>
        <w:t>Th</w:t>
      </w:r>
      <w:r w:rsidR="00247E52">
        <w:rPr>
          <w:szCs w:val="24"/>
        </w:rPr>
        <w:t>e FY21 House 2</w:t>
      </w:r>
      <w:r>
        <w:rPr>
          <w:szCs w:val="24"/>
        </w:rPr>
        <w:t xml:space="preserve"> proposes an increase of $500K for </w:t>
      </w:r>
      <w:r w:rsidR="00247E52">
        <w:rPr>
          <w:szCs w:val="24"/>
        </w:rPr>
        <w:t>Career and Technical Education Program (7035-0001) to $1.5M</w:t>
      </w:r>
      <w:r w:rsidR="005C3460">
        <w:rPr>
          <w:szCs w:val="24"/>
        </w:rPr>
        <w:t xml:space="preserve"> to cover </w:t>
      </w:r>
      <w:r w:rsidR="00055898">
        <w:rPr>
          <w:szCs w:val="24"/>
        </w:rPr>
        <w:t>After Dark</w:t>
      </w:r>
      <w:r w:rsidR="005C3460">
        <w:rPr>
          <w:szCs w:val="24"/>
        </w:rPr>
        <w:t xml:space="preserve"> programs</w:t>
      </w:r>
      <w:r w:rsidR="00247E52">
        <w:rPr>
          <w:szCs w:val="24"/>
        </w:rPr>
        <w:t xml:space="preserve">. </w:t>
      </w:r>
    </w:p>
    <w:p w14:paraId="6D4B4738" w14:textId="77777777" w:rsidR="00247E52" w:rsidRDefault="00247E52" w:rsidP="00526F7F">
      <w:pPr>
        <w:rPr>
          <w:szCs w:val="24"/>
        </w:rPr>
      </w:pPr>
    </w:p>
    <w:p w14:paraId="1343D34E" w14:textId="0D5E9FB1" w:rsidR="00641FFC" w:rsidRDefault="00641FFC" w:rsidP="00526F7F">
      <w:pPr>
        <w:rPr>
          <w:szCs w:val="24"/>
        </w:rPr>
      </w:pPr>
      <w:r w:rsidRPr="00EA3DD3">
        <w:rPr>
          <w:szCs w:val="24"/>
        </w:rPr>
        <w:t xml:space="preserve">FY21 House 2 adds $1.2M to Student Assessment (7061-9400) over FY20 GAA to support </w:t>
      </w:r>
      <w:r w:rsidR="000E7347" w:rsidRPr="00EA3DD3">
        <w:rPr>
          <w:szCs w:val="24"/>
        </w:rPr>
        <w:t xml:space="preserve">summative </w:t>
      </w:r>
      <w:r w:rsidRPr="00EA3DD3">
        <w:rPr>
          <w:szCs w:val="24"/>
        </w:rPr>
        <w:t>and innovative assessment</w:t>
      </w:r>
      <w:r w:rsidR="000E7347" w:rsidRPr="00EA3DD3">
        <w:rPr>
          <w:szCs w:val="24"/>
        </w:rPr>
        <w:t xml:space="preserve"> needs</w:t>
      </w:r>
      <w:r w:rsidR="00055898" w:rsidRPr="00EA3DD3">
        <w:rPr>
          <w:szCs w:val="24"/>
        </w:rPr>
        <w:t>.</w:t>
      </w:r>
    </w:p>
    <w:p w14:paraId="35B571B6" w14:textId="77777777" w:rsidR="00641FFC" w:rsidRDefault="00641FFC" w:rsidP="00526F7F">
      <w:pPr>
        <w:rPr>
          <w:szCs w:val="24"/>
        </w:rPr>
      </w:pPr>
    </w:p>
    <w:p w14:paraId="75A47F1C" w14:textId="1F25F87A" w:rsidR="00526F7F" w:rsidRPr="00761E57" w:rsidRDefault="002F39AB" w:rsidP="00526F7F">
      <w:pPr>
        <w:rPr>
          <w:szCs w:val="24"/>
        </w:rPr>
      </w:pPr>
      <w:r w:rsidRPr="00761E57">
        <w:rPr>
          <w:szCs w:val="24"/>
        </w:rPr>
        <w:t xml:space="preserve">7061-9412 Expanded Learning Time Grants </w:t>
      </w:r>
      <w:r w:rsidR="00A14F96">
        <w:rPr>
          <w:szCs w:val="24"/>
        </w:rPr>
        <w:t xml:space="preserve">is reduced by $10M in the FY21 House 2 </w:t>
      </w:r>
      <w:r w:rsidR="000E7347">
        <w:rPr>
          <w:szCs w:val="24"/>
        </w:rPr>
        <w:t>which is offset</w:t>
      </w:r>
      <w:r w:rsidR="0087458C">
        <w:rPr>
          <w:szCs w:val="24"/>
        </w:rPr>
        <w:t xml:space="preserve"> by </w:t>
      </w:r>
      <w:r w:rsidR="00A14F96">
        <w:rPr>
          <w:szCs w:val="24"/>
        </w:rPr>
        <w:t>the increase in Chapter 70 aid</w:t>
      </w:r>
      <w:r w:rsidR="000E7347">
        <w:rPr>
          <w:szCs w:val="24"/>
        </w:rPr>
        <w:t>.</w:t>
      </w:r>
    </w:p>
    <w:p w14:paraId="5E1EBFEB" w14:textId="77777777" w:rsidR="002F39AB" w:rsidRDefault="002F39AB" w:rsidP="00526F7F">
      <w:pPr>
        <w:rPr>
          <w:szCs w:val="24"/>
        </w:rPr>
      </w:pPr>
    </w:p>
    <w:p w14:paraId="17846018" w14:textId="754C706C" w:rsidR="00526F7F" w:rsidRPr="00761E57" w:rsidRDefault="00526F7F" w:rsidP="00526F7F">
      <w:pPr>
        <w:rPr>
          <w:szCs w:val="24"/>
        </w:rPr>
      </w:pPr>
      <w:r w:rsidRPr="00761E57">
        <w:rPr>
          <w:szCs w:val="24"/>
        </w:rPr>
        <w:t>In the FY2</w:t>
      </w:r>
      <w:r w:rsidR="00B677CF">
        <w:rPr>
          <w:szCs w:val="24"/>
        </w:rPr>
        <w:t>1</w:t>
      </w:r>
      <w:r w:rsidRPr="00761E57">
        <w:rPr>
          <w:szCs w:val="24"/>
        </w:rPr>
        <w:t xml:space="preserve"> </w:t>
      </w:r>
      <w:r w:rsidR="00FD2DDE">
        <w:rPr>
          <w:szCs w:val="24"/>
        </w:rPr>
        <w:t>House 2</w:t>
      </w:r>
      <w:r w:rsidRPr="00761E57">
        <w:rPr>
          <w:szCs w:val="24"/>
        </w:rPr>
        <w:t xml:space="preserve"> proposal, the Recovery High School Program (7061-9607) is funded at $2.</w:t>
      </w:r>
      <w:r w:rsidR="00641FFC">
        <w:rPr>
          <w:szCs w:val="24"/>
        </w:rPr>
        <w:t>6M</w:t>
      </w:r>
      <w:r w:rsidRPr="00761E57">
        <w:rPr>
          <w:szCs w:val="24"/>
        </w:rPr>
        <w:t>, $</w:t>
      </w:r>
      <w:r w:rsidR="00641FFC">
        <w:rPr>
          <w:szCs w:val="24"/>
        </w:rPr>
        <w:t>5</w:t>
      </w:r>
      <w:r w:rsidRPr="00761E57">
        <w:rPr>
          <w:szCs w:val="24"/>
        </w:rPr>
        <w:t>00</w:t>
      </w:r>
      <w:r w:rsidR="00641FFC">
        <w:rPr>
          <w:szCs w:val="24"/>
        </w:rPr>
        <w:t>K</w:t>
      </w:r>
      <w:r w:rsidRPr="00761E57">
        <w:rPr>
          <w:szCs w:val="24"/>
        </w:rPr>
        <w:t xml:space="preserve"> less than </w:t>
      </w:r>
      <w:r w:rsidR="009C3D3A">
        <w:rPr>
          <w:szCs w:val="24"/>
        </w:rPr>
        <w:t>FY20</w:t>
      </w:r>
      <w:r w:rsidRPr="00761E57">
        <w:rPr>
          <w:szCs w:val="24"/>
        </w:rPr>
        <w:t>.</w:t>
      </w:r>
    </w:p>
    <w:p w14:paraId="4C67431F" w14:textId="77777777" w:rsidR="00526F7F" w:rsidRPr="00761E57" w:rsidRDefault="00526F7F" w:rsidP="00526F7F">
      <w:pPr>
        <w:rPr>
          <w:szCs w:val="24"/>
        </w:rPr>
      </w:pPr>
    </w:p>
    <w:p w14:paraId="619F1AD9" w14:textId="02F1AFDD" w:rsidR="00641FFC" w:rsidRDefault="004248D8" w:rsidP="00526F7F">
      <w:pPr>
        <w:rPr>
          <w:szCs w:val="24"/>
        </w:rPr>
      </w:pPr>
      <w:r>
        <w:rPr>
          <w:szCs w:val="24"/>
        </w:rPr>
        <w:t>The Governor has also proposed a cut of $5.9M</w:t>
      </w:r>
      <w:r w:rsidR="0087458C">
        <w:rPr>
          <w:szCs w:val="24"/>
        </w:rPr>
        <w:t xml:space="preserve"> (of which $2.</w:t>
      </w:r>
      <w:r w:rsidR="00746968">
        <w:rPr>
          <w:szCs w:val="24"/>
        </w:rPr>
        <w:t>4</w:t>
      </w:r>
      <w:r w:rsidR="0087458C">
        <w:rPr>
          <w:szCs w:val="24"/>
        </w:rPr>
        <w:t>M was earmark spending)</w:t>
      </w:r>
      <w:r>
        <w:rPr>
          <w:szCs w:val="24"/>
        </w:rPr>
        <w:t xml:space="preserve"> to After-School Grant Programs (7061-9611) to $2.57M</w:t>
      </w:r>
      <w:r w:rsidR="00A95DA3">
        <w:rPr>
          <w:szCs w:val="24"/>
        </w:rPr>
        <w:t xml:space="preserve"> in FY21</w:t>
      </w:r>
      <w:r>
        <w:rPr>
          <w:szCs w:val="24"/>
        </w:rPr>
        <w:t>.</w:t>
      </w:r>
    </w:p>
    <w:p w14:paraId="3000FD03" w14:textId="30F724C6" w:rsidR="004248D8" w:rsidRDefault="004248D8" w:rsidP="00526F7F">
      <w:pPr>
        <w:rPr>
          <w:szCs w:val="24"/>
        </w:rPr>
      </w:pPr>
    </w:p>
    <w:p w14:paraId="252606A0" w14:textId="01FFB007" w:rsidR="00526F7F" w:rsidRPr="00761E57" w:rsidRDefault="00DB7827" w:rsidP="00526F7F">
      <w:pPr>
        <w:rPr>
          <w:szCs w:val="24"/>
        </w:rPr>
      </w:pPr>
      <w:r>
        <w:rPr>
          <w:szCs w:val="24"/>
        </w:rPr>
        <w:t>The Department</w:t>
      </w:r>
      <w:r w:rsidR="00526F7F" w:rsidRPr="00761E57">
        <w:rPr>
          <w:szCs w:val="24"/>
        </w:rPr>
        <w:t xml:space="preserve">’s other accounts are level funded in the Governor’s </w:t>
      </w:r>
      <w:r w:rsidR="00FD2DDE">
        <w:rPr>
          <w:szCs w:val="24"/>
        </w:rPr>
        <w:t>House 2</w:t>
      </w:r>
      <w:r w:rsidR="00526F7F" w:rsidRPr="00761E57">
        <w:rPr>
          <w:szCs w:val="24"/>
        </w:rPr>
        <w:t xml:space="preserve"> proposal with either the removal of legislative earmarks and/or changes in FY2</w:t>
      </w:r>
      <w:r w:rsidR="00B677CF">
        <w:rPr>
          <w:szCs w:val="24"/>
        </w:rPr>
        <w:t>1</w:t>
      </w:r>
      <w:r w:rsidR="00526F7F" w:rsidRPr="00761E57">
        <w:rPr>
          <w:szCs w:val="24"/>
        </w:rPr>
        <w:t xml:space="preserve"> payroll costs.</w:t>
      </w:r>
    </w:p>
    <w:p w14:paraId="3ED8F06E" w14:textId="77777777" w:rsidR="00526F7F" w:rsidRPr="00761E57" w:rsidRDefault="00526F7F" w:rsidP="00526F7F">
      <w:pPr>
        <w:rPr>
          <w:szCs w:val="24"/>
        </w:rPr>
      </w:pPr>
    </w:p>
    <w:p w14:paraId="238C90AB" w14:textId="7100BCF5" w:rsidR="00526F7F" w:rsidRPr="00761E57" w:rsidRDefault="00526F7F" w:rsidP="00526F7F">
      <w:pPr>
        <w:rPr>
          <w:szCs w:val="24"/>
        </w:rPr>
      </w:pPr>
      <w:r w:rsidRPr="00761E57">
        <w:rPr>
          <w:szCs w:val="24"/>
        </w:rPr>
        <w:t>The attached chart summarizes the Governor’s FY2</w:t>
      </w:r>
      <w:r w:rsidR="00B677CF">
        <w:rPr>
          <w:szCs w:val="24"/>
        </w:rPr>
        <w:t>1</w:t>
      </w:r>
      <w:r w:rsidRPr="00761E57">
        <w:rPr>
          <w:szCs w:val="24"/>
        </w:rPr>
        <w:t xml:space="preserve"> budget recommendations in comparison to our current and prior year’s appropriation history and identifies variances.  </w:t>
      </w:r>
    </w:p>
    <w:p w14:paraId="48C6EDFA" w14:textId="35A5345B" w:rsidR="00526F7F" w:rsidRPr="00761E57" w:rsidRDefault="00526F7F" w:rsidP="00526F7F">
      <w:pPr>
        <w:rPr>
          <w:szCs w:val="24"/>
        </w:rPr>
      </w:pPr>
      <w:r w:rsidRPr="00761E57">
        <w:rPr>
          <w:szCs w:val="24"/>
        </w:rPr>
        <w:lastRenderedPageBreak/>
        <w:t xml:space="preserve">The Governor’s </w:t>
      </w:r>
      <w:r w:rsidR="00FD2DDE">
        <w:rPr>
          <w:szCs w:val="24"/>
        </w:rPr>
        <w:t>House 2</w:t>
      </w:r>
      <w:r w:rsidRPr="00761E57">
        <w:rPr>
          <w:szCs w:val="24"/>
        </w:rPr>
        <w:t xml:space="preserve"> budget recommendations begin the FY2</w:t>
      </w:r>
      <w:r w:rsidR="00B677CF">
        <w:rPr>
          <w:szCs w:val="24"/>
        </w:rPr>
        <w:t>1</w:t>
      </w:r>
      <w:r w:rsidRPr="00761E57">
        <w:rPr>
          <w:szCs w:val="24"/>
        </w:rPr>
        <w:t xml:space="preserve"> budget development process that will culminate in late June when the Legislature approves the FY2</w:t>
      </w:r>
      <w:r w:rsidR="00B677CF">
        <w:rPr>
          <w:szCs w:val="24"/>
        </w:rPr>
        <w:t>1</w:t>
      </w:r>
      <w:r w:rsidRPr="00761E57">
        <w:rPr>
          <w:szCs w:val="24"/>
        </w:rPr>
        <w:t xml:space="preserve"> budget and forwards it to the Governor for his final review and approval. </w:t>
      </w:r>
    </w:p>
    <w:p w14:paraId="12A46E02" w14:textId="77777777" w:rsidR="00526F7F" w:rsidRPr="00761E57" w:rsidRDefault="00526F7F" w:rsidP="00526F7F">
      <w:pPr>
        <w:rPr>
          <w:szCs w:val="24"/>
        </w:rPr>
      </w:pPr>
    </w:p>
    <w:p w14:paraId="491D0291" w14:textId="4910ADEC" w:rsidR="00526F7F" w:rsidRPr="00761E57" w:rsidRDefault="00526F7F" w:rsidP="00526F7F">
      <w:pPr>
        <w:rPr>
          <w:szCs w:val="24"/>
        </w:rPr>
      </w:pPr>
      <w:r w:rsidRPr="00761E57">
        <w:rPr>
          <w:szCs w:val="24"/>
        </w:rPr>
        <w:t xml:space="preserve">Please let us know if you have any questions or concerns. A discussion of the Governor’s budget proposal </w:t>
      </w:r>
      <w:r>
        <w:rPr>
          <w:szCs w:val="24"/>
        </w:rPr>
        <w:t xml:space="preserve">and school finance bill </w:t>
      </w:r>
      <w:r w:rsidRPr="00761E57">
        <w:rPr>
          <w:szCs w:val="24"/>
        </w:rPr>
        <w:t>will be on the agenda at the Board meeting</w:t>
      </w:r>
      <w:r>
        <w:rPr>
          <w:szCs w:val="24"/>
        </w:rPr>
        <w:t xml:space="preserve"> on </w:t>
      </w:r>
      <w:r w:rsidR="000E7347">
        <w:rPr>
          <w:szCs w:val="24"/>
        </w:rPr>
        <w:t>January 2</w:t>
      </w:r>
      <w:r w:rsidR="00055898">
        <w:rPr>
          <w:szCs w:val="24"/>
        </w:rPr>
        <w:t>8</w:t>
      </w:r>
      <w:r w:rsidR="000E7347">
        <w:rPr>
          <w:szCs w:val="24"/>
        </w:rPr>
        <w:t>, 2020</w:t>
      </w:r>
      <w:r w:rsidRPr="00761E57">
        <w:rPr>
          <w:szCs w:val="24"/>
        </w:rPr>
        <w:t>.</w:t>
      </w:r>
    </w:p>
    <w:p w14:paraId="78F84538" w14:textId="77777777" w:rsidR="00526F7F" w:rsidRPr="00761E57" w:rsidRDefault="00526F7F" w:rsidP="00526F7F">
      <w:pPr>
        <w:rPr>
          <w:szCs w:val="24"/>
        </w:rPr>
      </w:pPr>
    </w:p>
    <w:p w14:paraId="67847FA9" w14:textId="77777777" w:rsidR="00526F7F" w:rsidRDefault="00526F7F" w:rsidP="00526F7F">
      <w:pPr>
        <w:rPr>
          <w:szCs w:val="24"/>
        </w:rPr>
      </w:pPr>
      <w:r w:rsidRPr="00761E57">
        <w:rPr>
          <w:szCs w:val="24"/>
        </w:rPr>
        <w:t>Attachment</w:t>
      </w:r>
    </w:p>
    <w:sectPr w:rsidR="00526F7F"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37EE9" w14:textId="77777777" w:rsidR="005D2A94" w:rsidRDefault="005D2A94" w:rsidP="00DB7827">
      <w:r>
        <w:separator/>
      </w:r>
    </w:p>
  </w:endnote>
  <w:endnote w:type="continuationSeparator" w:id="0">
    <w:p w14:paraId="6C58EF72" w14:textId="77777777" w:rsidR="005D2A94" w:rsidRDefault="005D2A94" w:rsidP="00DB7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733728"/>
      <w:docPartObj>
        <w:docPartGallery w:val="Page Numbers (Bottom of Page)"/>
        <w:docPartUnique/>
      </w:docPartObj>
    </w:sdtPr>
    <w:sdtEndPr>
      <w:rPr>
        <w:noProof/>
      </w:rPr>
    </w:sdtEndPr>
    <w:sdtContent>
      <w:p w14:paraId="43B0586D" w14:textId="46305B9A" w:rsidR="00DB7827" w:rsidRDefault="00DB7827">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8BACB" w14:textId="77777777" w:rsidR="005D2A94" w:rsidRDefault="005D2A94" w:rsidP="00DB7827">
      <w:r>
        <w:separator/>
      </w:r>
    </w:p>
  </w:footnote>
  <w:footnote w:type="continuationSeparator" w:id="0">
    <w:p w14:paraId="1189A75F" w14:textId="77777777" w:rsidR="005D2A94" w:rsidRDefault="005D2A94" w:rsidP="00DB78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23896"/>
    <w:multiLevelType w:val="hybridMultilevel"/>
    <w:tmpl w:val="3B4667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93A88"/>
    <w:multiLevelType w:val="hybridMultilevel"/>
    <w:tmpl w:val="27D0A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2590C"/>
    <w:multiLevelType w:val="hybridMultilevel"/>
    <w:tmpl w:val="FA7C1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8F18FA"/>
    <w:multiLevelType w:val="hybridMultilevel"/>
    <w:tmpl w:val="81FAC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F8705A"/>
    <w:multiLevelType w:val="hybridMultilevel"/>
    <w:tmpl w:val="BADE5C36"/>
    <w:lvl w:ilvl="0" w:tplc="E0CA68C4">
      <w:start w:val="1"/>
      <w:numFmt w:val="upperRoman"/>
      <w:lvlText w:val="%1."/>
      <w:lvlJc w:val="left"/>
      <w:pPr>
        <w:ind w:left="486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7D17C5"/>
    <w:multiLevelType w:val="hybridMultilevel"/>
    <w:tmpl w:val="21E6D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611DBD"/>
    <w:multiLevelType w:val="hybridMultilevel"/>
    <w:tmpl w:val="1C16B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6F144D"/>
    <w:multiLevelType w:val="hybridMultilevel"/>
    <w:tmpl w:val="84EE1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AE6494"/>
    <w:multiLevelType w:val="hybridMultilevel"/>
    <w:tmpl w:val="9904A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E22AEF"/>
    <w:multiLevelType w:val="hybridMultilevel"/>
    <w:tmpl w:val="BD6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251CDB"/>
    <w:multiLevelType w:val="hybridMultilevel"/>
    <w:tmpl w:val="80407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1"/>
  </w:num>
  <w:num w:numId="4">
    <w:abstractNumId w:val="10"/>
  </w:num>
  <w:num w:numId="5">
    <w:abstractNumId w:val="6"/>
  </w:num>
  <w:num w:numId="6">
    <w:abstractNumId w:val="7"/>
  </w:num>
  <w:num w:numId="7">
    <w:abstractNumId w:val="8"/>
  </w:num>
  <w:num w:numId="8">
    <w:abstractNumId w:val="9"/>
  </w:num>
  <w:num w:numId="9">
    <w:abstractNumId w:val="0"/>
  </w:num>
  <w:num w:numId="10">
    <w:abstractNumId w:val="2"/>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103"/>
    <w:rsid w:val="00013AF2"/>
    <w:rsid w:val="00014A16"/>
    <w:rsid w:val="00025507"/>
    <w:rsid w:val="00033253"/>
    <w:rsid w:val="00041CA1"/>
    <w:rsid w:val="000538BB"/>
    <w:rsid w:val="00055898"/>
    <w:rsid w:val="000A2AA5"/>
    <w:rsid w:val="000A50A9"/>
    <w:rsid w:val="000B51EE"/>
    <w:rsid w:val="000C799E"/>
    <w:rsid w:val="000E0994"/>
    <w:rsid w:val="000E7347"/>
    <w:rsid w:val="001153AB"/>
    <w:rsid w:val="0015378A"/>
    <w:rsid w:val="001555B7"/>
    <w:rsid w:val="00156988"/>
    <w:rsid w:val="00191FA9"/>
    <w:rsid w:val="001C34E2"/>
    <w:rsid w:val="00201172"/>
    <w:rsid w:val="0020451C"/>
    <w:rsid w:val="0020549B"/>
    <w:rsid w:val="00236BAF"/>
    <w:rsid w:val="00247E52"/>
    <w:rsid w:val="00261F33"/>
    <w:rsid w:val="002674AD"/>
    <w:rsid w:val="002A3E22"/>
    <w:rsid w:val="002A4390"/>
    <w:rsid w:val="002B4B10"/>
    <w:rsid w:val="002C0CF9"/>
    <w:rsid w:val="002F39AB"/>
    <w:rsid w:val="002F5424"/>
    <w:rsid w:val="00346BF1"/>
    <w:rsid w:val="00351061"/>
    <w:rsid w:val="00371DAE"/>
    <w:rsid w:val="003953C8"/>
    <w:rsid w:val="003C2892"/>
    <w:rsid w:val="003D5434"/>
    <w:rsid w:val="00406CBA"/>
    <w:rsid w:val="004100BD"/>
    <w:rsid w:val="0041210C"/>
    <w:rsid w:val="004248D8"/>
    <w:rsid w:val="004355A0"/>
    <w:rsid w:val="00440D91"/>
    <w:rsid w:val="00445D4A"/>
    <w:rsid w:val="00465255"/>
    <w:rsid w:val="00465355"/>
    <w:rsid w:val="004926D8"/>
    <w:rsid w:val="004B6D24"/>
    <w:rsid w:val="004D30B9"/>
    <w:rsid w:val="004E5697"/>
    <w:rsid w:val="00500107"/>
    <w:rsid w:val="005136EC"/>
    <w:rsid w:val="00526F7F"/>
    <w:rsid w:val="005430E2"/>
    <w:rsid w:val="00555AE5"/>
    <w:rsid w:val="00571666"/>
    <w:rsid w:val="005B6719"/>
    <w:rsid w:val="005C1013"/>
    <w:rsid w:val="005C3460"/>
    <w:rsid w:val="005C76B3"/>
    <w:rsid w:val="005D2A94"/>
    <w:rsid w:val="005E3535"/>
    <w:rsid w:val="005F39AA"/>
    <w:rsid w:val="00612DE5"/>
    <w:rsid w:val="00626F0F"/>
    <w:rsid w:val="00635070"/>
    <w:rsid w:val="00641FFC"/>
    <w:rsid w:val="00653559"/>
    <w:rsid w:val="00656A10"/>
    <w:rsid w:val="00676932"/>
    <w:rsid w:val="006E6B93"/>
    <w:rsid w:val="006F0528"/>
    <w:rsid w:val="006F25F9"/>
    <w:rsid w:val="00722611"/>
    <w:rsid w:val="00746968"/>
    <w:rsid w:val="00761FD8"/>
    <w:rsid w:val="007732FB"/>
    <w:rsid w:val="0081441F"/>
    <w:rsid w:val="00835AB2"/>
    <w:rsid w:val="00846BC7"/>
    <w:rsid w:val="00847B90"/>
    <w:rsid w:val="0087458C"/>
    <w:rsid w:val="008A65B0"/>
    <w:rsid w:val="008C238A"/>
    <w:rsid w:val="008C4004"/>
    <w:rsid w:val="008E5154"/>
    <w:rsid w:val="008E71D9"/>
    <w:rsid w:val="00927695"/>
    <w:rsid w:val="00933232"/>
    <w:rsid w:val="00972593"/>
    <w:rsid w:val="009C3D3A"/>
    <w:rsid w:val="009D56F9"/>
    <w:rsid w:val="009E2FFC"/>
    <w:rsid w:val="009F095E"/>
    <w:rsid w:val="009F202C"/>
    <w:rsid w:val="009F7F4A"/>
    <w:rsid w:val="00A112C0"/>
    <w:rsid w:val="00A14F96"/>
    <w:rsid w:val="00A20194"/>
    <w:rsid w:val="00A34623"/>
    <w:rsid w:val="00A70FE3"/>
    <w:rsid w:val="00A74831"/>
    <w:rsid w:val="00A7681B"/>
    <w:rsid w:val="00A95DA3"/>
    <w:rsid w:val="00AB7628"/>
    <w:rsid w:val="00AE0E50"/>
    <w:rsid w:val="00B002CB"/>
    <w:rsid w:val="00B077B8"/>
    <w:rsid w:val="00B14811"/>
    <w:rsid w:val="00B15E7C"/>
    <w:rsid w:val="00B31BA1"/>
    <w:rsid w:val="00B34968"/>
    <w:rsid w:val="00B50898"/>
    <w:rsid w:val="00B677CF"/>
    <w:rsid w:val="00B911FE"/>
    <w:rsid w:val="00BF6F66"/>
    <w:rsid w:val="00C17C48"/>
    <w:rsid w:val="00C94456"/>
    <w:rsid w:val="00C974A6"/>
    <w:rsid w:val="00CC5103"/>
    <w:rsid w:val="00CD2092"/>
    <w:rsid w:val="00CE621E"/>
    <w:rsid w:val="00D00987"/>
    <w:rsid w:val="00D14AFE"/>
    <w:rsid w:val="00D1782C"/>
    <w:rsid w:val="00D36EF4"/>
    <w:rsid w:val="00D456B8"/>
    <w:rsid w:val="00D50258"/>
    <w:rsid w:val="00D61098"/>
    <w:rsid w:val="00D73B50"/>
    <w:rsid w:val="00D827EC"/>
    <w:rsid w:val="00DB4A5B"/>
    <w:rsid w:val="00DB7827"/>
    <w:rsid w:val="00DE2FBA"/>
    <w:rsid w:val="00DE3D85"/>
    <w:rsid w:val="00DE4CAA"/>
    <w:rsid w:val="00E0397D"/>
    <w:rsid w:val="00E77FAD"/>
    <w:rsid w:val="00EA3DD3"/>
    <w:rsid w:val="00EC6B14"/>
    <w:rsid w:val="00EE0A55"/>
    <w:rsid w:val="00F23F27"/>
    <w:rsid w:val="00F25840"/>
    <w:rsid w:val="00F609D5"/>
    <w:rsid w:val="00F65CD8"/>
    <w:rsid w:val="00F72DD9"/>
    <w:rsid w:val="00F76E32"/>
    <w:rsid w:val="00F84508"/>
    <w:rsid w:val="00F878C5"/>
    <w:rsid w:val="00FA6B80"/>
    <w:rsid w:val="00FA6BBC"/>
    <w:rsid w:val="00FD2DDE"/>
    <w:rsid w:val="00FD7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048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6BBC"/>
    <w:pPr>
      <w:widowControl w:val="0"/>
    </w:pPr>
    <w:rPr>
      <w:snapToGrid w:val="0"/>
      <w:sz w:val="24"/>
    </w:rPr>
  </w:style>
  <w:style w:type="paragraph" w:styleId="Heading1">
    <w:name w:val="heading 1"/>
    <w:basedOn w:val="Normal"/>
    <w:next w:val="Normal"/>
    <w:qFormat/>
    <w:rsid w:val="00FA6BBC"/>
    <w:pPr>
      <w:keepNext/>
      <w:tabs>
        <w:tab w:val="center" w:pos="4680"/>
      </w:tabs>
      <w:jc w:val="center"/>
      <w:outlineLvl w:val="0"/>
    </w:pPr>
    <w:rPr>
      <w:b/>
    </w:rPr>
  </w:style>
  <w:style w:type="paragraph" w:styleId="Heading2">
    <w:name w:val="heading 2"/>
    <w:basedOn w:val="Normal"/>
    <w:next w:val="Normal"/>
    <w:qFormat/>
    <w:rsid w:val="00FA6BBC"/>
    <w:pPr>
      <w:keepNext/>
      <w:ind w:left="720"/>
      <w:jc w:val="right"/>
      <w:outlineLvl w:val="1"/>
    </w:pPr>
    <w:rPr>
      <w:rFonts w:ascii="Arial" w:hAnsi="Arial"/>
      <w:i/>
      <w:sz w:val="18"/>
    </w:rPr>
  </w:style>
  <w:style w:type="paragraph" w:styleId="Heading3">
    <w:name w:val="heading 3"/>
    <w:basedOn w:val="Normal"/>
    <w:next w:val="Normal"/>
    <w:qFormat/>
    <w:rsid w:val="00FA6BBC"/>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A6BBC"/>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CC5103"/>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CC5103"/>
    <w:rPr>
      <w:sz w:val="24"/>
      <w:szCs w:val="24"/>
    </w:rPr>
  </w:style>
  <w:style w:type="paragraph" w:styleId="ListParagraph">
    <w:name w:val="List Paragraph"/>
    <w:basedOn w:val="Normal"/>
    <w:link w:val="ListParagraphChar"/>
    <w:uiPriority w:val="34"/>
    <w:qFormat/>
    <w:rsid w:val="00CC5103"/>
    <w:pPr>
      <w:ind w:left="720"/>
      <w:contextualSpacing/>
    </w:pPr>
  </w:style>
  <w:style w:type="character" w:styleId="CommentReference">
    <w:name w:val="annotation reference"/>
    <w:basedOn w:val="DefaultParagraphFont"/>
    <w:semiHidden/>
    <w:unhideWhenUsed/>
    <w:rsid w:val="005136EC"/>
    <w:rPr>
      <w:sz w:val="16"/>
      <w:szCs w:val="16"/>
    </w:rPr>
  </w:style>
  <w:style w:type="paragraph" w:styleId="CommentText">
    <w:name w:val="annotation text"/>
    <w:basedOn w:val="Normal"/>
    <w:link w:val="CommentTextChar"/>
    <w:semiHidden/>
    <w:unhideWhenUsed/>
    <w:rsid w:val="005136EC"/>
    <w:rPr>
      <w:sz w:val="20"/>
    </w:rPr>
  </w:style>
  <w:style w:type="character" w:customStyle="1" w:styleId="CommentTextChar">
    <w:name w:val="Comment Text Char"/>
    <w:basedOn w:val="DefaultParagraphFont"/>
    <w:link w:val="CommentText"/>
    <w:semiHidden/>
    <w:rsid w:val="005136EC"/>
    <w:rPr>
      <w:snapToGrid w:val="0"/>
    </w:rPr>
  </w:style>
  <w:style w:type="paragraph" w:styleId="CommentSubject">
    <w:name w:val="annotation subject"/>
    <w:basedOn w:val="CommentText"/>
    <w:next w:val="CommentText"/>
    <w:link w:val="CommentSubjectChar"/>
    <w:semiHidden/>
    <w:unhideWhenUsed/>
    <w:rsid w:val="005136EC"/>
    <w:rPr>
      <w:b/>
      <w:bCs/>
    </w:rPr>
  </w:style>
  <w:style w:type="character" w:customStyle="1" w:styleId="CommentSubjectChar">
    <w:name w:val="Comment Subject Char"/>
    <w:basedOn w:val="CommentTextChar"/>
    <w:link w:val="CommentSubject"/>
    <w:semiHidden/>
    <w:rsid w:val="005136EC"/>
    <w:rPr>
      <w:b/>
      <w:bCs/>
      <w:snapToGrid w:val="0"/>
    </w:rPr>
  </w:style>
  <w:style w:type="character" w:customStyle="1" w:styleId="ListParagraphChar">
    <w:name w:val="List Paragraph Char"/>
    <w:basedOn w:val="DefaultParagraphFont"/>
    <w:link w:val="ListParagraph"/>
    <w:uiPriority w:val="34"/>
    <w:locked/>
    <w:rsid w:val="00526F7F"/>
    <w:rPr>
      <w:snapToGrid w:val="0"/>
      <w:sz w:val="24"/>
    </w:rPr>
  </w:style>
  <w:style w:type="character" w:styleId="Hyperlink">
    <w:name w:val="Hyperlink"/>
    <w:basedOn w:val="DefaultParagraphFont"/>
    <w:uiPriority w:val="99"/>
    <w:semiHidden/>
    <w:unhideWhenUsed/>
    <w:rsid w:val="00DE4CAA"/>
    <w:rPr>
      <w:color w:val="0563C1"/>
      <w:u w:val="single"/>
    </w:rPr>
  </w:style>
  <w:style w:type="character" w:styleId="FollowedHyperlink">
    <w:name w:val="FollowedHyperlink"/>
    <w:basedOn w:val="DefaultParagraphFont"/>
    <w:semiHidden/>
    <w:unhideWhenUsed/>
    <w:rsid w:val="00DE4CAA"/>
    <w:rPr>
      <w:color w:val="800080" w:themeColor="followedHyperlink"/>
      <w:u w:val="single"/>
    </w:rPr>
  </w:style>
  <w:style w:type="paragraph" w:styleId="Header">
    <w:name w:val="header"/>
    <w:basedOn w:val="Normal"/>
    <w:link w:val="HeaderChar"/>
    <w:unhideWhenUsed/>
    <w:rsid w:val="00DB7827"/>
    <w:pPr>
      <w:tabs>
        <w:tab w:val="center" w:pos="4680"/>
        <w:tab w:val="right" w:pos="9360"/>
      </w:tabs>
    </w:pPr>
  </w:style>
  <w:style w:type="character" w:customStyle="1" w:styleId="HeaderChar">
    <w:name w:val="Header Char"/>
    <w:basedOn w:val="DefaultParagraphFont"/>
    <w:link w:val="Header"/>
    <w:rsid w:val="00DB7827"/>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DESE-231-57836</_dlc_DocId>
    <_dlc_DocIdUrl xmlns="733efe1c-5bbe-4968-87dc-d400e65c879f">
      <Url>https://sharepoint.doemass.org/ese/webteam/cps/_layouts/DocIdRedir.aspx?ID=DESE-231-57836</Url>
      <Description>DESE-231-57836</Description>
    </_dlc_DocIdUrl>
  </documentManagement>
</p:properties>
</file>

<file path=customXml/itemProps1.xml><?xml version="1.0" encoding="utf-8"?>
<ds:datastoreItem xmlns:ds="http://schemas.openxmlformats.org/officeDocument/2006/customXml" ds:itemID="{B17CD6BB-B921-4B20-88DF-FA8380984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D84626-D473-4A16-894E-C83A0F5ACC4D}">
  <ds:schemaRefs>
    <ds:schemaRef ds:uri="http://schemas.microsoft.com/sharepoint/events"/>
  </ds:schemaRefs>
</ds:datastoreItem>
</file>

<file path=customXml/itemProps3.xml><?xml version="1.0" encoding="utf-8"?>
<ds:datastoreItem xmlns:ds="http://schemas.openxmlformats.org/officeDocument/2006/customXml" ds:itemID="{F09A1C2A-8B5C-4F35-AD20-33E5F31EEC03}">
  <ds:schemaRefs>
    <ds:schemaRef ds:uri="http://schemas.microsoft.com/sharepoint/v3/contenttype/forms"/>
  </ds:schemaRefs>
</ds:datastoreItem>
</file>

<file path=customXml/itemProps4.xml><?xml version="1.0" encoding="utf-8"?>
<ds:datastoreItem xmlns:ds="http://schemas.openxmlformats.org/officeDocument/2006/customXml" ds:itemID="{65B672F8-AE60-4E85-8453-AABF222B5D8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1695</Words>
  <Characters>9707</Characters>
  <Application>Microsoft Office Word</Application>
  <DocSecurity>0</DocSecurity>
  <Lines>200</Lines>
  <Paragraphs>60</Paragraphs>
  <ScaleCrop>false</ScaleCrop>
  <HeadingPairs>
    <vt:vector size="2" baseType="variant">
      <vt:variant>
        <vt:lpstr>Title</vt:lpstr>
      </vt:variant>
      <vt:variant>
        <vt:i4>1</vt:i4>
      </vt:variant>
    </vt:vector>
  </HeadingPairs>
  <TitlesOfParts>
    <vt:vector size="1" baseType="lpstr">
      <vt:lpstr>BESE January 2020 Meeting Item 6 State Budget Update</vt:lpstr>
    </vt:vector>
  </TitlesOfParts>
  <LinksUpToDate>false</LinksUpToDate>
  <CharactersWithSpaces>11484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January 2020 Meeting Item 6 State Budget Update</dc:title>
  <dc:subject>BESE January 2020 Meeting Item 6 State Budget Update</dc:subject>
  <dc:creator/>
  <cp:lastModifiedBy/>
  <cp:revision>1</cp:revision>
  <cp:lastPrinted>2008-03-05T18:17:00Z</cp:lastPrinted>
  <dcterms:created xsi:type="dcterms:W3CDTF">2020-01-29T16:26:00Z</dcterms:created>
  <dcterms:modified xsi:type="dcterms:W3CDTF">2020-02-03T14:33:00Z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4421b114-33ce-42bf-a417-57eb9ec24181</vt:lpwstr>
  </property>
  <property fmtid="{D5CDD505-2E9C-101B-9397-08002B2CF9AE}" pid="4" name="metadate">
    <vt:lpwstr>Jan 29 2020</vt:lpwstr>
  </property>
</Properties>
</file>