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40D6"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5EF0F60F" wp14:editId="3A876FC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3FA503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4E4658F"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B01A210" wp14:editId="189518F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C418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29190A79"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0B39089" w14:textId="77777777" w:rsidR="00A20194" w:rsidRPr="00C974A6" w:rsidRDefault="00A20194">
      <w:pPr>
        <w:ind w:left="720"/>
        <w:rPr>
          <w:rFonts w:ascii="Arial" w:hAnsi="Arial"/>
          <w:i/>
          <w:sz w:val="16"/>
          <w:szCs w:val="16"/>
        </w:rPr>
      </w:pPr>
    </w:p>
    <w:p w14:paraId="43BCA3AC" w14:textId="77777777" w:rsidR="00A20194" w:rsidRDefault="00A20194">
      <w:pPr>
        <w:ind w:left="720"/>
        <w:rPr>
          <w:rFonts w:ascii="Arial" w:hAnsi="Arial"/>
          <w:i/>
          <w:sz w:val="18"/>
        </w:rPr>
        <w:sectPr w:rsidR="00A20194" w:rsidSect="00272834">
          <w:footerReference w:type="default" r:id="rId13"/>
          <w:endnotePr>
            <w:numFmt w:val="decimal"/>
          </w:endnotePr>
          <w:pgSz w:w="12240" w:h="15840"/>
          <w:pgMar w:top="864" w:right="1080" w:bottom="1440" w:left="1800" w:header="1440" w:footer="1440" w:gutter="0"/>
          <w:cols w:space="720"/>
          <w:noEndnote/>
          <w:titlePg/>
          <w:docGrid w:linePitch="326"/>
        </w:sectPr>
      </w:pPr>
    </w:p>
    <w:p w14:paraId="36DFD76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F3655D4" w14:textId="77777777">
        <w:tc>
          <w:tcPr>
            <w:tcW w:w="2988" w:type="dxa"/>
          </w:tcPr>
          <w:p w14:paraId="44573CB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1C04D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A986D" w14:textId="77777777" w:rsidR="00C974A6" w:rsidRPr="00C974A6" w:rsidRDefault="00C974A6" w:rsidP="00C974A6">
            <w:pPr>
              <w:jc w:val="center"/>
              <w:rPr>
                <w:rFonts w:ascii="Arial" w:hAnsi="Arial"/>
                <w:i/>
                <w:sz w:val="16"/>
                <w:szCs w:val="16"/>
              </w:rPr>
            </w:pPr>
          </w:p>
        </w:tc>
      </w:tr>
    </w:tbl>
    <w:p w14:paraId="428783C0" w14:textId="77777777" w:rsidR="00A20194" w:rsidRDefault="00A20194">
      <w:pPr>
        <w:rPr>
          <w:rFonts w:ascii="Arial" w:hAnsi="Arial"/>
          <w:i/>
          <w:sz w:val="18"/>
        </w:rPr>
      </w:pPr>
    </w:p>
    <w:p w14:paraId="63D63F81"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D4F2124" w14:textId="77777777" w:rsidR="0059178C" w:rsidRDefault="0059178C" w:rsidP="0059178C">
      <w:pPr>
        <w:pStyle w:val="Heading1"/>
        <w:tabs>
          <w:tab w:val="clear" w:pos="4680"/>
        </w:tabs>
      </w:pPr>
      <w:r>
        <w:t>MEMORANDUM</w:t>
      </w:r>
    </w:p>
    <w:p w14:paraId="4FB71D6C" w14:textId="77777777" w:rsidR="0059178C" w:rsidRDefault="0059178C" w:rsidP="0059178C">
      <w:pPr>
        <w:pStyle w:val="Footer"/>
        <w:widowControl w:val="0"/>
        <w:tabs>
          <w:tab w:val="clear" w:pos="4320"/>
          <w:tab w:val="clear" w:pos="8640"/>
        </w:tabs>
        <w:rPr>
          <w:snapToGrid w:val="0"/>
          <w:szCs w:val="20"/>
        </w:rPr>
      </w:pPr>
    </w:p>
    <w:p w14:paraId="3EF08CA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5F315F5F" w14:textId="77777777" w:rsidTr="00DE25EB">
        <w:tc>
          <w:tcPr>
            <w:tcW w:w="1188" w:type="dxa"/>
          </w:tcPr>
          <w:p w14:paraId="2D51BDE3" w14:textId="77777777" w:rsidR="0059178C" w:rsidRDefault="0059178C" w:rsidP="00DE25EB">
            <w:pPr>
              <w:rPr>
                <w:b/>
              </w:rPr>
            </w:pPr>
            <w:r>
              <w:rPr>
                <w:b/>
              </w:rPr>
              <w:t>To:</w:t>
            </w:r>
          </w:p>
        </w:tc>
        <w:tc>
          <w:tcPr>
            <w:tcW w:w="8388" w:type="dxa"/>
          </w:tcPr>
          <w:p w14:paraId="33EE7CAA"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3209B0FB" w14:textId="77777777" w:rsidTr="00DE25EB">
        <w:tc>
          <w:tcPr>
            <w:tcW w:w="1188" w:type="dxa"/>
          </w:tcPr>
          <w:p w14:paraId="0424A2A5" w14:textId="77777777" w:rsidR="0059178C" w:rsidRDefault="0059178C" w:rsidP="00DE25EB">
            <w:pPr>
              <w:rPr>
                <w:b/>
              </w:rPr>
            </w:pPr>
            <w:r>
              <w:rPr>
                <w:b/>
              </w:rPr>
              <w:t>From:</w:t>
            </w:r>
            <w:r>
              <w:tab/>
            </w:r>
          </w:p>
        </w:tc>
        <w:tc>
          <w:tcPr>
            <w:tcW w:w="8388" w:type="dxa"/>
          </w:tcPr>
          <w:p w14:paraId="0C805356" w14:textId="28F6EDC9" w:rsidR="00443674"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3A906DB9" w14:textId="77777777" w:rsidTr="00DE25EB">
        <w:tc>
          <w:tcPr>
            <w:tcW w:w="1188" w:type="dxa"/>
          </w:tcPr>
          <w:p w14:paraId="38D76380" w14:textId="77777777" w:rsidR="0059178C" w:rsidRDefault="0059178C" w:rsidP="00DE25EB">
            <w:pPr>
              <w:rPr>
                <w:b/>
              </w:rPr>
            </w:pPr>
            <w:r>
              <w:rPr>
                <w:b/>
              </w:rPr>
              <w:t>Date:</w:t>
            </w:r>
            <w:r>
              <w:tab/>
            </w:r>
          </w:p>
        </w:tc>
        <w:tc>
          <w:tcPr>
            <w:tcW w:w="8388" w:type="dxa"/>
          </w:tcPr>
          <w:p w14:paraId="3A1108EE" w14:textId="2EB10419" w:rsidR="0059178C" w:rsidRDefault="00742640" w:rsidP="00DE25EB">
            <w:pPr>
              <w:pStyle w:val="Footer"/>
              <w:widowControl w:val="0"/>
              <w:tabs>
                <w:tab w:val="clear" w:pos="4320"/>
                <w:tab w:val="clear" w:pos="8640"/>
              </w:tabs>
              <w:rPr>
                <w:bCs/>
                <w:snapToGrid w:val="0"/>
                <w:szCs w:val="20"/>
              </w:rPr>
            </w:pPr>
            <w:r>
              <w:rPr>
                <w:bCs/>
                <w:snapToGrid w:val="0"/>
                <w:szCs w:val="20"/>
              </w:rPr>
              <w:t>February 1</w:t>
            </w:r>
            <w:r w:rsidR="006D4761">
              <w:rPr>
                <w:bCs/>
                <w:snapToGrid w:val="0"/>
                <w:szCs w:val="20"/>
              </w:rPr>
              <w:t>4</w:t>
            </w:r>
            <w:r>
              <w:rPr>
                <w:bCs/>
                <w:snapToGrid w:val="0"/>
                <w:szCs w:val="20"/>
              </w:rPr>
              <w:t>, 2020</w:t>
            </w:r>
          </w:p>
        </w:tc>
      </w:tr>
      <w:tr w:rsidR="0059178C" w14:paraId="6DBC74F4" w14:textId="77777777" w:rsidTr="00DE25EB">
        <w:tc>
          <w:tcPr>
            <w:tcW w:w="1188" w:type="dxa"/>
          </w:tcPr>
          <w:p w14:paraId="51CE3530" w14:textId="77777777" w:rsidR="0059178C" w:rsidRDefault="0059178C" w:rsidP="00DE25EB">
            <w:pPr>
              <w:rPr>
                <w:b/>
              </w:rPr>
            </w:pPr>
            <w:r>
              <w:rPr>
                <w:b/>
              </w:rPr>
              <w:t>Subject:</w:t>
            </w:r>
          </w:p>
        </w:tc>
        <w:tc>
          <w:tcPr>
            <w:tcW w:w="8388" w:type="dxa"/>
          </w:tcPr>
          <w:p w14:paraId="6EDB4A40" w14:textId="24193F82" w:rsidR="0059178C" w:rsidRPr="007A22FF" w:rsidRDefault="00742640" w:rsidP="00F149DB">
            <w:pPr>
              <w:pStyle w:val="Footer"/>
              <w:widowControl w:val="0"/>
              <w:tabs>
                <w:tab w:val="clear" w:pos="4320"/>
                <w:tab w:val="clear" w:pos="8640"/>
              </w:tabs>
              <w:rPr>
                <w:bCs/>
                <w:snapToGrid w:val="0"/>
                <w:szCs w:val="20"/>
              </w:rPr>
            </w:pPr>
            <w:r>
              <w:rPr>
                <w:bCs/>
                <w:snapToGrid w:val="0"/>
                <w:szCs w:val="20"/>
              </w:rPr>
              <w:t xml:space="preserve">Charter Schools </w:t>
            </w:r>
            <w:r w:rsidR="00BA0DBE">
              <w:rPr>
                <w:bCs/>
                <w:snapToGrid w:val="0"/>
                <w:szCs w:val="20"/>
              </w:rPr>
              <w:t>–</w:t>
            </w:r>
            <w:r>
              <w:rPr>
                <w:bCs/>
                <w:snapToGrid w:val="0"/>
                <w:szCs w:val="20"/>
              </w:rPr>
              <w:t xml:space="preserve"> </w:t>
            </w:r>
            <w:r w:rsidR="00F149DB">
              <w:rPr>
                <w:bCs/>
                <w:snapToGrid w:val="0"/>
                <w:szCs w:val="20"/>
              </w:rPr>
              <w:t xml:space="preserve">Renewal of Charter for </w:t>
            </w:r>
            <w:r w:rsidR="00BA0DBE">
              <w:rPr>
                <w:bCs/>
                <w:snapToGrid w:val="0"/>
                <w:szCs w:val="20"/>
              </w:rPr>
              <w:t xml:space="preserve">City on Hill Charter Public School Circuit Street and Request to Consolidate </w:t>
            </w:r>
            <w:r w:rsidR="00563F5A">
              <w:rPr>
                <w:bCs/>
                <w:snapToGrid w:val="0"/>
                <w:szCs w:val="20"/>
              </w:rPr>
              <w:t>Two Charters</w:t>
            </w:r>
          </w:p>
        </w:tc>
      </w:tr>
    </w:tbl>
    <w:p w14:paraId="71DFB0A5"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2D889B7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CC0B889" w14:textId="77777777" w:rsidR="0059178C" w:rsidRDefault="0059178C" w:rsidP="0059178C">
      <w:pPr>
        <w:rPr>
          <w:sz w:val="16"/>
        </w:rPr>
      </w:pPr>
    </w:p>
    <w:p w14:paraId="417E9EAE" w14:textId="54F971B7" w:rsidR="004275E8" w:rsidRDefault="004275E8" w:rsidP="00C60519">
      <w:pPr>
        <w:widowControl/>
      </w:pPr>
      <w:r>
        <w:t>This month, the Board of Elementary and Secondary Education (Board) will discuss and vote on the charter renewal application for City on a Hill Charter Public School Circuit Street (</w:t>
      </w:r>
      <w:proofErr w:type="spellStart"/>
      <w:r>
        <w:t>CoaH</w:t>
      </w:r>
      <w:proofErr w:type="spellEnd"/>
      <w:r>
        <w:t xml:space="preserve"> CS), while simultaneously considering </w:t>
      </w:r>
      <w:r w:rsidR="007E2730">
        <w:t xml:space="preserve">the request of </w:t>
      </w:r>
      <w:r>
        <w:t xml:space="preserve">the City on a Hill Charter Public School board of trustees to consolidate the charters of </w:t>
      </w:r>
      <w:proofErr w:type="spellStart"/>
      <w:r>
        <w:t>CoaH</w:t>
      </w:r>
      <w:proofErr w:type="spellEnd"/>
      <w:r>
        <w:t xml:space="preserve"> CS and City on a Hill Charter Public School Dudley Square (</w:t>
      </w:r>
      <w:proofErr w:type="spellStart"/>
      <w:r>
        <w:t>CoaH</w:t>
      </w:r>
      <w:proofErr w:type="spellEnd"/>
      <w:r>
        <w:t xml:space="preserve"> DS). I recommend that the Board renew the school’s charter, grant the consolidation request with modifications, and place the resulting single </w:t>
      </w:r>
      <w:proofErr w:type="spellStart"/>
      <w:r>
        <w:t>CoaH</w:t>
      </w:r>
      <w:proofErr w:type="spellEnd"/>
      <w:r>
        <w:t xml:space="preserve"> CS charter school on probation</w:t>
      </w:r>
      <w:r w:rsidRPr="00742640">
        <w:rPr>
          <w:rStyle w:val="FootnoteReference"/>
          <w:vertAlign w:val="superscript"/>
        </w:rPr>
        <w:footnoteReference w:id="1"/>
      </w:r>
      <w:r>
        <w:rPr>
          <w:vertAlign w:val="superscript"/>
        </w:rPr>
        <w:t xml:space="preserve"> </w:t>
      </w:r>
      <w:r>
        <w:t xml:space="preserve">with the conditions described later in this memorandum. </w:t>
      </w:r>
    </w:p>
    <w:p w14:paraId="008C4AC8" w14:textId="0559A55A" w:rsidR="00BC14D5" w:rsidRDefault="00BC14D5" w:rsidP="00C60519">
      <w:pPr>
        <w:widowControl/>
      </w:pPr>
    </w:p>
    <w:p w14:paraId="16B5EA4E" w14:textId="77777777" w:rsidR="00BC14D5" w:rsidRDefault="00BC14D5" w:rsidP="00C60519">
      <w:pPr>
        <w:widowControl/>
      </w:pPr>
    </w:p>
    <w:tbl>
      <w:tblPr>
        <w:tblStyle w:val="TableGrid"/>
        <w:tblW w:w="0" w:type="auto"/>
        <w:tblLook w:val="04A0" w:firstRow="1" w:lastRow="0" w:firstColumn="1" w:lastColumn="0" w:noHBand="0" w:noVBand="1"/>
        <w:tblCaption w:val="Charter School Info Table"/>
      </w:tblPr>
      <w:tblGrid>
        <w:gridCol w:w="2337"/>
        <w:gridCol w:w="2353"/>
        <w:gridCol w:w="2336"/>
        <w:gridCol w:w="2324"/>
      </w:tblGrid>
      <w:tr w:rsidR="002C7AA0" w:rsidRPr="002C7AA0" w14:paraId="7CEA4A9C" w14:textId="77777777" w:rsidTr="002C7AA0">
        <w:trPr>
          <w:tblHeader/>
        </w:trPr>
        <w:tc>
          <w:tcPr>
            <w:tcW w:w="9350" w:type="dxa"/>
            <w:gridSpan w:val="4"/>
            <w:shd w:val="clear" w:color="auto" w:fill="BFBFBF" w:themeFill="background1" w:themeFillShade="BF"/>
          </w:tcPr>
          <w:p w14:paraId="1EF6CB84" w14:textId="55447559" w:rsidR="002C7AA0" w:rsidRPr="002C7AA0" w:rsidRDefault="002C7AA0" w:rsidP="00C60519">
            <w:pPr>
              <w:pStyle w:val="TableHeading"/>
              <w:rPr>
                <w:rFonts w:ascii="Times New Roman" w:hAnsi="Times New Roman" w:cs="Times New Roman"/>
              </w:rPr>
            </w:pPr>
            <w:r w:rsidRPr="002C7AA0">
              <w:rPr>
                <w:rFonts w:ascii="Times New Roman" w:hAnsi="Times New Roman" w:cs="Times New Roman"/>
              </w:rPr>
              <w:t>City on a Hill Charter Public School Circuit Street</w:t>
            </w:r>
          </w:p>
        </w:tc>
      </w:tr>
      <w:tr w:rsidR="002C7AA0" w:rsidRPr="002C7AA0" w14:paraId="46C1E90A" w14:textId="77777777" w:rsidTr="002C7AA0">
        <w:trPr>
          <w:tblHeader/>
        </w:trPr>
        <w:tc>
          <w:tcPr>
            <w:tcW w:w="2337" w:type="dxa"/>
            <w:shd w:val="clear" w:color="auto" w:fill="F2F2F2" w:themeFill="background1" w:themeFillShade="F2"/>
          </w:tcPr>
          <w:p w14:paraId="433D43B3"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Type of Charter</w:t>
            </w:r>
          </w:p>
        </w:tc>
        <w:tc>
          <w:tcPr>
            <w:tcW w:w="2353" w:type="dxa"/>
          </w:tcPr>
          <w:p w14:paraId="205AFBC7"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Commonwealth</w:t>
            </w:r>
          </w:p>
        </w:tc>
        <w:tc>
          <w:tcPr>
            <w:tcW w:w="2336" w:type="dxa"/>
            <w:shd w:val="clear" w:color="auto" w:fill="F2F2F2" w:themeFill="background1" w:themeFillShade="F2"/>
          </w:tcPr>
          <w:p w14:paraId="5D79BB49"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Location</w:t>
            </w:r>
          </w:p>
        </w:tc>
        <w:tc>
          <w:tcPr>
            <w:tcW w:w="2324" w:type="dxa"/>
          </w:tcPr>
          <w:p w14:paraId="2212CFFD"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Boston</w:t>
            </w:r>
          </w:p>
        </w:tc>
      </w:tr>
      <w:tr w:rsidR="002C7AA0" w:rsidRPr="002C7AA0" w14:paraId="058890E1" w14:textId="77777777" w:rsidTr="002C7AA0">
        <w:trPr>
          <w:tblHeader/>
        </w:trPr>
        <w:tc>
          <w:tcPr>
            <w:tcW w:w="2337" w:type="dxa"/>
            <w:shd w:val="clear" w:color="auto" w:fill="F2F2F2" w:themeFill="background1" w:themeFillShade="F2"/>
          </w:tcPr>
          <w:p w14:paraId="1815ED17"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Regional or Non-Regional</w:t>
            </w:r>
          </w:p>
        </w:tc>
        <w:tc>
          <w:tcPr>
            <w:tcW w:w="2353" w:type="dxa"/>
          </w:tcPr>
          <w:p w14:paraId="1C3557A3"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Non-Regional</w:t>
            </w:r>
          </w:p>
        </w:tc>
        <w:tc>
          <w:tcPr>
            <w:tcW w:w="2336" w:type="dxa"/>
            <w:shd w:val="clear" w:color="auto" w:fill="F2F2F2" w:themeFill="background1" w:themeFillShade="F2"/>
          </w:tcPr>
          <w:p w14:paraId="456FB83E"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Districts in Region</w:t>
            </w:r>
          </w:p>
        </w:tc>
        <w:tc>
          <w:tcPr>
            <w:tcW w:w="2324" w:type="dxa"/>
          </w:tcPr>
          <w:p w14:paraId="69FC0CEB"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N/A</w:t>
            </w:r>
          </w:p>
        </w:tc>
      </w:tr>
      <w:tr w:rsidR="002C7AA0" w:rsidRPr="002C7AA0" w14:paraId="3BB51F77" w14:textId="77777777" w:rsidTr="002C7AA0">
        <w:trPr>
          <w:tblHeader/>
        </w:trPr>
        <w:tc>
          <w:tcPr>
            <w:tcW w:w="2337" w:type="dxa"/>
            <w:shd w:val="clear" w:color="auto" w:fill="F2F2F2" w:themeFill="background1" w:themeFillShade="F2"/>
          </w:tcPr>
          <w:p w14:paraId="632AC4BA"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Year Opened</w:t>
            </w:r>
          </w:p>
        </w:tc>
        <w:tc>
          <w:tcPr>
            <w:tcW w:w="2353" w:type="dxa"/>
          </w:tcPr>
          <w:p w14:paraId="7ACA0E3A"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1995</w:t>
            </w:r>
          </w:p>
        </w:tc>
        <w:tc>
          <w:tcPr>
            <w:tcW w:w="2336" w:type="dxa"/>
            <w:shd w:val="clear" w:color="auto" w:fill="F2F2F2" w:themeFill="background1" w:themeFillShade="F2"/>
          </w:tcPr>
          <w:p w14:paraId="3490AE2C"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Year(s) Renewed</w:t>
            </w:r>
          </w:p>
        </w:tc>
        <w:tc>
          <w:tcPr>
            <w:tcW w:w="2324" w:type="dxa"/>
          </w:tcPr>
          <w:p w14:paraId="2D76A56D"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2000, 2005, 2010, 2015</w:t>
            </w:r>
          </w:p>
        </w:tc>
      </w:tr>
      <w:tr w:rsidR="002C7AA0" w:rsidRPr="002C7AA0" w14:paraId="76CBD6E8" w14:textId="77777777" w:rsidTr="002C7AA0">
        <w:trPr>
          <w:tblHeader/>
        </w:trPr>
        <w:tc>
          <w:tcPr>
            <w:tcW w:w="2337" w:type="dxa"/>
            <w:shd w:val="clear" w:color="auto" w:fill="F2F2F2" w:themeFill="background1" w:themeFillShade="F2"/>
          </w:tcPr>
          <w:p w14:paraId="2E84DC0B"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Maximum Enrollment</w:t>
            </w:r>
          </w:p>
        </w:tc>
        <w:tc>
          <w:tcPr>
            <w:tcW w:w="2353" w:type="dxa"/>
          </w:tcPr>
          <w:p w14:paraId="39FA543C"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280</w:t>
            </w:r>
          </w:p>
        </w:tc>
        <w:tc>
          <w:tcPr>
            <w:tcW w:w="2336" w:type="dxa"/>
            <w:shd w:val="clear" w:color="auto" w:fill="F2F2F2" w:themeFill="background1" w:themeFillShade="F2"/>
          </w:tcPr>
          <w:p w14:paraId="537E4B27"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Enrollment</w:t>
            </w:r>
          </w:p>
        </w:tc>
        <w:tc>
          <w:tcPr>
            <w:tcW w:w="2324" w:type="dxa"/>
          </w:tcPr>
          <w:p w14:paraId="2F15EA57" w14:textId="611E8AA3"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228</w:t>
            </w:r>
            <w:r w:rsidRPr="002C7AA0">
              <w:rPr>
                <w:rFonts w:ascii="Times New Roman" w:hAnsi="Times New Roman" w:cs="Times New Roman"/>
              </w:rPr>
              <w:t xml:space="preserve"> (as of October 2019)</w:t>
            </w:r>
          </w:p>
        </w:tc>
      </w:tr>
      <w:tr w:rsidR="002C7AA0" w:rsidRPr="002C7AA0" w14:paraId="1CA22370" w14:textId="77777777" w:rsidTr="002C7AA0">
        <w:trPr>
          <w:tblHeader/>
        </w:trPr>
        <w:tc>
          <w:tcPr>
            <w:tcW w:w="2337" w:type="dxa"/>
            <w:shd w:val="clear" w:color="auto" w:fill="F2F2F2" w:themeFill="background1" w:themeFillShade="F2"/>
          </w:tcPr>
          <w:p w14:paraId="0500712E"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Chartered Grade Span</w:t>
            </w:r>
          </w:p>
        </w:tc>
        <w:tc>
          <w:tcPr>
            <w:tcW w:w="2353" w:type="dxa"/>
          </w:tcPr>
          <w:p w14:paraId="7D029E97"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9-12</w:t>
            </w:r>
          </w:p>
        </w:tc>
        <w:tc>
          <w:tcPr>
            <w:tcW w:w="2336" w:type="dxa"/>
            <w:shd w:val="clear" w:color="auto" w:fill="F2F2F2" w:themeFill="background1" w:themeFillShade="F2"/>
          </w:tcPr>
          <w:p w14:paraId="688AFF7D"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Grade Span</w:t>
            </w:r>
          </w:p>
        </w:tc>
        <w:tc>
          <w:tcPr>
            <w:tcW w:w="2324" w:type="dxa"/>
          </w:tcPr>
          <w:p w14:paraId="37784955"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9-12</w:t>
            </w:r>
          </w:p>
        </w:tc>
      </w:tr>
      <w:tr w:rsidR="002C7AA0" w:rsidRPr="002C7AA0" w14:paraId="1BFFA9B7" w14:textId="77777777" w:rsidTr="002C7AA0">
        <w:trPr>
          <w:tblHeader/>
        </w:trPr>
        <w:tc>
          <w:tcPr>
            <w:tcW w:w="2337" w:type="dxa"/>
            <w:shd w:val="clear" w:color="auto" w:fill="F2F2F2" w:themeFill="background1" w:themeFillShade="F2"/>
          </w:tcPr>
          <w:p w14:paraId="13364633"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Students on Waitlist</w:t>
            </w:r>
          </w:p>
        </w:tc>
        <w:tc>
          <w:tcPr>
            <w:tcW w:w="2353" w:type="dxa"/>
          </w:tcPr>
          <w:p w14:paraId="242FC315" w14:textId="511D5BD2"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0</w:t>
            </w:r>
            <w:r w:rsidRPr="002C7AA0">
              <w:rPr>
                <w:rFonts w:ascii="Times New Roman" w:hAnsi="Times New Roman" w:cs="Times New Roman"/>
              </w:rPr>
              <w:t xml:space="preserve"> (as of March 2019)</w:t>
            </w:r>
          </w:p>
        </w:tc>
        <w:tc>
          <w:tcPr>
            <w:tcW w:w="2336" w:type="dxa"/>
            <w:shd w:val="clear" w:color="auto" w:fill="F2F2F2" w:themeFill="background1" w:themeFillShade="F2"/>
          </w:tcPr>
          <w:p w14:paraId="575BCB14"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t>Current Age of School</w:t>
            </w:r>
          </w:p>
        </w:tc>
        <w:tc>
          <w:tcPr>
            <w:tcW w:w="2324" w:type="dxa"/>
          </w:tcPr>
          <w:p w14:paraId="778A9EEC"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25</w:t>
            </w:r>
          </w:p>
        </w:tc>
      </w:tr>
    </w:tbl>
    <w:p w14:paraId="6E644E45" w14:textId="77777777" w:rsidR="00BC14D5" w:rsidRDefault="00BC14D5"/>
    <w:tbl>
      <w:tblPr>
        <w:tblStyle w:val="TableGrid"/>
        <w:tblW w:w="0" w:type="auto"/>
        <w:tblLook w:val="04A0" w:firstRow="1" w:lastRow="0" w:firstColumn="1" w:lastColumn="0" w:noHBand="0" w:noVBand="1"/>
        <w:tblCaption w:val="Charter School Info Table"/>
      </w:tblPr>
      <w:tblGrid>
        <w:gridCol w:w="9350"/>
      </w:tblGrid>
      <w:tr w:rsidR="002C7AA0" w:rsidRPr="002C7AA0" w14:paraId="5708A529" w14:textId="77777777" w:rsidTr="002C7AA0">
        <w:trPr>
          <w:tblHeader/>
        </w:trPr>
        <w:tc>
          <w:tcPr>
            <w:tcW w:w="9350" w:type="dxa"/>
            <w:shd w:val="clear" w:color="auto" w:fill="F2F2F2" w:themeFill="background1" w:themeFillShade="F2"/>
          </w:tcPr>
          <w:p w14:paraId="3A1E8D33" w14:textId="77777777" w:rsidR="002C7AA0" w:rsidRPr="002C7AA0" w:rsidRDefault="002C7AA0" w:rsidP="00C60519">
            <w:pPr>
              <w:pStyle w:val="Table"/>
              <w:rPr>
                <w:rFonts w:ascii="Times New Roman" w:hAnsi="Times New Roman" w:cs="Times New Roman"/>
                <w:b/>
                <w:szCs w:val="24"/>
              </w:rPr>
            </w:pPr>
            <w:r w:rsidRPr="002C7AA0">
              <w:rPr>
                <w:rFonts w:ascii="Times New Roman" w:hAnsi="Times New Roman" w:cs="Times New Roman"/>
                <w:b/>
                <w:szCs w:val="24"/>
              </w:rPr>
              <w:lastRenderedPageBreak/>
              <w:t xml:space="preserve">Mission Statement: </w:t>
            </w:r>
          </w:p>
          <w:p w14:paraId="411BAE73"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City on a Hill graduates resourceful, responsible, and respectful democratic citizens prepared for college and to advance community, culture, and commerce, in order to compete in the 21st century.</w:t>
            </w:r>
            <w:r w:rsidRPr="002C7AA0">
              <w:rPr>
                <w:rFonts w:ascii="Times New Roman" w:hAnsi="Times New Roman" w:cs="Times New Roman"/>
              </w:rPr>
              <w:t xml:space="preserve"> </w:t>
            </w:r>
            <w:r w:rsidRPr="002C7AA0">
              <w:rPr>
                <w:rFonts w:ascii="Times New Roman" w:hAnsi="Times New Roman" w:cs="Times New Roman"/>
                <w:szCs w:val="24"/>
              </w:rPr>
              <w:t>We do so by emphasizing:</w:t>
            </w:r>
          </w:p>
          <w:p w14:paraId="5E005235"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Academic Achievement: We maintain high academic standards and ensure results. We acknowledge our students’ competition and seek to find additional resources to prepare our students to compete.</w:t>
            </w:r>
          </w:p>
          <w:p w14:paraId="4D5EB2B0"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Citizenship: We maintain standards of civility, promote our students’ civic engagement and participation, and link our school to the best of Boston.</w:t>
            </w:r>
          </w:p>
          <w:p w14:paraId="44F9F84F"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 xml:space="preserve">Teacher Leadership: Teachers take responsibility for the performance of students and of our school. Teachers drive decision-making in doing, building, and growing City on a Hill. Teachers are reflective practitioners and managers. Teachers contribute to urban </w:t>
            </w:r>
            <w:proofErr w:type="gramStart"/>
            <w:r w:rsidRPr="002C7AA0">
              <w:rPr>
                <w:rFonts w:ascii="Times New Roman" w:hAnsi="Times New Roman" w:cs="Times New Roman"/>
                <w:szCs w:val="24"/>
              </w:rPr>
              <w:t>public school</w:t>
            </w:r>
            <w:proofErr w:type="gramEnd"/>
            <w:r w:rsidRPr="002C7AA0">
              <w:rPr>
                <w:rFonts w:ascii="Times New Roman" w:hAnsi="Times New Roman" w:cs="Times New Roman"/>
                <w:szCs w:val="24"/>
              </w:rPr>
              <w:t xml:space="preserve"> reform in our city, state, and nation.</w:t>
            </w:r>
          </w:p>
          <w:p w14:paraId="44B7B788" w14:textId="77777777" w:rsidR="002C7AA0" w:rsidRPr="002C7AA0" w:rsidRDefault="002C7AA0" w:rsidP="00C60519">
            <w:pPr>
              <w:pStyle w:val="Table"/>
              <w:rPr>
                <w:rFonts w:ascii="Times New Roman" w:hAnsi="Times New Roman" w:cs="Times New Roman"/>
                <w:szCs w:val="24"/>
              </w:rPr>
            </w:pPr>
            <w:r w:rsidRPr="002C7AA0">
              <w:rPr>
                <w:rFonts w:ascii="Times New Roman" w:hAnsi="Times New Roman" w:cs="Times New Roman"/>
                <w:szCs w:val="24"/>
              </w:rPr>
              <w:t>Public Accountability: City on a Hill shows the tax-payer results, invites the public in to ensure that we are delivering on our promise to educate our students, and engages parents and guardians as key school stakeholders.</w:t>
            </w:r>
          </w:p>
        </w:tc>
      </w:tr>
    </w:tbl>
    <w:p w14:paraId="1762387F" w14:textId="77777777" w:rsidR="00D0217C" w:rsidRDefault="00D0217C" w:rsidP="00C60519">
      <w:pPr>
        <w:widowControl/>
        <w:autoSpaceDE w:val="0"/>
        <w:autoSpaceDN w:val="0"/>
        <w:adjustRightInd w:val="0"/>
        <w:rPr>
          <w:b/>
          <w:u w:val="single"/>
        </w:rPr>
      </w:pPr>
    </w:p>
    <w:p w14:paraId="0794A144" w14:textId="68817600" w:rsidR="00D0217C" w:rsidRPr="00122B09" w:rsidRDefault="00D0217C" w:rsidP="00C60519">
      <w:pPr>
        <w:widowControl/>
        <w:autoSpaceDE w:val="0"/>
        <w:autoSpaceDN w:val="0"/>
        <w:adjustRightInd w:val="0"/>
        <w:rPr>
          <w:b/>
          <w:u w:val="single"/>
        </w:rPr>
      </w:pPr>
      <w:r w:rsidRPr="00122B09">
        <w:rPr>
          <w:b/>
          <w:u w:val="single"/>
        </w:rPr>
        <w:t xml:space="preserve">School History </w:t>
      </w:r>
    </w:p>
    <w:p w14:paraId="6BFB5D35" w14:textId="77777777" w:rsidR="00D0217C" w:rsidRPr="00122B09" w:rsidRDefault="00D0217C" w:rsidP="00C60519">
      <w:pPr>
        <w:widowControl/>
        <w:autoSpaceDE w:val="0"/>
        <w:autoSpaceDN w:val="0"/>
        <w:adjustRightInd w:val="0"/>
        <w:rPr>
          <w:b/>
          <w:u w:val="single"/>
        </w:rPr>
      </w:pPr>
    </w:p>
    <w:p w14:paraId="1771A8A2" w14:textId="70B1146F" w:rsidR="002C7AA0" w:rsidRDefault="00D91754" w:rsidP="00C60519">
      <w:pPr>
        <w:widowControl/>
        <w:rPr>
          <w:szCs w:val="24"/>
        </w:rPr>
      </w:pPr>
      <w:proofErr w:type="spellStart"/>
      <w:r>
        <w:rPr>
          <w:szCs w:val="24"/>
        </w:rPr>
        <w:t>CoaH</w:t>
      </w:r>
      <w:proofErr w:type="spellEnd"/>
      <w:r>
        <w:rPr>
          <w:szCs w:val="24"/>
        </w:rPr>
        <w:t xml:space="preserve"> CS</w:t>
      </w:r>
      <w:r w:rsidR="002C7AA0">
        <w:rPr>
          <w:szCs w:val="24"/>
        </w:rPr>
        <w:t xml:space="preserve"> is part of a three-school network of charter schools, with each school serving grades 9-12, overseen by a single board of trustees.</w:t>
      </w:r>
      <w:r w:rsidR="002C7AA0">
        <w:rPr>
          <w:rStyle w:val="FootnoteReference"/>
          <w:szCs w:val="24"/>
          <w:vertAlign w:val="superscript"/>
        </w:rPr>
        <w:footnoteReference w:id="2"/>
      </w:r>
      <w:r w:rsidR="002C7AA0">
        <w:rPr>
          <w:szCs w:val="24"/>
        </w:rPr>
        <w:t xml:space="preserve"> </w:t>
      </w:r>
      <w:r w:rsidR="00B3714B">
        <w:rPr>
          <w:rFonts w:cstheme="minorHAnsi"/>
          <w:szCs w:val="22"/>
        </w:rPr>
        <w:t xml:space="preserve">Originally known as City on a Hill Charter Public School, </w:t>
      </w:r>
      <w:proofErr w:type="spellStart"/>
      <w:r w:rsidR="00B3714B">
        <w:rPr>
          <w:rFonts w:cstheme="minorHAnsi"/>
          <w:szCs w:val="22"/>
        </w:rPr>
        <w:t>CoaH</w:t>
      </w:r>
      <w:proofErr w:type="spellEnd"/>
      <w:r w:rsidR="00B3714B">
        <w:rPr>
          <w:rFonts w:cstheme="minorHAnsi"/>
          <w:szCs w:val="22"/>
        </w:rPr>
        <w:t xml:space="preserve"> CS</w:t>
      </w:r>
      <w:r w:rsidR="00B3714B" w:rsidRPr="00C75E4F">
        <w:rPr>
          <w:rFonts w:cstheme="minorHAnsi"/>
          <w:szCs w:val="22"/>
        </w:rPr>
        <w:t xml:space="preserve"> received its charter in 1994 and opened in 1995</w:t>
      </w:r>
      <w:r w:rsidR="00B3714B">
        <w:rPr>
          <w:rFonts w:cstheme="minorHAnsi"/>
          <w:szCs w:val="22"/>
        </w:rPr>
        <w:t xml:space="preserve">. </w:t>
      </w:r>
      <w:r w:rsidR="002C7AA0">
        <w:rPr>
          <w:szCs w:val="24"/>
        </w:rPr>
        <w:t>In 2012, the board of trustees applied to open two additional charter schools, one in Boston and one in New Bedford. The Board granted the two charters</w:t>
      </w:r>
      <w:r w:rsidR="00B3714B">
        <w:rPr>
          <w:szCs w:val="24"/>
        </w:rPr>
        <w:t xml:space="preserve"> in February 2013</w:t>
      </w:r>
      <w:r w:rsidR="002C7AA0">
        <w:rPr>
          <w:szCs w:val="24"/>
        </w:rPr>
        <w:t xml:space="preserve">. The first new school, </w:t>
      </w:r>
      <w:proofErr w:type="spellStart"/>
      <w:r w:rsidR="002C7AA0">
        <w:rPr>
          <w:szCs w:val="24"/>
        </w:rPr>
        <w:t>CoaH</w:t>
      </w:r>
      <w:proofErr w:type="spellEnd"/>
      <w:r w:rsidR="002C7AA0">
        <w:rPr>
          <w:szCs w:val="24"/>
        </w:rPr>
        <w:t xml:space="preserve"> DS</w:t>
      </w:r>
      <w:r w:rsidR="000F23BB">
        <w:rPr>
          <w:szCs w:val="24"/>
        </w:rPr>
        <w:t>,</w:t>
      </w:r>
      <w:r w:rsidR="002C7AA0">
        <w:rPr>
          <w:szCs w:val="24"/>
        </w:rPr>
        <w:t xml:space="preserve"> opened in Boston in 2013. The second new school, </w:t>
      </w:r>
      <w:r w:rsidR="000F23BB">
        <w:rPr>
          <w:szCs w:val="24"/>
        </w:rPr>
        <w:t>City on a Hill Charter Public School New Bedford (</w:t>
      </w:r>
      <w:proofErr w:type="spellStart"/>
      <w:r w:rsidR="002C7AA0">
        <w:rPr>
          <w:szCs w:val="24"/>
        </w:rPr>
        <w:t>CoaH</w:t>
      </w:r>
      <w:proofErr w:type="spellEnd"/>
      <w:r w:rsidR="002C7AA0">
        <w:rPr>
          <w:szCs w:val="24"/>
        </w:rPr>
        <w:t xml:space="preserve"> NB</w:t>
      </w:r>
      <w:r w:rsidR="000F23BB">
        <w:rPr>
          <w:szCs w:val="24"/>
        </w:rPr>
        <w:t>)</w:t>
      </w:r>
      <w:r w:rsidR="002C7AA0">
        <w:rPr>
          <w:szCs w:val="24"/>
        </w:rPr>
        <w:t>, opened in 2014</w:t>
      </w:r>
      <w:r w:rsidR="00C60519">
        <w:rPr>
          <w:szCs w:val="24"/>
        </w:rPr>
        <w:t xml:space="preserve"> and will close at the end of June</w:t>
      </w:r>
      <w:r w:rsidR="00F97B69">
        <w:rPr>
          <w:szCs w:val="24"/>
        </w:rPr>
        <w:t xml:space="preserve"> 2020</w:t>
      </w:r>
      <w:r w:rsidR="002C7AA0">
        <w:rPr>
          <w:szCs w:val="24"/>
        </w:rPr>
        <w:t>.</w:t>
      </w:r>
    </w:p>
    <w:p w14:paraId="7DB1C092" w14:textId="0DDA5AB5" w:rsidR="00B3714B" w:rsidRDefault="00B3714B" w:rsidP="00C60519">
      <w:pPr>
        <w:widowControl/>
        <w:rPr>
          <w:szCs w:val="24"/>
        </w:rPr>
      </w:pPr>
    </w:p>
    <w:p w14:paraId="1E3F5E4F" w14:textId="7DEEFF29" w:rsidR="002C7AA0" w:rsidRDefault="002C7AA0" w:rsidP="00C60519">
      <w:pPr>
        <w:widowControl/>
        <w:rPr>
          <w:szCs w:val="24"/>
        </w:rPr>
      </w:pPr>
      <w:r>
        <w:rPr>
          <w:szCs w:val="22"/>
        </w:rPr>
        <w:t xml:space="preserve">When the board of trustees received two additional charters, it established a network office to </w:t>
      </w:r>
      <w:r>
        <w:rPr>
          <w:szCs w:val="24"/>
        </w:rPr>
        <w:t>provide services to all three schools.</w:t>
      </w:r>
      <w:r>
        <w:rPr>
          <w:rStyle w:val="FootnoteReference"/>
          <w:szCs w:val="24"/>
          <w:vertAlign w:val="superscript"/>
        </w:rPr>
        <w:footnoteReference w:id="3"/>
      </w:r>
      <w:r>
        <w:rPr>
          <w:szCs w:val="22"/>
        </w:rPr>
        <w:t xml:space="preserve"> </w:t>
      </w:r>
      <w:proofErr w:type="spellStart"/>
      <w:r w:rsidR="00706A82">
        <w:rPr>
          <w:szCs w:val="24"/>
        </w:rPr>
        <w:t>CoaH</w:t>
      </w:r>
      <w:proofErr w:type="spellEnd"/>
      <w:r w:rsidR="00706A82">
        <w:rPr>
          <w:szCs w:val="24"/>
        </w:rPr>
        <w:t xml:space="preserve"> CS</w:t>
      </w:r>
      <w:r>
        <w:rPr>
          <w:szCs w:val="24"/>
        </w:rPr>
        <w:t xml:space="preserve"> is currently managed by a chief executive officer, who was hired in May 2018 and serves as the administrative leader across the three schools. Since 2014, four individuals have served as leader of the </w:t>
      </w:r>
      <w:proofErr w:type="spellStart"/>
      <w:r>
        <w:rPr>
          <w:szCs w:val="24"/>
        </w:rPr>
        <w:t>CoaH</w:t>
      </w:r>
      <w:proofErr w:type="spellEnd"/>
      <w:r>
        <w:rPr>
          <w:szCs w:val="24"/>
        </w:rPr>
        <w:t xml:space="preserve"> network of charter schools. Additionally, during the 2017-2018 school year, teachers and non-instructional staff across all three schools engaged in discussions with, and eventually voted to join, the Boston Teachers Union (BTU). Negotiations between the board of trustees and the union are ongoing; n</w:t>
      </w:r>
      <w:r w:rsidR="00B3714B">
        <w:rPr>
          <w:szCs w:val="24"/>
        </w:rPr>
        <w:t>o contracts have been signed</w:t>
      </w:r>
      <w:r>
        <w:rPr>
          <w:szCs w:val="24"/>
        </w:rPr>
        <w:t xml:space="preserve">.  </w:t>
      </w:r>
    </w:p>
    <w:p w14:paraId="271DDB2D" w14:textId="49056361" w:rsidR="00706A82" w:rsidRDefault="00706A82" w:rsidP="00C60519">
      <w:pPr>
        <w:widowControl/>
        <w:rPr>
          <w:szCs w:val="24"/>
        </w:rPr>
      </w:pPr>
    </w:p>
    <w:p w14:paraId="48FDADFD" w14:textId="7BCBA8CE" w:rsidR="005669E6" w:rsidRPr="00DF3163" w:rsidRDefault="00706A82" w:rsidP="00C60519">
      <w:pPr>
        <w:widowControl/>
        <w:autoSpaceDE w:val="0"/>
        <w:autoSpaceDN w:val="0"/>
        <w:adjustRightInd w:val="0"/>
      </w:pPr>
      <w:r>
        <w:rPr>
          <w:color w:val="000000"/>
        </w:rPr>
        <w:t xml:space="preserve">For the past two years, </w:t>
      </w:r>
      <w:r w:rsidR="009A6568">
        <w:rPr>
          <w:color w:val="000000"/>
        </w:rPr>
        <w:t xml:space="preserve">all </w:t>
      </w:r>
      <w:r w:rsidR="007E2730">
        <w:rPr>
          <w:color w:val="000000"/>
        </w:rPr>
        <w:t xml:space="preserve">three </w:t>
      </w:r>
      <w:r w:rsidR="009A6568">
        <w:rPr>
          <w:color w:val="000000"/>
        </w:rPr>
        <w:t xml:space="preserve">schools in the </w:t>
      </w:r>
      <w:proofErr w:type="spellStart"/>
      <w:r w:rsidR="009A6568">
        <w:rPr>
          <w:color w:val="000000"/>
        </w:rPr>
        <w:t>CoaH</w:t>
      </w:r>
      <w:proofErr w:type="spellEnd"/>
      <w:r w:rsidR="009A6568">
        <w:rPr>
          <w:color w:val="000000"/>
        </w:rPr>
        <w:t xml:space="preserve"> network </w:t>
      </w:r>
      <w:r>
        <w:rPr>
          <w:color w:val="000000"/>
        </w:rPr>
        <w:t xml:space="preserve">have </w:t>
      </w:r>
      <w:r w:rsidR="009A6568">
        <w:rPr>
          <w:color w:val="000000"/>
        </w:rPr>
        <w:t xml:space="preserve">had </w:t>
      </w:r>
      <w:r>
        <w:rPr>
          <w:color w:val="000000"/>
        </w:rPr>
        <w:t xml:space="preserve">declining academic results, decreased enrollment levels, and financial instability. </w:t>
      </w:r>
      <w:r w:rsidR="00DF3163">
        <w:rPr>
          <w:color w:val="000000"/>
        </w:rPr>
        <w:t xml:space="preserve">During the current school year, acute fiscal concerns triggered the board of trustees to take </w:t>
      </w:r>
      <w:proofErr w:type="gramStart"/>
      <w:r w:rsidR="00DF3163">
        <w:rPr>
          <w:color w:val="000000"/>
        </w:rPr>
        <w:t>a number of</w:t>
      </w:r>
      <w:proofErr w:type="gramEnd"/>
      <w:r w:rsidR="00DF3163">
        <w:rPr>
          <w:color w:val="000000"/>
        </w:rPr>
        <w:t xml:space="preserve"> </w:t>
      </w:r>
      <w:r w:rsidR="00DB7486">
        <w:rPr>
          <w:color w:val="000000"/>
        </w:rPr>
        <w:t>significant</w:t>
      </w:r>
      <w:r w:rsidR="00DF3163">
        <w:rPr>
          <w:color w:val="000000"/>
        </w:rPr>
        <w:t xml:space="preserve"> measures. </w:t>
      </w:r>
      <w:r>
        <w:rPr>
          <w:color w:val="000000"/>
        </w:rPr>
        <w:t xml:space="preserve">On November 25, 2019, the board of trustees voted </w:t>
      </w:r>
      <w:r w:rsidR="000F23BB">
        <w:rPr>
          <w:color w:val="000000"/>
        </w:rPr>
        <w:t xml:space="preserve">to </w:t>
      </w:r>
      <w:r>
        <w:rPr>
          <w:color w:val="000000"/>
        </w:rPr>
        <w:t xml:space="preserve">surrender the </w:t>
      </w:r>
      <w:proofErr w:type="spellStart"/>
      <w:r>
        <w:rPr>
          <w:color w:val="000000"/>
        </w:rPr>
        <w:t>CoaH</w:t>
      </w:r>
      <w:proofErr w:type="spellEnd"/>
      <w:r>
        <w:rPr>
          <w:color w:val="000000"/>
        </w:rPr>
        <w:t xml:space="preserve"> NB charter, effective June 30, 2020. </w:t>
      </w:r>
      <w:r w:rsidR="005669E6">
        <w:rPr>
          <w:color w:val="000000"/>
        </w:rPr>
        <w:t xml:space="preserve">The board of trustees stated that </w:t>
      </w:r>
      <w:proofErr w:type="spellStart"/>
      <w:r w:rsidR="005669E6">
        <w:rPr>
          <w:color w:val="000000"/>
        </w:rPr>
        <w:t>CoaH</w:t>
      </w:r>
      <w:proofErr w:type="spellEnd"/>
      <w:r w:rsidR="005669E6">
        <w:rPr>
          <w:color w:val="000000"/>
        </w:rPr>
        <w:t xml:space="preserve"> NB had been unable to attract enrollment </w:t>
      </w:r>
      <w:proofErr w:type="gramStart"/>
      <w:r w:rsidR="005669E6">
        <w:rPr>
          <w:color w:val="000000"/>
        </w:rPr>
        <w:t>sufficient</w:t>
      </w:r>
      <w:proofErr w:type="gramEnd"/>
      <w:r w:rsidR="005669E6">
        <w:rPr>
          <w:color w:val="000000"/>
        </w:rPr>
        <w:t xml:space="preserve"> to maintain financial viability and the school had not made progress on its probationary </w:t>
      </w:r>
      <w:r w:rsidR="005669E6">
        <w:rPr>
          <w:color w:val="000000"/>
        </w:rPr>
        <w:lastRenderedPageBreak/>
        <w:t xml:space="preserve">conditions. </w:t>
      </w:r>
      <w:r>
        <w:rPr>
          <w:color w:val="000000"/>
        </w:rPr>
        <w:t xml:space="preserve">This Board voted to accept the surrender of the </w:t>
      </w:r>
      <w:proofErr w:type="spellStart"/>
      <w:r>
        <w:rPr>
          <w:color w:val="000000"/>
        </w:rPr>
        <w:t>CoaH</w:t>
      </w:r>
      <w:proofErr w:type="spellEnd"/>
      <w:r>
        <w:rPr>
          <w:color w:val="000000"/>
        </w:rPr>
        <w:t xml:space="preserve"> NB charter on January 28, 2020. </w:t>
      </w:r>
      <w:r w:rsidR="005669E6">
        <w:t>Additionally, in order to address financial concerns,</w:t>
      </w:r>
      <w:r>
        <w:t xml:space="preserve"> on November 25, 2019, the board of trustees voted </w:t>
      </w:r>
      <w:r w:rsidR="005669E6">
        <w:t>to lay</w:t>
      </w:r>
      <w:r w:rsidR="004B22C9">
        <w:t xml:space="preserve"> </w:t>
      </w:r>
      <w:r w:rsidR="005669E6">
        <w:t xml:space="preserve">off staff and </w:t>
      </w:r>
      <w:r>
        <w:t>to change the configuration of the two charter schools in Boston</w:t>
      </w:r>
      <w:r w:rsidR="00DF3163">
        <w:t xml:space="preserve"> to co</w:t>
      </w:r>
      <w:r w:rsidR="00E87E0C">
        <w:t>-</w:t>
      </w:r>
      <w:r w:rsidR="00DF3163">
        <w:t>locate the two schools</w:t>
      </w:r>
      <w:r w:rsidR="009A6568">
        <w:t>,</w:t>
      </w:r>
      <w:r w:rsidR="00DF3163">
        <w:t xml:space="preserve"> </w:t>
      </w:r>
      <w:proofErr w:type="spellStart"/>
      <w:r w:rsidR="00DF3163">
        <w:t>CoaH</w:t>
      </w:r>
      <w:proofErr w:type="spellEnd"/>
      <w:r w:rsidR="00DF3163">
        <w:t xml:space="preserve"> CS and </w:t>
      </w:r>
      <w:proofErr w:type="spellStart"/>
      <w:r w:rsidR="00DF3163">
        <w:t>CoaH</w:t>
      </w:r>
      <w:proofErr w:type="spellEnd"/>
      <w:r w:rsidR="00DF3163">
        <w:t xml:space="preserve"> DS</w:t>
      </w:r>
      <w:r w:rsidR="009A6568">
        <w:t>,</w:t>
      </w:r>
      <w:r w:rsidR="00DF3163">
        <w:t xml:space="preserve"> as of January 2020</w:t>
      </w:r>
      <w:r>
        <w:t>.</w:t>
      </w:r>
      <w:r>
        <w:rPr>
          <w:rStyle w:val="FootnoteReference"/>
          <w:vertAlign w:val="superscript"/>
        </w:rPr>
        <w:footnoteReference w:id="4"/>
      </w:r>
      <w:r>
        <w:t xml:space="preserve"> </w:t>
      </w:r>
      <w:r w:rsidR="005669E6" w:rsidRPr="005669E6">
        <w:rPr>
          <w:rFonts w:cstheme="minorHAnsi"/>
          <w:szCs w:val="22"/>
        </w:rPr>
        <w:t xml:space="preserve">As of January, </w:t>
      </w:r>
      <w:r w:rsidR="00DF3163">
        <w:rPr>
          <w:rFonts w:cstheme="minorHAnsi"/>
          <w:szCs w:val="22"/>
        </w:rPr>
        <w:t xml:space="preserve">grade 9 and 10 </w:t>
      </w:r>
      <w:r w:rsidR="005669E6" w:rsidRPr="005669E6">
        <w:rPr>
          <w:rFonts w:cstheme="minorHAnsi"/>
          <w:szCs w:val="22"/>
        </w:rPr>
        <w:t xml:space="preserve">students </w:t>
      </w:r>
      <w:r w:rsidR="00DF3163">
        <w:rPr>
          <w:rFonts w:cstheme="minorHAnsi"/>
          <w:szCs w:val="22"/>
        </w:rPr>
        <w:t xml:space="preserve">from both </w:t>
      </w:r>
      <w:r w:rsidR="009A6568">
        <w:rPr>
          <w:rFonts w:cstheme="minorHAnsi"/>
          <w:szCs w:val="22"/>
        </w:rPr>
        <w:t xml:space="preserve">Boston </w:t>
      </w:r>
      <w:r w:rsidR="00DF3163">
        <w:rPr>
          <w:rFonts w:cstheme="minorHAnsi"/>
          <w:szCs w:val="22"/>
        </w:rPr>
        <w:t xml:space="preserve">schools </w:t>
      </w:r>
      <w:r w:rsidR="00F97B69">
        <w:rPr>
          <w:rFonts w:cstheme="minorHAnsi"/>
          <w:szCs w:val="22"/>
        </w:rPr>
        <w:t xml:space="preserve">are being educated in </w:t>
      </w:r>
      <w:r w:rsidR="005669E6" w:rsidRPr="005669E6">
        <w:rPr>
          <w:rFonts w:cstheme="minorHAnsi"/>
          <w:szCs w:val="22"/>
        </w:rPr>
        <w:t xml:space="preserve">the </w:t>
      </w:r>
      <w:proofErr w:type="spellStart"/>
      <w:r w:rsidR="005669E6" w:rsidRPr="005669E6">
        <w:rPr>
          <w:rFonts w:cstheme="minorHAnsi"/>
          <w:szCs w:val="22"/>
        </w:rPr>
        <w:t>CoaH</w:t>
      </w:r>
      <w:proofErr w:type="spellEnd"/>
      <w:r w:rsidR="005669E6" w:rsidRPr="005669E6">
        <w:rPr>
          <w:rFonts w:cstheme="minorHAnsi"/>
          <w:szCs w:val="22"/>
        </w:rPr>
        <w:t xml:space="preserve"> CS building</w:t>
      </w:r>
      <w:r w:rsidR="009A6568">
        <w:rPr>
          <w:rFonts w:cstheme="minorHAnsi"/>
          <w:szCs w:val="22"/>
        </w:rPr>
        <w:t>,</w:t>
      </w:r>
      <w:r w:rsidR="005669E6" w:rsidRPr="005669E6">
        <w:rPr>
          <w:rFonts w:cstheme="minorHAnsi"/>
          <w:szCs w:val="22"/>
        </w:rPr>
        <w:t xml:space="preserve"> and </w:t>
      </w:r>
      <w:r w:rsidR="00DF3163">
        <w:rPr>
          <w:rFonts w:cstheme="minorHAnsi"/>
          <w:szCs w:val="22"/>
        </w:rPr>
        <w:t xml:space="preserve">grade 11 and 12 </w:t>
      </w:r>
      <w:r w:rsidR="005669E6" w:rsidRPr="005669E6">
        <w:rPr>
          <w:rFonts w:cstheme="minorHAnsi"/>
          <w:szCs w:val="22"/>
        </w:rPr>
        <w:t xml:space="preserve">students </w:t>
      </w:r>
      <w:r w:rsidR="00F97B69">
        <w:rPr>
          <w:rFonts w:cstheme="minorHAnsi"/>
          <w:szCs w:val="22"/>
        </w:rPr>
        <w:t xml:space="preserve">are being educated in </w:t>
      </w:r>
      <w:r w:rsidR="005669E6" w:rsidRPr="005669E6">
        <w:rPr>
          <w:rFonts w:cstheme="minorHAnsi"/>
          <w:szCs w:val="22"/>
        </w:rPr>
        <w:t xml:space="preserve">the </w:t>
      </w:r>
      <w:proofErr w:type="spellStart"/>
      <w:r w:rsidR="005669E6" w:rsidRPr="005669E6">
        <w:rPr>
          <w:rFonts w:cstheme="minorHAnsi"/>
          <w:szCs w:val="22"/>
        </w:rPr>
        <w:t>CoaH</w:t>
      </w:r>
      <w:proofErr w:type="spellEnd"/>
      <w:r w:rsidR="005669E6" w:rsidRPr="005669E6">
        <w:rPr>
          <w:rFonts w:cstheme="minorHAnsi"/>
          <w:szCs w:val="22"/>
        </w:rPr>
        <w:t xml:space="preserve"> DS building. </w:t>
      </w:r>
      <w:r w:rsidR="00B278D5">
        <w:rPr>
          <w:rFonts w:cstheme="minorHAnsi"/>
          <w:szCs w:val="22"/>
        </w:rPr>
        <w:t>Moreover</w:t>
      </w:r>
      <w:r w:rsidR="000F665F">
        <w:rPr>
          <w:rFonts w:cstheme="minorHAnsi"/>
          <w:szCs w:val="22"/>
        </w:rPr>
        <w:t xml:space="preserve">, </w:t>
      </w:r>
      <w:r w:rsidR="0022201E">
        <w:rPr>
          <w:rFonts w:cstheme="minorHAnsi"/>
          <w:szCs w:val="22"/>
        </w:rPr>
        <w:t xml:space="preserve">in October 2019, </w:t>
      </w:r>
      <w:r w:rsidR="000F665F">
        <w:rPr>
          <w:rFonts w:cstheme="minorHAnsi"/>
          <w:szCs w:val="22"/>
        </w:rPr>
        <w:t xml:space="preserve">the </w:t>
      </w:r>
      <w:r w:rsidR="00FA0C21">
        <w:rPr>
          <w:rFonts w:cstheme="minorHAnsi"/>
          <w:szCs w:val="22"/>
        </w:rPr>
        <w:t xml:space="preserve">board of trustees revised </w:t>
      </w:r>
      <w:r w:rsidR="00B278D5">
        <w:rPr>
          <w:rFonts w:cstheme="minorHAnsi"/>
          <w:szCs w:val="22"/>
        </w:rPr>
        <w:t xml:space="preserve">and received approval of </w:t>
      </w:r>
      <w:r w:rsidR="00FA0C21">
        <w:rPr>
          <w:rFonts w:cstheme="minorHAnsi"/>
          <w:szCs w:val="22"/>
        </w:rPr>
        <w:t xml:space="preserve">the schools’ </w:t>
      </w:r>
      <w:r w:rsidR="000F665F">
        <w:rPr>
          <w:rFonts w:cstheme="minorHAnsi"/>
          <w:szCs w:val="22"/>
        </w:rPr>
        <w:t>enrollment policies</w:t>
      </w:r>
      <w:r w:rsidR="00B278D5">
        <w:rPr>
          <w:rFonts w:cstheme="minorHAnsi"/>
          <w:szCs w:val="22"/>
        </w:rPr>
        <w:t>; the school</w:t>
      </w:r>
      <w:r w:rsidR="001E1512">
        <w:rPr>
          <w:rFonts w:cstheme="minorHAnsi"/>
          <w:szCs w:val="22"/>
        </w:rPr>
        <w:t xml:space="preserve"> </w:t>
      </w:r>
      <w:r w:rsidR="00B278D5">
        <w:rPr>
          <w:rFonts w:cstheme="minorHAnsi"/>
          <w:szCs w:val="22"/>
        </w:rPr>
        <w:t xml:space="preserve">now </w:t>
      </w:r>
      <w:r w:rsidR="0022201E">
        <w:rPr>
          <w:rFonts w:cstheme="minorHAnsi"/>
          <w:szCs w:val="22"/>
        </w:rPr>
        <w:t>admit</w:t>
      </w:r>
      <w:r w:rsidR="00B278D5">
        <w:rPr>
          <w:rFonts w:cstheme="minorHAnsi"/>
          <w:szCs w:val="22"/>
        </w:rPr>
        <w:t>s</w:t>
      </w:r>
      <w:r w:rsidR="0022201E">
        <w:rPr>
          <w:rFonts w:cstheme="minorHAnsi"/>
          <w:szCs w:val="22"/>
        </w:rPr>
        <w:t xml:space="preserve"> new students through grade 10, creating another potential access point for new students</w:t>
      </w:r>
      <w:r w:rsidR="000F665F">
        <w:rPr>
          <w:rFonts w:cstheme="minorHAnsi"/>
          <w:szCs w:val="22"/>
        </w:rPr>
        <w:t xml:space="preserve">.  </w:t>
      </w:r>
    </w:p>
    <w:p w14:paraId="76E0703F" w14:textId="137F0C42" w:rsidR="005669E6" w:rsidRDefault="005669E6" w:rsidP="00C60519">
      <w:pPr>
        <w:widowControl/>
        <w:autoSpaceDE w:val="0"/>
        <w:autoSpaceDN w:val="0"/>
        <w:adjustRightInd w:val="0"/>
      </w:pPr>
    </w:p>
    <w:p w14:paraId="7B4DC8E8" w14:textId="0526B337" w:rsidR="005669E6" w:rsidRPr="00DF3163" w:rsidRDefault="005669E6" w:rsidP="00BA06B6">
      <w:pPr>
        <w:widowControl/>
        <w:rPr>
          <w:rFonts w:cstheme="minorHAnsi"/>
          <w:b/>
          <w:szCs w:val="22"/>
        </w:rPr>
      </w:pPr>
      <w:r w:rsidRPr="00DF3163">
        <w:rPr>
          <w:color w:val="000000"/>
          <w:szCs w:val="24"/>
        </w:rPr>
        <w:t xml:space="preserve">Prior to the </w:t>
      </w:r>
      <w:r w:rsidR="00DF3163">
        <w:rPr>
          <w:color w:val="000000"/>
          <w:szCs w:val="24"/>
        </w:rPr>
        <w:t>network</w:t>
      </w:r>
      <w:r w:rsidR="004B22C9">
        <w:rPr>
          <w:color w:val="000000"/>
          <w:szCs w:val="24"/>
        </w:rPr>
        <w:t>-</w:t>
      </w:r>
      <w:r w:rsidR="00DF3163">
        <w:rPr>
          <w:color w:val="000000"/>
          <w:szCs w:val="24"/>
        </w:rPr>
        <w:t xml:space="preserve">wide layoffs that went into effect in January, </w:t>
      </w:r>
      <w:proofErr w:type="spellStart"/>
      <w:r w:rsidR="00DF3163">
        <w:rPr>
          <w:color w:val="000000"/>
          <w:szCs w:val="24"/>
        </w:rPr>
        <w:t>CoaH</w:t>
      </w:r>
      <w:proofErr w:type="spellEnd"/>
      <w:r w:rsidR="00DF3163">
        <w:rPr>
          <w:color w:val="000000"/>
          <w:szCs w:val="24"/>
        </w:rPr>
        <w:t xml:space="preserve"> CS experienced turnover </w:t>
      </w:r>
      <w:r w:rsidR="00F97B69">
        <w:rPr>
          <w:color w:val="000000"/>
          <w:szCs w:val="24"/>
        </w:rPr>
        <w:t xml:space="preserve">in </w:t>
      </w:r>
      <w:r w:rsidRPr="00DF3163">
        <w:rPr>
          <w:rFonts w:cstheme="minorHAnsi"/>
          <w:szCs w:val="22"/>
        </w:rPr>
        <w:t>school</w:t>
      </w:r>
      <w:r w:rsidR="00F97B69">
        <w:rPr>
          <w:rFonts w:cstheme="minorHAnsi"/>
          <w:szCs w:val="22"/>
        </w:rPr>
        <w:t xml:space="preserve"> leadership</w:t>
      </w:r>
      <w:r w:rsidR="00DF3163">
        <w:rPr>
          <w:rFonts w:cstheme="minorHAnsi"/>
          <w:szCs w:val="22"/>
        </w:rPr>
        <w:t>.</w:t>
      </w:r>
      <w:r w:rsidRPr="00DF3163">
        <w:rPr>
          <w:rFonts w:cstheme="minorHAnsi"/>
          <w:szCs w:val="22"/>
        </w:rPr>
        <w:t xml:space="preserve"> </w:t>
      </w:r>
      <w:proofErr w:type="spellStart"/>
      <w:r w:rsidR="00DF3163">
        <w:rPr>
          <w:rFonts w:cstheme="minorHAnsi"/>
          <w:szCs w:val="22"/>
        </w:rPr>
        <w:t>CoaH</w:t>
      </w:r>
      <w:proofErr w:type="spellEnd"/>
      <w:r w:rsidR="00DF3163">
        <w:rPr>
          <w:rFonts w:cstheme="minorHAnsi"/>
          <w:szCs w:val="22"/>
        </w:rPr>
        <w:t xml:space="preserve"> CS has employed four principals </w:t>
      </w:r>
      <w:r w:rsidR="0046668F">
        <w:rPr>
          <w:rFonts w:cstheme="minorHAnsi"/>
          <w:szCs w:val="22"/>
        </w:rPr>
        <w:t xml:space="preserve">and three vice-principals </w:t>
      </w:r>
      <w:r w:rsidR="00DF3163">
        <w:rPr>
          <w:rFonts w:cstheme="minorHAnsi"/>
          <w:szCs w:val="22"/>
        </w:rPr>
        <w:t xml:space="preserve">during the charter term. Most recently, as part of the layoffs, </w:t>
      </w:r>
      <w:proofErr w:type="spellStart"/>
      <w:r w:rsidRPr="00DF3163">
        <w:rPr>
          <w:rFonts w:cstheme="minorHAnsi"/>
          <w:szCs w:val="22"/>
        </w:rPr>
        <w:t>CoaH</w:t>
      </w:r>
      <w:proofErr w:type="spellEnd"/>
      <w:r w:rsidRPr="00DF3163">
        <w:rPr>
          <w:rFonts w:cstheme="minorHAnsi"/>
          <w:szCs w:val="22"/>
        </w:rPr>
        <w:t xml:space="preserve"> CS’s principal was replaced in December 2019</w:t>
      </w:r>
      <w:r w:rsidR="00DF3163">
        <w:rPr>
          <w:rFonts w:cstheme="minorHAnsi"/>
          <w:szCs w:val="22"/>
        </w:rPr>
        <w:t xml:space="preserve"> by </w:t>
      </w:r>
      <w:r w:rsidR="00DF3163" w:rsidRPr="00DF3163">
        <w:rPr>
          <w:color w:val="000000"/>
        </w:rPr>
        <w:t xml:space="preserve">the network’s chief </w:t>
      </w:r>
      <w:proofErr w:type="gramStart"/>
      <w:r w:rsidR="00DF3163" w:rsidRPr="00DF3163">
        <w:rPr>
          <w:color w:val="000000"/>
        </w:rPr>
        <w:t>schools</w:t>
      </w:r>
      <w:proofErr w:type="gramEnd"/>
      <w:r w:rsidR="00DF3163" w:rsidRPr="00DF3163">
        <w:rPr>
          <w:color w:val="000000"/>
        </w:rPr>
        <w:t xml:space="preserve"> officer, who is now serving as principal of both </w:t>
      </w:r>
      <w:proofErr w:type="spellStart"/>
      <w:r w:rsidR="00DF3163" w:rsidRPr="00DF3163">
        <w:rPr>
          <w:color w:val="000000"/>
        </w:rPr>
        <w:t>CoaH</w:t>
      </w:r>
      <w:proofErr w:type="spellEnd"/>
      <w:r w:rsidR="00DF3163" w:rsidRPr="00DF3163">
        <w:rPr>
          <w:color w:val="000000"/>
        </w:rPr>
        <w:t xml:space="preserve"> Boston </w:t>
      </w:r>
      <w:r w:rsidR="00F97B69">
        <w:rPr>
          <w:color w:val="000000"/>
        </w:rPr>
        <w:t>s</w:t>
      </w:r>
      <w:r w:rsidR="00DF3163" w:rsidRPr="00DF3163">
        <w:rPr>
          <w:color w:val="000000"/>
        </w:rPr>
        <w:t>chools</w:t>
      </w:r>
      <w:r w:rsidRPr="00DF3163">
        <w:rPr>
          <w:rFonts w:cstheme="minorHAnsi"/>
          <w:szCs w:val="22"/>
        </w:rPr>
        <w:t xml:space="preserve">.  </w:t>
      </w:r>
    </w:p>
    <w:p w14:paraId="491492C5" w14:textId="77777777" w:rsidR="005669E6" w:rsidRDefault="005669E6" w:rsidP="00C60519">
      <w:pPr>
        <w:widowControl/>
        <w:autoSpaceDE w:val="0"/>
        <w:autoSpaceDN w:val="0"/>
        <w:adjustRightInd w:val="0"/>
        <w:rPr>
          <w:szCs w:val="24"/>
        </w:rPr>
      </w:pPr>
    </w:p>
    <w:p w14:paraId="14683E44" w14:textId="358158BC" w:rsidR="00706A82" w:rsidRDefault="00603B61" w:rsidP="00C60519">
      <w:pPr>
        <w:widowControl/>
        <w:autoSpaceDE w:val="0"/>
        <w:autoSpaceDN w:val="0"/>
        <w:adjustRightInd w:val="0"/>
        <w:rPr>
          <w:color w:val="000000"/>
          <w:szCs w:val="24"/>
        </w:rPr>
      </w:pPr>
      <w:r>
        <w:t xml:space="preserve">On January 27, </w:t>
      </w:r>
      <w:r w:rsidRPr="00603B61">
        <w:rPr>
          <w:szCs w:val="24"/>
        </w:rPr>
        <w:t xml:space="preserve">2020, the board of trustees submitted a consolidation request that, if granted, would </w:t>
      </w:r>
      <w:r w:rsidRPr="00603B61">
        <w:rPr>
          <w:color w:val="000000"/>
          <w:szCs w:val="24"/>
        </w:rPr>
        <w:t xml:space="preserve">permit the two </w:t>
      </w:r>
      <w:r w:rsidR="009A6568">
        <w:rPr>
          <w:color w:val="000000"/>
          <w:szCs w:val="24"/>
        </w:rPr>
        <w:t>remaining</w:t>
      </w:r>
      <w:r w:rsidR="009A6568" w:rsidRPr="00603B61">
        <w:rPr>
          <w:color w:val="000000"/>
          <w:szCs w:val="24"/>
        </w:rPr>
        <w:t xml:space="preserve"> </w:t>
      </w:r>
      <w:r w:rsidRPr="00603B61">
        <w:rPr>
          <w:color w:val="000000"/>
          <w:szCs w:val="24"/>
        </w:rPr>
        <w:t xml:space="preserve">charter schools within </w:t>
      </w:r>
      <w:r w:rsidR="004B22C9">
        <w:rPr>
          <w:color w:val="000000"/>
          <w:szCs w:val="24"/>
        </w:rPr>
        <w:t>the</w:t>
      </w:r>
      <w:r w:rsidRPr="00603B61">
        <w:rPr>
          <w:color w:val="000000"/>
          <w:szCs w:val="24"/>
        </w:rPr>
        <w:t xml:space="preserve"> network to operate as a single school under a single charter.</w:t>
      </w:r>
      <w:r w:rsidR="00453296">
        <w:rPr>
          <w:color w:val="000000"/>
          <w:szCs w:val="24"/>
        </w:rPr>
        <w:t xml:space="preserve"> The consolidated charter would be known as City on a Hill Charter Public School.</w:t>
      </w:r>
    </w:p>
    <w:p w14:paraId="140A4450" w14:textId="77777777" w:rsidR="00B3714B" w:rsidRPr="00122B09" w:rsidRDefault="00B3714B" w:rsidP="00C60519">
      <w:pPr>
        <w:widowControl/>
        <w:rPr>
          <w:b/>
          <w:u w:val="single"/>
        </w:rPr>
      </w:pPr>
    </w:p>
    <w:p w14:paraId="31D72AC1" w14:textId="77777777" w:rsidR="00D0217C" w:rsidRPr="00122B09" w:rsidRDefault="00D0217C" w:rsidP="00C60519">
      <w:pPr>
        <w:widowControl/>
        <w:rPr>
          <w:b/>
          <w:u w:val="single"/>
        </w:rPr>
      </w:pPr>
      <w:r w:rsidRPr="00122B09">
        <w:rPr>
          <w:b/>
          <w:u w:val="single"/>
        </w:rPr>
        <w:t>Basis of Recommendations Regarding the Renewal of Charters</w:t>
      </w:r>
    </w:p>
    <w:p w14:paraId="268FF4EC" w14:textId="77777777" w:rsidR="00D0217C" w:rsidRPr="00122B09" w:rsidRDefault="00D0217C" w:rsidP="00C60519">
      <w:pPr>
        <w:widowControl/>
      </w:pPr>
    </w:p>
    <w:p w14:paraId="7BB3CE28" w14:textId="77777777" w:rsidR="00D0217C" w:rsidRPr="00122B09" w:rsidRDefault="00D0217C" w:rsidP="00C60519">
      <w:pPr>
        <w:widowControl/>
        <w:rPr>
          <w:szCs w:val="24"/>
        </w:rPr>
      </w:pPr>
      <w:r w:rsidRPr="00122B09">
        <w:t xml:space="preserve">The charter school regulations state that “[t]he decision by the </w:t>
      </w:r>
      <w:r w:rsidRPr="00122B09">
        <w:rPr>
          <w:szCs w:val="24"/>
        </w:rPr>
        <w:t xml:space="preserve">Board to renew a charter shall be based upon the presentation of affirmative evidence regarding the success of the school’s academic program; the viability of the school as an organization, </w:t>
      </w:r>
      <w:r w:rsidRPr="00122B09">
        <w:t>including the extent to which the school has followed its recruitment and retention plan</w:t>
      </w:r>
      <w:r w:rsidRPr="00122B09">
        <w:rPr>
          <w:szCs w:val="24"/>
        </w:rPr>
        <w:t xml:space="preserve">; and the faithfulness of the school to the terms of its charter.” 603 CMR 1.11(2). Consistent with the regulations, recommendations regarding renewal are based upon the Department of Elementary and Secondary Education’s (Department) evaluation of the school’s performance in these areas as outlined in the </w:t>
      </w:r>
      <w:hyperlink r:id="rId14" w:history="1">
        <w:r w:rsidRPr="00122B09">
          <w:rPr>
            <w:rStyle w:val="Hyperlink"/>
            <w:szCs w:val="24"/>
          </w:rPr>
          <w:t>Charter School Performance Criteria</w:t>
        </w:r>
      </w:hyperlink>
      <w:r w:rsidRPr="00122B09">
        <w:rPr>
          <w:szCs w:val="24"/>
        </w:rPr>
        <w:t xml:space="preserve"> and </w:t>
      </w:r>
      <w:r>
        <w:t>the</w:t>
      </w:r>
      <w:r w:rsidRPr="00122B09">
        <w:t xml:space="preserve"> memorandum dated October 7, 2013, regarding </w:t>
      </w:r>
      <w:hyperlink r:id="rId15" w:history="1">
        <w:r w:rsidRPr="00122B09">
          <w:rPr>
            <w:rStyle w:val="Hyperlink"/>
            <w:szCs w:val="24"/>
          </w:rPr>
          <w:t>Considerations for Charter School Renewal</w:t>
        </w:r>
      </w:hyperlink>
      <w:r w:rsidRPr="00122B09">
        <w:rPr>
          <w:szCs w:val="24"/>
        </w:rPr>
        <w:t>.</w:t>
      </w:r>
      <w:r w:rsidRPr="00122B09">
        <w:t xml:space="preserve"> I</w:t>
      </w:r>
      <w:r w:rsidRPr="00122B09">
        <w:rPr>
          <w:szCs w:val="24"/>
        </w:rPr>
        <w:t>n its review, the Department has considered the school’s absolute performance at the time of the application for renewal and the progress the school has made during the past four years of its charter. The accountability process for charter schools recognizes that in exchange for increased freedom, a school must demonstrate results within the term of its five-year charter or risk non-renewal or other possible sanctions, including revocation.</w:t>
      </w:r>
    </w:p>
    <w:p w14:paraId="3BF8DF39" w14:textId="77777777" w:rsidR="00D0217C" w:rsidRPr="00122B09" w:rsidRDefault="00D0217C" w:rsidP="00C60519">
      <w:pPr>
        <w:widowControl/>
        <w:rPr>
          <w:szCs w:val="24"/>
        </w:rPr>
      </w:pPr>
    </w:p>
    <w:p w14:paraId="55986FF0" w14:textId="3F809A21" w:rsidR="00D0217C" w:rsidRPr="00122B09" w:rsidRDefault="00D0217C" w:rsidP="00C60519">
      <w:pPr>
        <w:pStyle w:val="BodyText2"/>
        <w:widowControl/>
        <w:rPr>
          <w:i w:val="0"/>
          <w:iCs w:val="0"/>
          <w:szCs w:val="24"/>
        </w:rPr>
      </w:pPr>
      <w:r w:rsidRPr="00122B09">
        <w:rPr>
          <w:i w:val="0"/>
          <w:iCs w:val="0"/>
          <w:szCs w:val="24"/>
        </w:rPr>
        <w:t>The superintendent</w:t>
      </w:r>
      <w:r>
        <w:rPr>
          <w:i w:val="0"/>
          <w:iCs w:val="0"/>
          <w:szCs w:val="24"/>
        </w:rPr>
        <w:t xml:space="preserve"> of the </w:t>
      </w:r>
      <w:proofErr w:type="gramStart"/>
      <w:r>
        <w:rPr>
          <w:i w:val="0"/>
          <w:iCs w:val="0"/>
          <w:szCs w:val="24"/>
        </w:rPr>
        <w:t>public school</w:t>
      </w:r>
      <w:proofErr w:type="gramEnd"/>
      <w:r>
        <w:rPr>
          <w:i w:val="0"/>
          <w:iCs w:val="0"/>
          <w:szCs w:val="24"/>
        </w:rPr>
        <w:t xml:space="preserve"> district</w:t>
      </w:r>
      <w:r w:rsidR="00D4366A">
        <w:rPr>
          <w:i w:val="0"/>
          <w:iCs w:val="0"/>
          <w:szCs w:val="24"/>
        </w:rPr>
        <w:t xml:space="preserve"> served by </w:t>
      </w:r>
      <w:proofErr w:type="spellStart"/>
      <w:r w:rsidR="00D4366A">
        <w:rPr>
          <w:i w:val="0"/>
          <w:iCs w:val="0"/>
          <w:szCs w:val="24"/>
        </w:rPr>
        <w:t>CoaH</w:t>
      </w:r>
      <w:proofErr w:type="spellEnd"/>
      <w:r w:rsidR="00D4366A">
        <w:rPr>
          <w:i w:val="0"/>
          <w:iCs w:val="0"/>
          <w:szCs w:val="24"/>
        </w:rPr>
        <w:t xml:space="preserve"> CS</w:t>
      </w:r>
      <w:r w:rsidR="009A6568">
        <w:rPr>
          <w:i w:val="0"/>
          <w:iCs w:val="0"/>
          <w:szCs w:val="24"/>
        </w:rPr>
        <w:t>, Boston Public Schools,</w:t>
      </w:r>
      <w:r w:rsidRPr="00122B09">
        <w:rPr>
          <w:i w:val="0"/>
          <w:iCs w:val="0"/>
          <w:szCs w:val="24"/>
        </w:rPr>
        <w:t xml:space="preserve"> </w:t>
      </w:r>
      <w:r>
        <w:rPr>
          <w:i w:val="0"/>
          <w:iCs w:val="0"/>
          <w:szCs w:val="24"/>
        </w:rPr>
        <w:t>was</w:t>
      </w:r>
      <w:r w:rsidRPr="00122B09">
        <w:rPr>
          <w:i w:val="0"/>
          <w:iCs w:val="0"/>
          <w:szCs w:val="24"/>
        </w:rPr>
        <w:t xml:space="preserve"> invited to submit written </w:t>
      </w:r>
      <w:r w:rsidRPr="0046668F">
        <w:rPr>
          <w:i w:val="0"/>
        </w:rPr>
        <w:t xml:space="preserve">comment to the Department regarding the renewal of the school’s charter. </w:t>
      </w:r>
      <w:r w:rsidR="0046668F" w:rsidRPr="0046668F">
        <w:rPr>
          <w:i w:val="0"/>
        </w:rPr>
        <w:t xml:space="preserve">No comment was received. The Department received written comment from the Education Law Task Force expressing concern about suspension rates at the school. </w:t>
      </w:r>
      <w:r w:rsidR="00914699">
        <w:rPr>
          <w:i w:val="0"/>
        </w:rPr>
        <w:t xml:space="preserve">The Board </w:t>
      </w:r>
      <w:r w:rsidR="00914699">
        <w:rPr>
          <w:i w:val="0"/>
        </w:rPr>
        <w:lastRenderedPageBreak/>
        <w:t>also heard from a representative of the Education Law Task Force</w:t>
      </w:r>
      <w:r w:rsidR="00161369" w:rsidRPr="00BA06B6">
        <w:rPr>
          <w:rStyle w:val="FootnoteReference"/>
          <w:i w:val="0"/>
          <w:vertAlign w:val="superscript"/>
        </w:rPr>
        <w:footnoteReference w:id="5"/>
      </w:r>
      <w:r w:rsidR="00914699">
        <w:rPr>
          <w:i w:val="0"/>
        </w:rPr>
        <w:t xml:space="preserve"> during the public comment period at the January </w:t>
      </w:r>
      <w:r w:rsidR="00F97B69">
        <w:rPr>
          <w:i w:val="0"/>
        </w:rPr>
        <w:t xml:space="preserve">2020 </w:t>
      </w:r>
      <w:r w:rsidR="00914699">
        <w:rPr>
          <w:i w:val="0"/>
        </w:rPr>
        <w:t xml:space="preserve">Board meeting. </w:t>
      </w:r>
    </w:p>
    <w:p w14:paraId="540B290C" w14:textId="77777777" w:rsidR="00D0217C" w:rsidRPr="00122B09" w:rsidRDefault="00D0217C" w:rsidP="00C60519">
      <w:pPr>
        <w:pStyle w:val="BodyText2"/>
        <w:widowControl/>
        <w:rPr>
          <w:i w:val="0"/>
          <w:iCs w:val="0"/>
          <w:szCs w:val="24"/>
        </w:rPr>
      </w:pPr>
    </w:p>
    <w:p w14:paraId="4B32898D" w14:textId="1B3B5453" w:rsidR="00D0217C" w:rsidRPr="00122B09" w:rsidRDefault="00D0217C" w:rsidP="00C60519">
      <w:pPr>
        <w:pStyle w:val="BodyText2"/>
        <w:widowControl/>
        <w:rPr>
          <w:b/>
          <w:i w:val="0"/>
          <w:iCs w:val="0"/>
          <w:szCs w:val="24"/>
          <w:u w:val="single"/>
        </w:rPr>
      </w:pPr>
      <w:r w:rsidRPr="00122B09">
        <w:rPr>
          <w:b/>
          <w:i w:val="0"/>
          <w:iCs w:val="0"/>
          <w:szCs w:val="24"/>
          <w:u w:val="single"/>
        </w:rPr>
        <w:t xml:space="preserve">Recommendation </w:t>
      </w:r>
      <w:r w:rsidR="001E21C3">
        <w:rPr>
          <w:b/>
          <w:i w:val="0"/>
          <w:iCs w:val="0"/>
          <w:szCs w:val="24"/>
          <w:u w:val="single"/>
        </w:rPr>
        <w:t>for Charter Renewal</w:t>
      </w:r>
      <w:r w:rsidR="00A16ABD">
        <w:rPr>
          <w:b/>
          <w:i w:val="0"/>
          <w:iCs w:val="0"/>
          <w:szCs w:val="24"/>
          <w:u w:val="single"/>
        </w:rPr>
        <w:t xml:space="preserve"> with Probationary Conditions</w:t>
      </w:r>
    </w:p>
    <w:p w14:paraId="6CD3B80B" w14:textId="77777777" w:rsidR="00D0217C" w:rsidRPr="00122B09" w:rsidRDefault="00D0217C" w:rsidP="00C60519">
      <w:pPr>
        <w:pStyle w:val="BodyText2"/>
        <w:widowControl/>
        <w:rPr>
          <w:i w:val="0"/>
          <w:iCs w:val="0"/>
          <w:szCs w:val="24"/>
        </w:rPr>
      </w:pPr>
    </w:p>
    <w:p w14:paraId="11486553" w14:textId="3C7ECA94" w:rsidR="00D0217C" w:rsidRPr="00122B09" w:rsidRDefault="00D0217C" w:rsidP="00BA06B6">
      <w:pPr>
        <w:pStyle w:val="BodyText"/>
        <w:widowControl/>
        <w:ind w:right="-360"/>
      </w:pPr>
      <w:r w:rsidRPr="00122B09">
        <w:t xml:space="preserve">Based upon the evidence described in the attached Summary of Review </w:t>
      </w:r>
      <w:r w:rsidR="00406F3C">
        <w:t xml:space="preserve">and additional concerns related to the school’s precarious financial position, </w:t>
      </w:r>
      <w:r w:rsidRPr="00122B09">
        <w:t xml:space="preserve">I </w:t>
      </w:r>
      <w:r w:rsidRPr="00122B09">
        <w:rPr>
          <w:szCs w:val="24"/>
        </w:rPr>
        <w:t xml:space="preserve">recommend </w:t>
      </w:r>
      <w:r w:rsidR="00A16ABD">
        <w:rPr>
          <w:szCs w:val="24"/>
        </w:rPr>
        <w:t xml:space="preserve">that </w:t>
      </w:r>
      <w:r w:rsidRPr="00122B09">
        <w:rPr>
          <w:szCs w:val="24"/>
        </w:rPr>
        <w:t xml:space="preserve">the Board </w:t>
      </w:r>
      <w:r w:rsidRPr="00122B09">
        <w:t>renew the school’s charter and</w:t>
      </w:r>
      <w:r w:rsidRPr="00122B09">
        <w:rPr>
          <w:szCs w:val="24"/>
        </w:rPr>
        <w:t xml:space="preserve"> place it on probation with conditions requiring major improvements in the schoo</w:t>
      </w:r>
      <w:r w:rsidR="00FE42B1">
        <w:rPr>
          <w:szCs w:val="24"/>
        </w:rPr>
        <w:t xml:space="preserve">l’s </w:t>
      </w:r>
      <w:r w:rsidR="00406F3C">
        <w:rPr>
          <w:szCs w:val="24"/>
        </w:rPr>
        <w:t xml:space="preserve">organizational viability, </w:t>
      </w:r>
      <w:r w:rsidR="007256BA">
        <w:rPr>
          <w:szCs w:val="24"/>
        </w:rPr>
        <w:t xml:space="preserve">governance, </w:t>
      </w:r>
      <w:r w:rsidRPr="00122B09">
        <w:rPr>
          <w:szCs w:val="24"/>
        </w:rPr>
        <w:t>academic program</w:t>
      </w:r>
      <w:r w:rsidR="007256BA">
        <w:rPr>
          <w:szCs w:val="24"/>
        </w:rPr>
        <w:t>,</w:t>
      </w:r>
      <w:r w:rsidRPr="00122B09">
        <w:rPr>
          <w:szCs w:val="24"/>
        </w:rPr>
        <w:t xml:space="preserve"> and </w:t>
      </w:r>
      <w:r w:rsidR="007256BA">
        <w:rPr>
          <w:szCs w:val="24"/>
        </w:rPr>
        <w:t xml:space="preserve">academic </w:t>
      </w:r>
      <w:r w:rsidRPr="00122B09">
        <w:rPr>
          <w:szCs w:val="24"/>
        </w:rPr>
        <w:t xml:space="preserve">performance. </w:t>
      </w:r>
      <w:r w:rsidR="00A16ABD">
        <w:t xml:space="preserve">Our concerns about the school’s fiscal viability, lack of demand, and poor </w:t>
      </w:r>
      <w:r w:rsidR="00A16ABD" w:rsidRPr="00122B09">
        <w:t xml:space="preserve">academic </w:t>
      </w:r>
      <w:r w:rsidR="00A16ABD">
        <w:t>performance warrant placing</w:t>
      </w:r>
      <w:r w:rsidR="00A16ABD" w:rsidRPr="00122B09">
        <w:t xml:space="preserve"> the school on probation with conditions</w:t>
      </w:r>
      <w:r w:rsidR="00A16ABD">
        <w:t xml:space="preserve">. </w:t>
      </w:r>
      <w:r w:rsidRPr="00122B09">
        <w:rPr>
          <w:szCs w:val="24"/>
        </w:rPr>
        <w:t>I am not</w:t>
      </w:r>
      <w:r w:rsidR="00A16ABD">
        <w:rPr>
          <w:szCs w:val="24"/>
        </w:rPr>
        <w:t>, however,</w:t>
      </w:r>
      <w:r w:rsidRPr="00122B09">
        <w:rPr>
          <w:szCs w:val="24"/>
        </w:rPr>
        <w:t xml:space="preserve"> recommending non-renewal at </w:t>
      </w:r>
      <w:r w:rsidR="00FE42B1">
        <w:rPr>
          <w:szCs w:val="24"/>
        </w:rPr>
        <w:t xml:space="preserve">this time </w:t>
      </w:r>
      <w:r w:rsidR="00161369">
        <w:rPr>
          <w:szCs w:val="24"/>
        </w:rPr>
        <w:t xml:space="preserve">because </w:t>
      </w:r>
      <w:r w:rsidR="00FE42B1">
        <w:rPr>
          <w:szCs w:val="24"/>
        </w:rPr>
        <w:t xml:space="preserve">the school has proposed major changes </w:t>
      </w:r>
      <w:r w:rsidRPr="00122B09">
        <w:rPr>
          <w:szCs w:val="24"/>
        </w:rPr>
        <w:t>to address these deficiencies</w:t>
      </w:r>
      <w:r w:rsidR="00232F81">
        <w:rPr>
          <w:szCs w:val="24"/>
        </w:rPr>
        <w:t xml:space="preserve">, </w:t>
      </w:r>
      <w:r w:rsidR="007256BA">
        <w:rPr>
          <w:szCs w:val="24"/>
        </w:rPr>
        <w:t>appointed a principal with a track record of academic success</w:t>
      </w:r>
      <w:r w:rsidR="00232F81">
        <w:rPr>
          <w:szCs w:val="24"/>
        </w:rPr>
        <w:t>, and</w:t>
      </w:r>
      <w:r w:rsidR="007256BA">
        <w:rPr>
          <w:szCs w:val="24"/>
        </w:rPr>
        <w:t xml:space="preserve"> taken action this year in </w:t>
      </w:r>
      <w:r w:rsidR="004B22C9">
        <w:rPr>
          <w:szCs w:val="24"/>
        </w:rPr>
        <w:t xml:space="preserve">an </w:t>
      </w:r>
      <w:r w:rsidR="00F97B69">
        <w:rPr>
          <w:szCs w:val="24"/>
        </w:rPr>
        <w:t xml:space="preserve">effort </w:t>
      </w:r>
      <w:r w:rsidR="007256BA">
        <w:rPr>
          <w:szCs w:val="24"/>
        </w:rPr>
        <w:t>to yield better results for students and families</w:t>
      </w:r>
      <w:r w:rsidRPr="00122B09">
        <w:rPr>
          <w:szCs w:val="24"/>
        </w:rPr>
        <w:t xml:space="preserve">. </w:t>
      </w:r>
    </w:p>
    <w:p w14:paraId="192BBB77" w14:textId="00AB30E1" w:rsidR="006447D8" w:rsidRPr="006447D8" w:rsidRDefault="00A16ABD" w:rsidP="00BA06B6">
      <w:pPr>
        <w:widowControl/>
        <w:spacing w:before="240"/>
      </w:pPr>
      <w:proofErr w:type="spellStart"/>
      <w:r>
        <w:t>CoaH</w:t>
      </w:r>
      <w:proofErr w:type="spellEnd"/>
      <w:r>
        <w:t xml:space="preserve"> CS</w:t>
      </w:r>
      <w:r w:rsidRPr="00122B09">
        <w:t xml:space="preserve"> is in its </w:t>
      </w:r>
      <w:r>
        <w:t>twenty-fifth</w:t>
      </w:r>
      <w:r w:rsidRPr="00122B09">
        <w:t xml:space="preserve"> year of operation</w:t>
      </w:r>
      <w:r>
        <w:t>.</w:t>
      </w:r>
      <w:r w:rsidRPr="00122B09">
        <w:t xml:space="preserve"> </w:t>
      </w:r>
      <w:r w:rsidR="00EC7DE2">
        <w:t xml:space="preserve">It is clear to me that the expansion of the </w:t>
      </w:r>
      <w:proofErr w:type="spellStart"/>
      <w:r w:rsidR="00EC7DE2">
        <w:t>CoaH</w:t>
      </w:r>
      <w:proofErr w:type="spellEnd"/>
      <w:r w:rsidR="00EC7DE2">
        <w:t xml:space="preserve"> network over the past five years has not produced the kinds of results envisioned by the “proven provider” </w:t>
      </w:r>
      <w:r w:rsidR="001E21C3">
        <w:t>initiative</w:t>
      </w:r>
      <w:r w:rsidR="00EC7DE2">
        <w:t xml:space="preserve"> in the charter school statute. Instead, this network of charter schools has, in effect, planned to return to a single school model by surrendering its New Bedford charter and requesting a consolidation of the two remaining schools</w:t>
      </w:r>
      <w:r w:rsidR="00A07A4E">
        <w:t xml:space="preserve"> in Boston</w:t>
      </w:r>
      <w:r w:rsidR="00EC7DE2">
        <w:t xml:space="preserve">. </w:t>
      </w:r>
      <w:proofErr w:type="spellStart"/>
      <w:r w:rsidR="00EC7DE2">
        <w:t>CoaH</w:t>
      </w:r>
      <w:proofErr w:type="spellEnd"/>
      <w:r w:rsidR="00EC7DE2">
        <w:t xml:space="preserve"> CS has </w:t>
      </w:r>
      <w:r w:rsidR="00D0217C">
        <w:t>failed to</w:t>
      </w:r>
      <w:r w:rsidR="00D0217C" w:rsidRPr="00122B09">
        <w:t xml:space="preserve"> demonstrate </w:t>
      </w:r>
      <w:r w:rsidR="00D0217C">
        <w:t xml:space="preserve">consistent </w:t>
      </w:r>
      <w:r w:rsidR="00D0217C" w:rsidRPr="00122B09">
        <w:t>academic success</w:t>
      </w:r>
      <w:r w:rsidR="00EC7DE2">
        <w:t xml:space="preserve"> and its organizational viability is t</w:t>
      </w:r>
      <w:r w:rsidR="001E21C3">
        <w:t>hreatened by a large deficit</w:t>
      </w:r>
      <w:r w:rsidR="00D0217C" w:rsidRPr="00122B09">
        <w:t xml:space="preserve">. </w:t>
      </w:r>
      <w:r w:rsidR="004B22C9">
        <w:t>T</w:t>
      </w:r>
      <w:r w:rsidR="00D0217C" w:rsidRPr="00122B09">
        <w:t xml:space="preserve">he school’s MCAS scores have declined during </w:t>
      </w:r>
      <w:r w:rsidR="004B22C9">
        <w:t>the</w:t>
      </w:r>
      <w:r w:rsidR="00D0217C" w:rsidRPr="00122B09">
        <w:t xml:space="preserve"> </w:t>
      </w:r>
      <w:r w:rsidR="00650F36">
        <w:t xml:space="preserve">current </w:t>
      </w:r>
      <w:r w:rsidR="00D0217C" w:rsidRPr="00122B09">
        <w:t xml:space="preserve">charter term. </w:t>
      </w:r>
      <w:r w:rsidR="006447D8" w:rsidRPr="006447D8">
        <w:t>Evidence relating to my concerns follows.</w:t>
      </w:r>
    </w:p>
    <w:p w14:paraId="6E495035" w14:textId="77777777" w:rsidR="006447D8" w:rsidRDefault="006447D8" w:rsidP="00C60519">
      <w:pPr>
        <w:widowControl/>
      </w:pPr>
    </w:p>
    <w:p w14:paraId="5E86F12B" w14:textId="0D31A7B3" w:rsidR="00D0217C" w:rsidRPr="00122B09" w:rsidRDefault="00D0217C" w:rsidP="006447D8">
      <w:pPr>
        <w:widowControl/>
        <w:autoSpaceDE w:val="0"/>
        <w:autoSpaceDN w:val="0"/>
        <w:adjustRightInd w:val="0"/>
      </w:pPr>
      <w:r w:rsidRPr="00122B09">
        <w:t xml:space="preserve">The recent </w:t>
      </w:r>
      <w:r w:rsidR="001E21C3">
        <w:t xml:space="preserve">steps taken by the school and board of trustees to remedy these </w:t>
      </w:r>
      <w:r w:rsidR="00EE4C0E">
        <w:t xml:space="preserve">serious </w:t>
      </w:r>
      <w:r w:rsidR="001E21C3">
        <w:t xml:space="preserve">concerns, as well as </w:t>
      </w:r>
      <w:r w:rsidRPr="00122B09">
        <w:t>recent changes to staffing</w:t>
      </w:r>
      <w:r>
        <w:t>,</w:t>
      </w:r>
      <w:r w:rsidRPr="00122B09">
        <w:t xml:space="preserve"> </w:t>
      </w:r>
      <w:r w:rsidR="006447D8">
        <w:t xml:space="preserve">indicate </w:t>
      </w:r>
      <w:r w:rsidRPr="00122B09">
        <w:t xml:space="preserve">the school </w:t>
      </w:r>
      <w:r w:rsidR="006447D8">
        <w:t>can</w:t>
      </w:r>
      <w:r w:rsidRPr="00122B09">
        <w:t xml:space="preserve"> address these issues. </w:t>
      </w:r>
      <w:r w:rsidR="006447D8">
        <w:t xml:space="preserve">As reflected in the conditions proposed for probation, </w:t>
      </w:r>
      <w:r w:rsidRPr="00122B09">
        <w:t xml:space="preserve">the school </w:t>
      </w:r>
      <w:r w:rsidR="006447D8">
        <w:t>must</w:t>
      </w:r>
      <w:r w:rsidR="006447D8" w:rsidRPr="00122B09">
        <w:t xml:space="preserve"> </w:t>
      </w:r>
      <w:r w:rsidRPr="00122B09">
        <w:t xml:space="preserve">develop a plan and work to improve the school’s </w:t>
      </w:r>
      <w:r w:rsidR="001E21C3">
        <w:t xml:space="preserve">organizational viability, </w:t>
      </w:r>
      <w:r w:rsidRPr="00122B09">
        <w:t>academic programming,</w:t>
      </w:r>
      <w:r w:rsidR="001E21C3">
        <w:t xml:space="preserve"> and school climate</w:t>
      </w:r>
      <w:r w:rsidR="00E502E9">
        <w:t xml:space="preserve"> to better attract demand</w:t>
      </w:r>
      <w:r w:rsidR="00642BCE">
        <w:t xml:space="preserve"> and fulfill its promises to families</w:t>
      </w:r>
      <w:r w:rsidR="001E21C3">
        <w:t xml:space="preserve">. </w:t>
      </w:r>
      <w:r w:rsidRPr="00122B09">
        <w:t xml:space="preserve">The Department will monitor the school closely during the next few years. </w:t>
      </w:r>
    </w:p>
    <w:p w14:paraId="79DEDD07" w14:textId="77777777" w:rsidR="00D0217C" w:rsidRPr="00122B09" w:rsidRDefault="00D0217C" w:rsidP="00C60519">
      <w:pPr>
        <w:widowControl/>
        <w:autoSpaceDE w:val="0"/>
        <w:autoSpaceDN w:val="0"/>
        <w:adjustRightInd w:val="0"/>
      </w:pPr>
    </w:p>
    <w:p w14:paraId="0B17A239" w14:textId="1CBB013B" w:rsidR="00D0217C" w:rsidRPr="00576B51" w:rsidRDefault="00D0217C" w:rsidP="00C60519">
      <w:pPr>
        <w:pStyle w:val="BodyText2"/>
        <w:widowControl/>
        <w:rPr>
          <w:b/>
          <w:i w:val="0"/>
          <w:iCs w:val="0"/>
          <w:szCs w:val="24"/>
          <w:u w:val="single"/>
        </w:rPr>
      </w:pPr>
      <w:r w:rsidRPr="00576B51">
        <w:rPr>
          <w:b/>
          <w:i w:val="0"/>
          <w:iCs w:val="0"/>
          <w:szCs w:val="24"/>
          <w:u w:val="single"/>
        </w:rPr>
        <w:t xml:space="preserve">Lack of </w:t>
      </w:r>
      <w:r w:rsidR="001E21C3">
        <w:rPr>
          <w:b/>
          <w:i w:val="0"/>
          <w:iCs w:val="0"/>
          <w:szCs w:val="24"/>
          <w:u w:val="single"/>
        </w:rPr>
        <w:t xml:space="preserve">Demand and Impact on </w:t>
      </w:r>
      <w:r w:rsidR="00EC7DE2">
        <w:rPr>
          <w:b/>
          <w:i w:val="0"/>
          <w:iCs w:val="0"/>
          <w:szCs w:val="24"/>
          <w:u w:val="single"/>
        </w:rPr>
        <w:t>Fiscal Viability</w:t>
      </w:r>
    </w:p>
    <w:p w14:paraId="24B71C4E" w14:textId="77777777" w:rsidR="00D0217C" w:rsidRPr="00122B09" w:rsidRDefault="00D0217C" w:rsidP="00C60519">
      <w:pPr>
        <w:pStyle w:val="BodyText2"/>
        <w:widowControl/>
        <w:rPr>
          <w:b/>
          <w:i w:val="0"/>
          <w:iCs w:val="0"/>
          <w:szCs w:val="24"/>
        </w:rPr>
      </w:pPr>
    </w:p>
    <w:p w14:paraId="3941F19B" w14:textId="525A848C" w:rsidR="00CF75CD" w:rsidRDefault="00090634" w:rsidP="00C60519">
      <w:pPr>
        <w:pStyle w:val="BodyText2"/>
        <w:widowControl/>
        <w:rPr>
          <w:i w:val="0"/>
          <w:szCs w:val="24"/>
        </w:rPr>
      </w:pPr>
      <w:r>
        <w:rPr>
          <w:i w:val="0"/>
          <w:szCs w:val="24"/>
        </w:rPr>
        <w:t xml:space="preserve">While each charter school in the </w:t>
      </w:r>
      <w:proofErr w:type="spellStart"/>
      <w:r>
        <w:rPr>
          <w:i w:val="0"/>
          <w:szCs w:val="24"/>
        </w:rPr>
        <w:t>CoaH</w:t>
      </w:r>
      <w:proofErr w:type="spellEnd"/>
      <w:r>
        <w:rPr>
          <w:i w:val="0"/>
          <w:szCs w:val="24"/>
        </w:rPr>
        <w:t xml:space="preserve"> network of charter schools is </w:t>
      </w:r>
      <w:r w:rsidR="00330DB6">
        <w:rPr>
          <w:i w:val="0"/>
          <w:szCs w:val="24"/>
        </w:rPr>
        <w:t>a separate legal</w:t>
      </w:r>
      <w:r>
        <w:rPr>
          <w:i w:val="0"/>
          <w:szCs w:val="24"/>
        </w:rPr>
        <w:t xml:space="preserve"> entity with its own source of tuition revenue derived </w:t>
      </w:r>
      <w:r w:rsidR="006447D8">
        <w:rPr>
          <w:i w:val="0"/>
          <w:szCs w:val="24"/>
        </w:rPr>
        <w:t xml:space="preserve">mainly </w:t>
      </w:r>
      <w:r>
        <w:rPr>
          <w:i w:val="0"/>
          <w:szCs w:val="24"/>
        </w:rPr>
        <w:t>from enrollment, all three schools are overseen by one</w:t>
      </w:r>
      <w:r w:rsidR="00C96DEC">
        <w:rPr>
          <w:i w:val="0"/>
          <w:szCs w:val="24"/>
        </w:rPr>
        <w:t xml:space="preserve"> board of trustees, </w:t>
      </w:r>
      <w:r w:rsidR="000F5097">
        <w:rPr>
          <w:i w:val="0"/>
          <w:szCs w:val="24"/>
        </w:rPr>
        <w:t xml:space="preserve">utilize </w:t>
      </w:r>
      <w:r w:rsidR="00C96DEC">
        <w:rPr>
          <w:i w:val="0"/>
          <w:szCs w:val="24"/>
        </w:rPr>
        <w:t xml:space="preserve">one set of </w:t>
      </w:r>
      <w:r>
        <w:rPr>
          <w:i w:val="0"/>
          <w:szCs w:val="24"/>
        </w:rPr>
        <w:t>network staff</w:t>
      </w:r>
      <w:r w:rsidR="000F5097">
        <w:rPr>
          <w:i w:val="0"/>
          <w:szCs w:val="24"/>
        </w:rPr>
        <w:t>,</w:t>
      </w:r>
      <w:r>
        <w:rPr>
          <w:i w:val="0"/>
          <w:szCs w:val="24"/>
        </w:rPr>
        <w:t xml:space="preserve"> and receive additional </w:t>
      </w:r>
      <w:r w:rsidR="001B6472">
        <w:rPr>
          <w:i w:val="0"/>
          <w:szCs w:val="24"/>
        </w:rPr>
        <w:t>financial</w:t>
      </w:r>
      <w:r>
        <w:rPr>
          <w:i w:val="0"/>
          <w:szCs w:val="24"/>
        </w:rPr>
        <w:t xml:space="preserve"> support fr</w:t>
      </w:r>
      <w:r w:rsidR="001B6472">
        <w:rPr>
          <w:i w:val="0"/>
          <w:szCs w:val="24"/>
        </w:rPr>
        <w:t>om the City on a Hill Foundation</w:t>
      </w:r>
      <w:r w:rsidR="00CF75CD">
        <w:rPr>
          <w:i w:val="0"/>
          <w:szCs w:val="24"/>
        </w:rPr>
        <w:t xml:space="preserve"> (foundation)</w:t>
      </w:r>
      <w:r w:rsidR="001B6472">
        <w:rPr>
          <w:i w:val="0"/>
          <w:szCs w:val="24"/>
        </w:rPr>
        <w:t>, a related 501c3</w:t>
      </w:r>
      <w:r w:rsidR="000F5097">
        <w:rPr>
          <w:i w:val="0"/>
          <w:szCs w:val="24"/>
        </w:rPr>
        <w:t>.</w:t>
      </w:r>
      <w:r w:rsidR="001B6472" w:rsidRPr="00A16BA8">
        <w:rPr>
          <w:rStyle w:val="FootnoteReference"/>
          <w:i w:val="0"/>
          <w:szCs w:val="24"/>
          <w:vertAlign w:val="superscript"/>
        </w:rPr>
        <w:footnoteReference w:id="6"/>
      </w:r>
      <w:r w:rsidR="001B6472">
        <w:rPr>
          <w:i w:val="0"/>
          <w:szCs w:val="24"/>
        </w:rPr>
        <w:t xml:space="preserve"> </w:t>
      </w:r>
      <w:r w:rsidR="00CF75CD">
        <w:rPr>
          <w:i w:val="0"/>
          <w:szCs w:val="24"/>
        </w:rPr>
        <w:t>Similar to other</w:t>
      </w:r>
      <w:r w:rsidR="00A16BA8">
        <w:rPr>
          <w:i w:val="0"/>
          <w:szCs w:val="24"/>
        </w:rPr>
        <w:t xml:space="preserve"> networks of charter schools</w:t>
      </w:r>
      <w:r w:rsidR="001C3CB1">
        <w:rPr>
          <w:i w:val="0"/>
          <w:szCs w:val="24"/>
        </w:rPr>
        <w:t>,</w:t>
      </w:r>
      <w:r w:rsidR="00A16BA8">
        <w:rPr>
          <w:i w:val="0"/>
          <w:szCs w:val="24"/>
        </w:rPr>
        <w:t xml:space="preserve"> </w:t>
      </w:r>
      <w:r w:rsidR="001C3CB1">
        <w:rPr>
          <w:i w:val="0"/>
          <w:szCs w:val="24"/>
        </w:rPr>
        <w:t>the</w:t>
      </w:r>
      <w:r w:rsidR="00A16BA8">
        <w:rPr>
          <w:i w:val="0"/>
          <w:szCs w:val="24"/>
        </w:rPr>
        <w:t xml:space="preserve"> board of trustees submits a single audit each year, representing the finances of all three schools and the associated foundation. </w:t>
      </w:r>
      <w:r w:rsidR="00CF75CD">
        <w:rPr>
          <w:i w:val="0"/>
          <w:szCs w:val="24"/>
        </w:rPr>
        <w:t xml:space="preserve">When assessing the viability of </w:t>
      </w:r>
      <w:proofErr w:type="spellStart"/>
      <w:r w:rsidR="00CF75CD">
        <w:rPr>
          <w:i w:val="0"/>
          <w:szCs w:val="24"/>
        </w:rPr>
        <w:t>CoaH</w:t>
      </w:r>
      <w:proofErr w:type="spellEnd"/>
      <w:r w:rsidR="00CF75CD">
        <w:rPr>
          <w:i w:val="0"/>
          <w:szCs w:val="24"/>
        </w:rPr>
        <w:t xml:space="preserve"> CS as an entity, one must also examine the other two charter schools and the foundation. </w:t>
      </w:r>
    </w:p>
    <w:p w14:paraId="5280BEAE" w14:textId="10530085" w:rsidR="00090634" w:rsidRDefault="00CF75CD" w:rsidP="00C60519">
      <w:pPr>
        <w:pStyle w:val="BodyText2"/>
        <w:widowControl/>
        <w:rPr>
          <w:i w:val="0"/>
        </w:rPr>
      </w:pPr>
      <w:r>
        <w:rPr>
          <w:i w:val="0"/>
          <w:szCs w:val="24"/>
        </w:rPr>
        <w:lastRenderedPageBreak/>
        <w:t xml:space="preserve">Recent events have significantly impacted the finances of </w:t>
      </w:r>
      <w:r w:rsidR="001C3CB1">
        <w:rPr>
          <w:i w:val="0"/>
          <w:szCs w:val="24"/>
        </w:rPr>
        <w:t xml:space="preserve">every </w:t>
      </w:r>
      <w:proofErr w:type="spellStart"/>
      <w:r>
        <w:rPr>
          <w:i w:val="0"/>
          <w:szCs w:val="24"/>
        </w:rPr>
        <w:t>CoaH</w:t>
      </w:r>
      <w:proofErr w:type="spellEnd"/>
      <w:r>
        <w:rPr>
          <w:i w:val="0"/>
          <w:szCs w:val="24"/>
        </w:rPr>
        <w:t xml:space="preserve"> charter school</w:t>
      </w:r>
      <w:r w:rsidR="007814C2">
        <w:rPr>
          <w:i w:val="0"/>
          <w:szCs w:val="24"/>
        </w:rPr>
        <w:t xml:space="preserve"> </w:t>
      </w:r>
      <w:r w:rsidRPr="00FC3B92">
        <w:rPr>
          <w:i w:val="0"/>
        </w:rPr>
        <w:t xml:space="preserve">and the schools’ related foundation. For the past two years, </w:t>
      </w:r>
      <w:r w:rsidR="001C3CB1">
        <w:rPr>
          <w:i w:val="0"/>
        </w:rPr>
        <w:t>all three</w:t>
      </w:r>
      <w:r w:rsidR="001C3CB1" w:rsidRPr="00FC3B92">
        <w:rPr>
          <w:i w:val="0"/>
        </w:rPr>
        <w:t xml:space="preserve"> </w:t>
      </w:r>
      <w:r w:rsidR="00FC3B92" w:rsidRPr="00FC3B92">
        <w:rPr>
          <w:i w:val="0"/>
        </w:rPr>
        <w:t xml:space="preserve">schools pre-enrolled more students than they served, triggering tuition re-calculations and </w:t>
      </w:r>
      <w:r w:rsidR="001C3CB1">
        <w:rPr>
          <w:i w:val="0"/>
        </w:rPr>
        <w:t xml:space="preserve">substantial </w:t>
      </w:r>
      <w:r w:rsidR="00FC3B92" w:rsidRPr="00FC3B92">
        <w:rPr>
          <w:i w:val="0"/>
        </w:rPr>
        <w:t>mid-year financial adjustments</w:t>
      </w:r>
      <w:r w:rsidR="000F5097">
        <w:rPr>
          <w:i w:val="0"/>
        </w:rPr>
        <w:t xml:space="preserve"> for each school</w:t>
      </w:r>
      <w:r w:rsidRPr="00FC3B92">
        <w:rPr>
          <w:i w:val="0"/>
        </w:rPr>
        <w:t>.</w:t>
      </w:r>
      <w:r>
        <w:rPr>
          <w:i w:val="0"/>
          <w:szCs w:val="24"/>
        </w:rPr>
        <w:t xml:space="preserve"> </w:t>
      </w:r>
      <w:r w:rsidR="00CB54D5">
        <w:rPr>
          <w:i w:val="0"/>
          <w:szCs w:val="24"/>
        </w:rPr>
        <w:t xml:space="preserve">At full capacity, the </w:t>
      </w:r>
      <w:proofErr w:type="spellStart"/>
      <w:r w:rsidR="00CB54D5">
        <w:rPr>
          <w:i w:val="0"/>
          <w:szCs w:val="24"/>
        </w:rPr>
        <w:t>CoaH</w:t>
      </w:r>
      <w:proofErr w:type="spellEnd"/>
      <w:r w:rsidR="00CB54D5">
        <w:rPr>
          <w:i w:val="0"/>
          <w:szCs w:val="24"/>
        </w:rPr>
        <w:t xml:space="preserve"> network of charter schools would serve 840 students. For the past two years</w:t>
      </w:r>
      <w:r w:rsidR="00016735">
        <w:rPr>
          <w:i w:val="0"/>
          <w:szCs w:val="24"/>
        </w:rPr>
        <w:t>,</w:t>
      </w:r>
      <w:r w:rsidR="00CB54D5">
        <w:rPr>
          <w:i w:val="0"/>
          <w:szCs w:val="24"/>
        </w:rPr>
        <w:t xml:space="preserve"> FY19 and FY20, the total pre-enrollment</w:t>
      </w:r>
      <w:r w:rsidR="00CB54D5" w:rsidRPr="00CB54D5">
        <w:rPr>
          <w:rStyle w:val="FootnoteReference"/>
          <w:i w:val="0"/>
          <w:szCs w:val="24"/>
          <w:vertAlign w:val="superscript"/>
        </w:rPr>
        <w:footnoteReference w:id="7"/>
      </w:r>
      <w:r w:rsidR="00CB54D5" w:rsidRPr="00CB54D5">
        <w:rPr>
          <w:i w:val="0"/>
          <w:szCs w:val="24"/>
          <w:vertAlign w:val="superscript"/>
        </w:rPr>
        <w:t xml:space="preserve"> </w:t>
      </w:r>
      <w:r w:rsidR="00CB54D5">
        <w:rPr>
          <w:i w:val="0"/>
          <w:szCs w:val="24"/>
        </w:rPr>
        <w:t xml:space="preserve">of students </w:t>
      </w:r>
      <w:r w:rsidR="000F5097">
        <w:rPr>
          <w:i w:val="0"/>
          <w:szCs w:val="24"/>
        </w:rPr>
        <w:t xml:space="preserve">in </w:t>
      </w:r>
      <w:r w:rsidR="001C650E">
        <w:rPr>
          <w:i w:val="0"/>
          <w:szCs w:val="24"/>
        </w:rPr>
        <w:t xml:space="preserve">all three schools </w:t>
      </w:r>
      <w:r w:rsidR="00CB54D5">
        <w:rPr>
          <w:i w:val="0"/>
          <w:szCs w:val="24"/>
        </w:rPr>
        <w:t xml:space="preserve">has been 812 and 770 respectively. </w:t>
      </w:r>
      <w:r w:rsidR="001C650E">
        <w:rPr>
          <w:i w:val="0"/>
          <w:szCs w:val="24"/>
        </w:rPr>
        <w:t xml:space="preserve">The actual enrollment </w:t>
      </w:r>
      <w:r w:rsidR="00330DB6">
        <w:rPr>
          <w:i w:val="0"/>
          <w:szCs w:val="24"/>
        </w:rPr>
        <w:t xml:space="preserve">in October </w:t>
      </w:r>
      <w:r w:rsidR="001C650E">
        <w:rPr>
          <w:i w:val="0"/>
          <w:szCs w:val="24"/>
        </w:rPr>
        <w:t xml:space="preserve">totaled 733 and 570 respectively; a difference between pre-enrollment and actual enrollment of 79 students in FY19 and 200 students in FY20. The </w:t>
      </w:r>
      <w:proofErr w:type="spellStart"/>
      <w:r w:rsidR="006C320E">
        <w:rPr>
          <w:i w:val="0"/>
          <w:szCs w:val="24"/>
        </w:rPr>
        <w:t>CoaH</w:t>
      </w:r>
      <w:proofErr w:type="spellEnd"/>
      <w:r w:rsidR="006C320E">
        <w:rPr>
          <w:i w:val="0"/>
          <w:szCs w:val="24"/>
        </w:rPr>
        <w:t xml:space="preserve"> </w:t>
      </w:r>
      <w:r w:rsidR="00D65BA8">
        <w:rPr>
          <w:i w:val="0"/>
          <w:szCs w:val="24"/>
        </w:rPr>
        <w:t xml:space="preserve">board did not anticipate the </w:t>
      </w:r>
      <w:r w:rsidR="001C650E">
        <w:rPr>
          <w:i w:val="0"/>
          <w:szCs w:val="24"/>
        </w:rPr>
        <w:t xml:space="preserve">lower than expected enrollment </w:t>
      </w:r>
      <w:r w:rsidR="00D65BA8">
        <w:rPr>
          <w:i w:val="0"/>
          <w:szCs w:val="24"/>
        </w:rPr>
        <w:t xml:space="preserve">and did not take it </w:t>
      </w:r>
      <w:r w:rsidR="000F5097">
        <w:rPr>
          <w:i w:val="0"/>
          <w:szCs w:val="24"/>
        </w:rPr>
        <w:t xml:space="preserve">into consideration </w:t>
      </w:r>
      <w:r w:rsidR="001C650E">
        <w:rPr>
          <w:i w:val="0"/>
          <w:szCs w:val="24"/>
        </w:rPr>
        <w:t xml:space="preserve">in its annual budget planning. Each charter school received a reduced tuition payment in the latter half of each school year, adjusted to reflect actual enrollment and to </w:t>
      </w:r>
      <w:r w:rsidR="001C650E" w:rsidRPr="001C650E">
        <w:rPr>
          <w:i w:val="0"/>
        </w:rPr>
        <w:t>correct the overpayment</w:t>
      </w:r>
      <w:r w:rsidR="000F5097">
        <w:rPr>
          <w:i w:val="0"/>
        </w:rPr>
        <w:t xml:space="preserve"> of</w:t>
      </w:r>
      <w:r w:rsidR="00816AD7">
        <w:rPr>
          <w:i w:val="0"/>
        </w:rPr>
        <w:t xml:space="preserve"> over $1,000,000 in total for FY20</w:t>
      </w:r>
      <w:r w:rsidR="001C650E" w:rsidRPr="001C650E">
        <w:rPr>
          <w:i w:val="0"/>
        </w:rPr>
        <w:t xml:space="preserve"> </w:t>
      </w:r>
      <w:r w:rsidR="00D65BA8">
        <w:rPr>
          <w:i w:val="0"/>
        </w:rPr>
        <w:t xml:space="preserve">that the schools had </w:t>
      </w:r>
      <w:r w:rsidR="001C650E" w:rsidRPr="001C650E">
        <w:rPr>
          <w:i w:val="0"/>
        </w:rPr>
        <w:t xml:space="preserve">received </w:t>
      </w:r>
      <w:r w:rsidR="000F5097">
        <w:rPr>
          <w:i w:val="0"/>
        </w:rPr>
        <w:t>during</w:t>
      </w:r>
      <w:r w:rsidR="000F5097" w:rsidRPr="001C650E">
        <w:rPr>
          <w:i w:val="0"/>
        </w:rPr>
        <w:t xml:space="preserve"> </w:t>
      </w:r>
      <w:r w:rsidR="001C650E" w:rsidRPr="001C650E">
        <w:rPr>
          <w:i w:val="0"/>
        </w:rPr>
        <w:t xml:space="preserve">the first five months of the </w:t>
      </w:r>
      <w:r w:rsidR="00D65BA8">
        <w:rPr>
          <w:i w:val="0"/>
        </w:rPr>
        <w:t xml:space="preserve">fiscal </w:t>
      </w:r>
      <w:r w:rsidR="001C650E" w:rsidRPr="001C650E">
        <w:rPr>
          <w:i w:val="0"/>
        </w:rPr>
        <w:t>year</w:t>
      </w:r>
      <w:r w:rsidR="00816AD7">
        <w:rPr>
          <w:i w:val="0"/>
        </w:rPr>
        <w:t>.</w:t>
      </w:r>
    </w:p>
    <w:p w14:paraId="09694AAC" w14:textId="103114EB" w:rsidR="00816AD7" w:rsidRDefault="00816AD7" w:rsidP="00C60519">
      <w:pPr>
        <w:pStyle w:val="BodyText2"/>
        <w:widowControl/>
        <w:rPr>
          <w:i w:val="0"/>
        </w:rPr>
      </w:pPr>
    </w:p>
    <w:p w14:paraId="45FC3DC2" w14:textId="5AA11167" w:rsidR="00816AD7" w:rsidRDefault="00816AD7" w:rsidP="00C60519">
      <w:pPr>
        <w:pStyle w:val="BodyText2"/>
        <w:widowControl/>
        <w:rPr>
          <w:i w:val="0"/>
        </w:rPr>
      </w:pPr>
      <w:r>
        <w:rPr>
          <w:i w:val="0"/>
        </w:rPr>
        <w:t xml:space="preserve">While the schools’ FY19 financial audit did not contain negative findings, it showed a default on the Boston schools’ and the </w:t>
      </w:r>
      <w:r w:rsidR="00D65BA8">
        <w:rPr>
          <w:i w:val="0"/>
        </w:rPr>
        <w:t>f</w:t>
      </w:r>
      <w:r>
        <w:rPr>
          <w:i w:val="0"/>
        </w:rPr>
        <w:t>oundation’s obligations to its lender on a multi-</w:t>
      </w:r>
      <w:proofErr w:type="gramStart"/>
      <w:r>
        <w:rPr>
          <w:i w:val="0"/>
        </w:rPr>
        <w:t>million dollar</w:t>
      </w:r>
      <w:proofErr w:type="gramEnd"/>
      <w:r>
        <w:rPr>
          <w:i w:val="0"/>
        </w:rPr>
        <w:t xml:space="preserve"> loan. On November 8, 2019, the schools and </w:t>
      </w:r>
      <w:r w:rsidR="00D65BA8">
        <w:rPr>
          <w:i w:val="0"/>
        </w:rPr>
        <w:t>f</w:t>
      </w:r>
      <w:r>
        <w:rPr>
          <w:i w:val="0"/>
        </w:rPr>
        <w:t xml:space="preserve">oundation entered into </w:t>
      </w:r>
      <w:r w:rsidR="0011582A">
        <w:rPr>
          <w:i w:val="0"/>
        </w:rPr>
        <w:t xml:space="preserve">a </w:t>
      </w:r>
      <w:r>
        <w:rPr>
          <w:i w:val="0"/>
        </w:rPr>
        <w:t xml:space="preserve">forbearance agreement with the lender. Until the schools and </w:t>
      </w:r>
      <w:r w:rsidR="00D65BA8">
        <w:rPr>
          <w:i w:val="0"/>
        </w:rPr>
        <w:t>f</w:t>
      </w:r>
      <w:r>
        <w:rPr>
          <w:i w:val="0"/>
        </w:rPr>
        <w:t xml:space="preserve">oundation meet certain benchmarks contained within the agreement, the </w:t>
      </w:r>
      <w:r w:rsidR="00D65BA8">
        <w:rPr>
          <w:i w:val="0"/>
        </w:rPr>
        <w:t>f</w:t>
      </w:r>
      <w:r>
        <w:rPr>
          <w:i w:val="0"/>
        </w:rPr>
        <w:t xml:space="preserve">oundation may not allocate funds to any of the schools. Further, the </w:t>
      </w:r>
      <w:r w:rsidR="00D65BA8">
        <w:rPr>
          <w:i w:val="0"/>
        </w:rPr>
        <w:t>f</w:t>
      </w:r>
      <w:r>
        <w:rPr>
          <w:i w:val="0"/>
        </w:rPr>
        <w:t>oundation has seen a decline in its cash</w:t>
      </w:r>
      <w:r w:rsidR="00E1661A">
        <w:rPr>
          <w:i w:val="0"/>
        </w:rPr>
        <w:t xml:space="preserve"> from over $2,200,000 in FY18 to approximately $1,000,000 in FY19. </w:t>
      </w:r>
    </w:p>
    <w:p w14:paraId="426EEB80" w14:textId="2DAE3DEE" w:rsidR="00E1661A" w:rsidRDefault="00E1661A" w:rsidP="00C60519">
      <w:pPr>
        <w:pStyle w:val="BodyText2"/>
        <w:widowControl/>
        <w:rPr>
          <w:i w:val="0"/>
        </w:rPr>
      </w:pPr>
    </w:p>
    <w:p w14:paraId="108A95DA" w14:textId="76D0B147" w:rsidR="00E1661A" w:rsidRDefault="00E1661A" w:rsidP="00C60519">
      <w:pPr>
        <w:pStyle w:val="BodyText2"/>
        <w:widowControl/>
        <w:rPr>
          <w:i w:val="0"/>
          <w:szCs w:val="24"/>
        </w:rPr>
      </w:pPr>
      <w:r>
        <w:rPr>
          <w:i w:val="0"/>
        </w:rPr>
        <w:t xml:space="preserve">In order to address these fiscal concerns, </w:t>
      </w:r>
      <w:r w:rsidR="000F5097">
        <w:rPr>
          <w:i w:val="0"/>
        </w:rPr>
        <w:t xml:space="preserve">the </w:t>
      </w:r>
      <w:r>
        <w:rPr>
          <w:i w:val="0"/>
        </w:rPr>
        <w:t>board of trustees voted</w:t>
      </w:r>
      <w:r w:rsidR="0011582A">
        <w:rPr>
          <w:i w:val="0"/>
        </w:rPr>
        <w:t xml:space="preserve"> </w:t>
      </w:r>
      <w:r w:rsidR="000F5097">
        <w:rPr>
          <w:i w:val="0"/>
        </w:rPr>
        <w:t>to take</w:t>
      </w:r>
      <w:r>
        <w:rPr>
          <w:i w:val="0"/>
        </w:rPr>
        <w:t xml:space="preserve"> actions to protect the schools</w:t>
      </w:r>
      <w:r w:rsidR="000F5097">
        <w:rPr>
          <w:i w:val="0"/>
        </w:rPr>
        <w:t xml:space="preserve">, including surrendering the charter for </w:t>
      </w:r>
      <w:proofErr w:type="spellStart"/>
      <w:r w:rsidR="000F5097">
        <w:rPr>
          <w:i w:val="0"/>
        </w:rPr>
        <w:t>CoaH</w:t>
      </w:r>
      <w:proofErr w:type="spellEnd"/>
      <w:r w:rsidR="000F5097">
        <w:rPr>
          <w:i w:val="0"/>
        </w:rPr>
        <w:t xml:space="preserve"> NB and combining the students for the two Boston schools</w:t>
      </w:r>
      <w:r>
        <w:rPr>
          <w:i w:val="0"/>
        </w:rPr>
        <w:t xml:space="preserve">. </w:t>
      </w:r>
      <w:r w:rsidR="00DB7486">
        <w:rPr>
          <w:i w:val="0"/>
        </w:rPr>
        <w:t>At the heart of the</w:t>
      </w:r>
      <w:r w:rsidR="000F5097">
        <w:rPr>
          <w:i w:val="0"/>
        </w:rPr>
        <w:t xml:space="preserve"> fiscal</w:t>
      </w:r>
      <w:r w:rsidR="00DB7486">
        <w:rPr>
          <w:i w:val="0"/>
        </w:rPr>
        <w:t xml:space="preserve"> concerns is a demonstrated decline in demand for </w:t>
      </w:r>
      <w:proofErr w:type="spellStart"/>
      <w:r w:rsidR="00DB7486">
        <w:rPr>
          <w:i w:val="0"/>
        </w:rPr>
        <w:t>CoaH</w:t>
      </w:r>
      <w:proofErr w:type="spellEnd"/>
      <w:r w:rsidR="00DB7486">
        <w:rPr>
          <w:i w:val="0"/>
        </w:rPr>
        <w:t xml:space="preserve"> over the past three years. Five years ago, </w:t>
      </w:r>
      <w:proofErr w:type="spellStart"/>
      <w:r w:rsidR="00DB7486">
        <w:rPr>
          <w:i w:val="0"/>
        </w:rPr>
        <w:t>CoaH</w:t>
      </w:r>
      <w:proofErr w:type="spellEnd"/>
      <w:r w:rsidR="00DB7486">
        <w:rPr>
          <w:i w:val="0"/>
        </w:rPr>
        <w:t xml:space="preserve"> CS and DS </w:t>
      </w:r>
      <w:r w:rsidR="005D5F87">
        <w:rPr>
          <w:i w:val="0"/>
        </w:rPr>
        <w:t xml:space="preserve">had waitlists for students seeking admission that totaled 478 and 460, respectively. By March 2017, those numbers began to decline and </w:t>
      </w:r>
      <w:r w:rsidR="00D65BA8">
        <w:rPr>
          <w:i w:val="0"/>
        </w:rPr>
        <w:t>at present</w:t>
      </w:r>
      <w:r w:rsidR="005D5F87">
        <w:rPr>
          <w:i w:val="0"/>
        </w:rPr>
        <w:t>,</w:t>
      </w:r>
      <w:r w:rsidR="000F5097">
        <w:rPr>
          <w:i w:val="0"/>
        </w:rPr>
        <w:t xml:space="preserve"> </w:t>
      </w:r>
      <w:r w:rsidR="0037204C">
        <w:rPr>
          <w:i w:val="0"/>
        </w:rPr>
        <w:t>neither</w:t>
      </w:r>
      <w:r w:rsidR="005D5F87">
        <w:rPr>
          <w:i w:val="0"/>
        </w:rPr>
        <w:t xml:space="preserve"> </w:t>
      </w:r>
      <w:r w:rsidR="0037204C">
        <w:rPr>
          <w:i w:val="0"/>
        </w:rPr>
        <w:t>school</w:t>
      </w:r>
      <w:r w:rsidR="005D5F87">
        <w:rPr>
          <w:i w:val="0"/>
        </w:rPr>
        <w:t xml:space="preserve"> </w:t>
      </w:r>
      <w:r w:rsidR="0037204C">
        <w:rPr>
          <w:i w:val="0"/>
        </w:rPr>
        <w:t>has</w:t>
      </w:r>
      <w:r w:rsidR="005D5F87">
        <w:rPr>
          <w:i w:val="0"/>
        </w:rPr>
        <w:t xml:space="preserve"> a waitlist</w:t>
      </w:r>
      <w:r w:rsidR="0037204C">
        <w:rPr>
          <w:i w:val="0"/>
        </w:rPr>
        <w:t xml:space="preserve"> of students seeking admission</w:t>
      </w:r>
      <w:r w:rsidR="005D5F87">
        <w:rPr>
          <w:i w:val="0"/>
        </w:rPr>
        <w:t xml:space="preserve">. </w:t>
      </w:r>
      <w:r w:rsidR="000F5097">
        <w:rPr>
          <w:i w:val="0"/>
        </w:rPr>
        <w:t xml:space="preserve">Additionally, </w:t>
      </w:r>
      <w:proofErr w:type="spellStart"/>
      <w:r w:rsidR="007814C2">
        <w:rPr>
          <w:i w:val="0"/>
        </w:rPr>
        <w:t>CoaH</w:t>
      </w:r>
      <w:proofErr w:type="spellEnd"/>
      <w:r w:rsidR="007814C2">
        <w:rPr>
          <w:i w:val="0"/>
        </w:rPr>
        <w:t xml:space="preserve"> CS has seen a</w:t>
      </w:r>
      <w:r w:rsidR="007E384C">
        <w:rPr>
          <w:i w:val="0"/>
        </w:rPr>
        <w:t>n</w:t>
      </w:r>
      <w:r w:rsidR="005D5F87">
        <w:rPr>
          <w:i w:val="0"/>
        </w:rPr>
        <w:t xml:space="preserve"> increase in its attrition rates. </w:t>
      </w:r>
      <w:r w:rsidR="004D0E5B">
        <w:rPr>
          <w:i w:val="0"/>
        </w:rPr>
        <w:t>In 2018-19,</w:t>
      </w:r>
      <w:r w:rsidR="005D5F87">
        <w:rPr>
          <w:i w:val="0"/>
        </w:rPr>
        <w:t xml:space="preserve"> </w:t>
      </w:r>
      <w:proofErr w:type="spellStart"/>
      <w:r w:rsidR="005D5F87">
        <w:rPr>
          <w:i w:val="0"/>
        </w:rPr>
        <w:t>CoaH</w:t>
      </w:r>
      <w:proofErr w:type="spellEnd"/>
      <w:r w:rsidR="005D5F87">
        <w:rPr>
          <w:i w:val="0"/>
        </w:rPr>
        <w:t xml:space="preserve"> CS students left the school over the summer at a rate of 9</w:t>
      </w:r>
      <w:r w:rsidR="004D0E5B">
        <w:rPr>
          <w:i w:val="0"/>
        </w:rPr>
        <w:t xml:space="preserve"> </w:t>
      </w:r>
      <w:r w:rsidR="005D5F87">
        <w:rPr>
          <w:i w:val="0"/>
        </w:rPr>
        <w:t xml:space="preserve">percent. </w:t>
      </w:r>
      <w:r w:rsidR="00D65BA8">
        <w:rPr>
          <w:i w:val="0"/>
        </w:rPr>
        <w:t xml:space="preserve">After </w:t>
      </w:r>
      <w:r w:rsidR="005D5F87">
        <w:rPr>
          <w:i w:val="0"/>
        </w:rPr>
        <w:t xml:space="preserve">the summer of 2019, </w:t>
      </w:r>
      <w:r w:rsidR="007814C2">
        <w:rPr>
          <w:i w:val="0"/>
        </w:rPr>
        <w:t>15</w:t>
      </w:r>
      <w:r w:rsidR="005D5F87">
        <w:rPr>
          <w:i w:val="0"/>
        </w:rPr>
        <w:t xml:space="preserve"> percent of </w:t>
      </w:r>
      <w:proofErr w:type="spellStart"/>
      <w:r w:rsidR="005D5F87">
        <w:rPr>
          <w:i w:val="0"/>
        </w:rPr>
        <w:t>CoaH</w:t>
      </w:r>
      <w:proofErr w:type="spellEnd"/>
      <w:r w:rsidR="005D5F87">
        <w:rPr>
          <w:i w:val="0"/>
        </w:rPr>
        <w:t xml:space="preserve"> CS students </w:t>
      </w:r>
      <w:r w:rsidR="0050034C">
        <w:rPr>
          <w:i w:val="0"/>
        </w:rPr>
        <w:t xml:space="preserve">who could have returned to the school </w:t>
      </w:r>
      <w:r w:rsidR="0037204C">
        <w:rPr>
          <w:i w:val="0"/>
        </w:rPr>
        <w:t>did not</w:t>
      </w:r>
      <w:r w:rsidR="00834D32">
        <w:rPr>
          <w:i w:val="0"/>
        </w:rPr>
        <w:t xml:space="preserve"> return</w:t>
      </w:r>
      <w:r w:rsidR="0050034C">
        <w:rPr>
          <w:i w:val="0"/>
        </w:rPr>
        <w:t xml:space="preserve"> for the current school year</w:t>
      </w:r>
      <w:r w:rsidR="0037204C">
        <w:rPr>
          <w:i w:val="0"/>
        </w:rPr>
        <w:t>.</w:t>
      </w:r>
      <w:r w:rsidR="00834D32">
        <w:rPr>
          <w:i w:val="0"/>
        </w:rPr>
        <w:t xml:space="preserve"> Moreover, </w:t>
      </w:r>
      <w:proofErr w:type="spellStart"/>
      <w:r w:rsidR="00834D32" w:rsidRPr="00834D32">
        <w:rPr>
          <w:i w:val="0"/>
        </w:rPr>
        <w:t>CoaH</w:t>
      </w:r>
      <w:proofErr w:type="spellEnd"/>
      <w:r w:rsidR="00834D32" w:rsidRPr="00834D32">
        <w:rPr>
          <w:i w:val="0"/>
        </w:rPr>
        <w:t xml:space="preserve"> CS </w:t>
      </w:r>
      <w:r w:rsidR="00834D32">
        <w:rPr>
          <w:i w:val="0"/>
        </w:rPr>
        <w:t xml:space="preserve">had </w:t>
      </w:r>
      <w:r w:rsidR="00234F28">
        <w:rPr>
          <w:i w:val="0"/>
        </w:rPr>
        <w:t>extremely high rates of chronic absenteeism</w:t>
      </w:r>
      <w:r w:rsidR="005232BA">
        <w:rPr>
          <w:i w:val="0"/>
        </w:rPr>
        <w:t xml:space="preserve"> </w:t>
      </w:r>
      <w:r w:rsidR="00234F28">
        <w:rPr>
          <w:i w:val="0"/>
        </w:rPr>
        <w:t>for the 2018-</w:t>
      </w:r>
      <w:r w:rsidR="00FD00AE">
        <w:rPr>
          <w:i w:val="0"/>
        </w:rPr>
        <w:t>20</w:t>
      </w:r>
      <w:r w:rsidR="00234F28">
        <w:rPr>
          <w:i w:val="0"/>
        </w:rPr>
        <w:t>19 school year</w:t>
      </w:r>
      <w:r w:rsidR="00834D32">
        <w:rPr>
          <w:i w:val="0"/>
        </w:rPr>
        <w:t>, with</w:t>
      </w:r>
      <w:r w:rsidR="00234F28">
        <w:rPr>
          <w:i w:val="0"/>
        </w:rPr>
        <w:t xml:space="preserve"> 50.4 percent of students chronically absent.</w:t>
      </w:r>
      <w:r w:rsidR="005232BA" w:rsidRPr="008817EB">
        <w:rPr>
          <w:rStyle w:val="FootnoteReference"/>
          <w:i w:val="0"/>
          <w:vertAlign w:val="superscript"/>
        </w:rPr>
        <w:footnoteReference w:id="8"/>
      </w:r>
      <w:r w:rsidR="005232BA">
        <w:rPr>
          <w:i w:val="0"/>
        </w:rPr>
        <w:t xml:space="preserve"> </w:t>
      </w:r>
      <w:r w:rsidR="00234F28">
        <w:rPr>
          <w:i w:val="0"/>
        </w:rPr>
        <w:t xml:space="preserve"> </w:t>
      </w:r>
    </w:p>
    <w:p w14:paraId="0DA1F65E" w14:textId="77777777" w:rsidR="00090634" w:rsidRDefault="00090634" w:rsidP="00C60519">
      <w:pPr>
        <w:pStyle w:val="BodyText2"/>
        <w:widowControl/>
        <w:rPr>
          <w:i w:val="0"/>
          <w:szCs w:val="24"/>
        </w:rPr>
      </w:pPr>
    </w:p>
    <w:p w14:paraId="0145433C" w14:textId="77777777" w:rsidR="00BC14D5" w:rsidRDefault="00BC14D5">
      <w:pPr>
        <w:widowControl/>
        <w:rPr>
          <w:b/>
          <w:u w:val="single"/>
        </w:rPr>
      </w:pPr>
      <w:r>
        <w:rPr>
          <w:b/>
          <w:u w:val="single"/>
        </w:rPr>
        <w:br w:type="page"/>
      </w:r>
    </w:p>
    <w:p w14:paraId="2C49C8FF" w14:textId="001002BA" w:rsidR="00D0217C" w:rsidRPr="00576B51" w:rsidRDefault="00D0217C" w:rsidP="00C60519">
      <w:pPr>
        <w:widowControl/>
        <w:rPr>
          <w:b/>
          <w:u w:val="single"/>
        </w:rPr>
      </w:pPr>
      <w:r w:rsidRPr="00650F36">
        <w:rPr>
          <w:b/>
          <w:u w:val="single"/>
        </w:rPr>
        <w:lastRenderedPageBreak/>
        <w:t>Lack of Academic Program Success</w:t>
      </w:r>
    </w:p>
    <w:p w14:paraId="25B0B076" w14:textId="77777777" w:rsidR="00D0217C" w:rsidRPr="00122B09" w:rsidRDefault="00D0217C" w:rsidP="00C60519">
      <w:pPr>
        <w:widowControl/>
        <w:rPr>
          <w:b/>
        </w:rPr>
      </w:pPr>
    </w:p>
    <w:p w14:paraId="066E5FD5" w14:textId="0AA1B314" w:rsidR="00D0217C" w:rsidRPr="00122B09" w:rsidRDefault="00D0217C" w:rsidP="00C60519">
      <w:pPr>
        <w:widowControl/>
        <w:rPr>
          <w:snapToGrid/>
          <w:szCs w:val="24"/>
        </w:rPr>
      </w:pPr>
      <w:r w:rsidRPr="00122B09">
        <w:rPr>
          <w:szCs w:val="24"/>
        </w:rPr>
        <w:t xml:space="preserve">During its </w:t>
      </w:r>
      <w:r w:rsidR="00DD6798">
        <w:rPr>
          <w:szCs w:val="24"/>
        </w:rPr>
        <w:t>fifth</w:t>
      </w:r>
      <w:r w:rsidRPr="00122B09">
        <w:rPr>
          <w:szCs w:val="24"/>
        </w:rPr>
        <w:t xml:space="preserve"> charter term, </w:t>
      </w:r>
      <w:proofErr w:type="spellStart"/>
      <w:r w:rsidR="00DD6798">
        <w:rPr>
          <w:rFonts w:eastAsia="Batang"/>
          <w:szCs w:val="24"/>
          <w:lang w:eastAsia="ko-KR"/>
        </w:rPr>
        <w:t>CoaH</w:t>
      </w:r>
      <w:proofErr w:type="spellEnd"/>
      <w:r w:rsidR="00DD6798">
        <w:rPr>
          <w:rFonts w:eastAsia="Batang"/>
          <w:szCs w:val="24"/>
          <w:lang w:eastAsia="ko-KR"/>
        </w:rPr>
        <w:t xml:space="preserve"> CS</w:t>
      </w:r>
      <w:r w:rsidRPr="00122B09">
        <w:rPr>
          <w:rFonts w:eastAsia="Batang"/>
          <w:szCs w:val="24"/>
          <w:lang w:eastAsia="ko-KR"/>
        </w:rPr>
        <w:t xml:space="preserve"> </w:t>
      </w:r>
      <w:r w:rsidRPr="00122B09">
        <w:rPr>
          <w:szCs w:val="24"/>
        </w:rPr>
        <w:t xml:space="preserve">has not demonstrated progress in student academic achievement. </w:t>
      </w:r>
      <w:r w:rsidR="00DD6798">
        <w:t xml:space="preserve">In 2019, </w:t>
      </w:r>
      <w:proofErr w:type="spellStart"/>
      <w:r w:rsidR="00DD6798">
        <w:t>CoaH</w:t>
      </w:r>
      <w:proofErr w:type="spellEnd"/>
      <w:r w:rsidR="00DD6798">
        <w:t xml:space="preserve"> CS is classified as requiring assistance or intervention because of </w:t>
      </w:r>
      <w:r w:rsidR="004D7A8A">
        <w:t>its</w:t>
      </w:r>
      <w:r w:rsidR="00481862">
        <w:t xml:space="preserve"> </w:t>
      </w:r>
      <w:r w:rsidR="00DD6798">
        <w:t>low graduation rate</w:t>
      </w:r>
      <w:r w:rsidR="00476CD1">
        <w:t>. The school</w:t>
      </w:r>
      <w:r w:rsidR="00DD6798">
        <w:t xml:space="preserve"> met 39 per</w:t>
      </w:r>
      <w:r w:rsidR="00476CD1">
        <w:t>cent of its improvement targets</w:t>
      </w:r>
      <w:r w:rsidR="00DD6798">
        <w:t xml:space="preserve"> and is performing in the 13</w:t>
      </w:r>
      <w:r w:rsidR="00DD6798" w:rsidRPr="00F63A40">
        <w:rPr>
          <w:vertAlign w:val="superscript"/>
        </w:rPr>
        <w:t>th</w:t>
      </w:r>
      <w:r w:rsidR="00DD6798">
        <w:t xml:space="preserve"> percentile when compared to other high schools statewide. </w:t>
      </w:r>
      <w:r w:rsidR="00DD6798">
        <w:rPr>
          <w:szCs w:val="24"/>
        </w:rPr>
        <w:t>Over the school’s five</w:t>
      </w:r>
      <w:r w:rsidR="00650F36">
        <w:rPr>
          <w:szCs w:val="24"/>
        </w:rPr>
        <w:t>-</w:t>
      </w:r>
      <w:r w:rsidR="00DD6798">
        <w:rPr>
          <w:szCs w:val="24"/>
        </w:rPr>
        <w:t>year charter term, performance showed signs of decline as early as 2015-</w:t>
      </w:r>
      <w:r w:rsidR="00FD00AE">
        <w:rPr>
          <w:szCs w:val="24"/>
        </w:rPr>
        <w:t>20</w:t>
      </w:r>
      <w:r w:rsidR="00DD6798">
        <w:rPr>
          <w:szCs w:val="24"/>
        </w:rPr>
        <w:t xml:space="preserve">16, with a lower than typical student growth percentile </w:t>
      </w:r>
      <w:r w:rsidR="00256D91">
        <w:rPr>
          <w:szCs w:val="24"/>
        </w:rPr>
        <w:t xml:space="preserve">on </w:t>
      </w:r>
      <w:r w:rsidR="00DD6798">
        <w:rPr>
          <w:szCs w:val="24"/>
        </w:rPr>
        <w:t>the grade 10 MCAS results</w:t>
      </w:r>
      <w:r w:rsidR="00256D91">
        <w:rPr>
          <w:szCs w:val="24"/>
        </w:rPr>
        <w:t xml:space="preserve"> in </w:t>
      </w:r>
      <w:r w:rsidR="00256D91" w:rsidRPr="00256D91">
        <w:rPr>
          <w:szCs w:val="24"/>
        </w:rPr>
        <w:t>English Language Arts (ELA)</w:t>
      </w:r>
      <w:r w:rsidR="00DD6798">
        <w:rPr>
          <w:szCs w:val="24"/>
        </w:rPr>
        <w:t>.</w:t>
      </w:r>
    </w:p>
    <w:p w14:paraId="535F345C" w14:textId="77777777" w:rsidR="00D0217C" w:rsidRPr="00122B09" w:rsidRDefault="00D0217C" w:rsidP="00C60519">
      <w:pPr>
        <w:widowControl/>
        <w:rPr>
          <w:szCs w:val="24"/>
        </w:rPr>
      </w:pPr>
    </w:p>
    <w:p w14:paraId="7C5CAB56" w14:textId="0BDDFC1A" w:rsidR="008413F9" w:rsidRDefault="008413F9" w:rsidP="00C60519">
      <w:pPr>
        <w:widowControl/>
        <w:rPr>
          <w:szCs w:val="24"/>
        </w:rPr>
      </w:pPr>
      <w:r>
        <w:rPr>
          <w:szCs w:val="24"/>
        </w:rPr>
        <w:t>During the current charter term, f</w:t>
      </w:r>
      <w:r w:rsidR="00476CD1">
        <w:rPr>
          <w:szCs w:val="24"/>
        </w:rPr>
        <w:t>rom 2016 through 2018</w:t>
      </w:r>
      <w:r w:rsidR="00D0217C" w:rsidRPr="00122B09">
        <w:rPr>
          <w:szCs w:val="24"/>
        </w:rPr>
        <w:t xml:space="preserve">, </w:t>
      </w:r>
      <w:proofErr w:type="spellStart"/>
      <w:r w:rsidR="00476CD1">
        <w:rPr>
          <w:rFonts w:eastAsia="Batang"/>
          <w:szCs w:val="24"/>
          <w:lang w:eastAsia="ko-KR"/>
        </w:rPr>
        <w:t>CoaH</w:t>
      </w:r>
      <w:proofErr w:type="spellEnd"/>
      <w:r w:rsidR="00476CD1">
        <w:rPr>
          <w:rFonts w:eastAsia="Batang"/>
          <w:szCs w:val="24"/>
          <w:lang w:eastAsia="ko-KR"/>
        </w:rPr>
        <w:t xml:space="preserve"> CS </w:t>
      </w:r>
      <w:r w:rsidR="00D0217C" w:rsidRPr="00122B09">
        <w:rPr>
          <w:szCs w:val="24"/>
        </w:rPr>
        <w:t xml:space="preserve">administered </w:t>
      </w:r>
      <w:r w:rsidR="00476CD1">
        <w:rPr>
          <w:szCs w:val="24"/>
        </w:rPr>
        <w:t xml:space="preserve">the </w:t>
      </w:r>
      <w:r w:rsidR="00D0217C" w:rsidRPr="00122B09">
        <w:rPr>
          <w:szCs w:val="24"/>
        </w:rPr>
        <w:t xml:space="preserve">legacy grade 10 MCAS tests. </w:t>
      </w:r>
      <w:r w:rsidR="00256D91">
        <w:rPr>
          <w:szCs w:val="24"/>
        </w:rPr>
        <w:t>R</w:t>
      </w:r>
      <w:r w:rsidR="00F15544">
        <w:rPr>
          <w:szCs w:val="24"/>
        </w:rPr>
        <w:t xml:space="preserve">esults declined from 2016 to 2018. </w:t>
      </w:r>
      <w:r>
        <w:rPr>
          <w:szCs w:val="24"/>
        </w:rPr>
        <w:t xml:space="preserve">In 2016, </w:t>
      </w:r>
      <w:r w:rsidRPr="00122B09">
        <w:rPr>
          <w:szCs w:val="24"/>
        </w:rPr>
        <w:t xml:space="preserve">grade 10 students </w:t>
      </w:r>
      <w:r w:rsidR="00256D91">
        <w:rPr>
          <w:szCs w:val="24"/>
        </w:rPr>
        <w:t xml:space="preserve">exceeded or met state averages with </w:t>
      </w:r>
      <w:r w:rsidR="00256D91" w:rsidRPr="00256D91">
        <w:rPr>
          <w:szCs w:val="24"/>
        </w:rPr>
        <w:t xml:space="preserve">91 percent </w:t>
      </w:r>
      <w:r w:rsidR="00256D91">
        <w:rPr>
          <w:szCs w:val="24"/>
        </w:rPr>
        <w:t>earning</w:t>
      </w:r>
      <w:r w:rsidR="00256D91" w:rsidRPr="00122B09">
        <w:rPr>
          <w:szCs w:val="24"/>
        </w:rPr>
        <w:t xml:space="preserve"> </w:t>
      </w:r>
      <w:r w:rsidRPr="00122B09">
        <w:rPr>
          <w:szCs w:val="24"/>
        </w:rPr>
        <w:t xml:space="preserve">proficient or advanced in ELA, </w:t>
      </w:r>
      <w:r>
        <w:rPr>
          <w:szCs w:val="24"/>
        </w:rPr>
        <w:t xml:space="preserve">81 </w:t>
      </w:r>
      <w:r w:rsidRPr="00122B09">
        <w:rPr>
          <w:szCs w:val="24"/>
        </w:rPr>
        <w:t xml:space="preserve">percent </w:t>
      </w:r>
      <w:r w:rsidR="00256D91">
        <w:rPr>
          <w:szCs w:val="24"/>
        </w:rPr>
        <w:t>earning</w:t>
      </w:r>
      <w:r w:rsidR="00256D91" w:rsidRPr="00122B09">
        <w:rPr>
          <w:szCs w:val="24"/>
        </w:rPr>
        <w:t xml:space="preserve"> </w:t>
      </w:r>
      <w:r w:rsidRPr="00122B09">
        <w:rPr>
          <w:szCs w:val="24"/>
        </w:rPr>
        <w:t xml:space="preserve">proficient or advanced in mathematics, and </w:t>
      </w:r>
      <w:r>
        <w:rPr>
          <w:szCs w:val="24"/>
        </w:rPr>
        <w:t xml:space="preserve">79 </w:t>
      </w:r>
      <w:r w:rsidRPr="00122B09">
        <w:rPr>
          <w:szCs w:val="24"/>
        </w:rPr>
        <w:t xml:space="preserve">percent </w:t>
      </w:r>
      <w:r w:rsidR="00256D91">
        <w:rPr>
          <w:szCs w:val="24"/>
        </w:rPr>
        <w:t>earning</w:t>
      </w:r>
      <w:r w:rsidR="00256D91" w:rsidRPr="00122B09">
        <w:rPr>
          <w:szCs w:val="24"/>
        </w:rPr>
        <w:t xml:space="preserve"> </w:t>
      </w:r>
      <w:r w:rsidRPr="00122B09">
        <w:rPr>
          <w:szCs w:val="24"/>
        </w:rPr>
        <w:t xml:space="preserve">proficient or advanced on the science and </w:t>
      </w:r>
      <w:r w:rsidR="00650F36" w:rsidRPr="00122B09">
        <w:rPr>
          <w:szCs w:val="24"/>
        </w:rPr>
        <w:t>technology</w:t>
      </w:r>
      <w:r w:rsidR="00650F36">
        <w:rPr>
          <w:szCs w:val="24"/>
        </w:rPr>
        <w:t>/</w:t>
      </w:r>
      <w:r w:rsidRPr="00122B09">
        <w:rPr>
          <w:szCs w:val="24"/>
        </w:rPr>
        <w:t>engineering assessment</w:t>
      </w:r>
      <w:r>
        <w:rPr>
          <w:szCs w:val="24"/>
        </w:rPr>
        <w:t>.</w:t>
      </w:r>
      <w:r w:rsidRPr="00122B09">
        <w:rPr>
          <w:szCs w:val="24"/>
        </w:rPr>
        <w:t xml:space="preserve"> </w:t>
      </w:r>
      <w:r w:rsidR="00D0217C" w:rsidRPr="00122B09">
        <w:rPr>
          <w:szCs w:val="24"/>
        </w:rPr>
        <w:t>In 2018</w:t>
      </w:r>
      <w:r w:rsidR="00256D91">
        <w:rPr>
          <w:szCs w:val="24"/>
        </w:rPr>
        <w:t>,</w:t>
      </w:r>
      <w:r>
        <w:rPr>
          <w:szCs w:val="24"/>
        </w:rPr>
        <w:t xml:space="preserve"> scores dec</w:t>
      </w:r>
      <w:r w:rsidR="007E384C">
        <w:rPr>
          <w:szCs w:val="24"/>
        </w:rPr>
        <w:t>l</w:t>
      </w:r>
      <w:r>
        <w:rPr>
          <w:szCs w:val="24"/>
        </w:rPr>
        <w:t>ined</w:t>
      </w:r>
      <w:r w:rsidR="00256D91">
        <w:rPr>
          <w:szCs w:val="24"/>
        </w:rPr>
        <w:t xml:space="preserve"> to below state averages with</w:t>
      </w:r>
      <w:r w:rsidR="00D0217C" w:rsidRPr="00122B09">
        <w:rPr>
          <w:szCs w:val="24"/>
        </w:rPr>
        <w:t xml:space="preserve"> </w:t>
      </w:r>
      <w:r>
        <w:rPr>
          <w:szCs w:val="24"/>
        </w:rPr>
        <w:t xml:space="preserve">79 </w:t>
      </w:r>
      <w:r w:rsidR="00D0217C" w:rsidRPr="00122B09">
        <w:rPr>
          <w:szCs w:val="24"/>
        </w:rPr>
        <w:t xml:space="preserve">percent </w:t>
      </w:r>
      <w:r w:rsidR="00256D91">
        <w:rPr>
          <w:szCs w:val="24"/>
        </w:rPr>
        <w:t>earning</w:t>
      </w:r>
      <w:r w:rsidR="00D0217C" w:rsidRPr="00122B09">
        <w:rPr>
          <w:szCs w:val="24"/>
        </w:rPr>
        <w:t xml:space="preserve"> proficient or advanced in </w:t>
      </w:r>
      <w:r>
        <w:rPr>
          <w:szCs w:val="24"/>
        </w:rPr>
        <w:t xml:space="preserve">ELA, 65 </w:t>
      </w:r>
      <w:r w:rsidR="00D0217C" w:rsidRPr="00122B09">
        <w:rPr>
          <w:szCs w:val="24"/>
        </w:rPr>
        <w:t>percent earn</w:t>
      </w:r>
      <w:r w:rsidR="00256D91">
        <w:rPr>
          <w:szCs w:val="24"/>
        </w:rPr>
        <w:t>ing</w:t>
      </w:r>
      <w:r w:rsidR="00D0217C" w:rsidRPr="00122B09">
        <w:rPr>
          <w:szCs w:val="24"/>
        </w:rPr>
        <w:t xml:space="preserve"> proficient or advanced in mathematics, and </w:t>
      </w:r>
      <w:r>
        <w:rPr>
          <w:szCs w:val="24"/>
        </w:rPr>
        <w:t xml:space="preserve">59 </w:t>
      </w:r>
      <w:r w:rsidR="00D0217C" w:rsidRPr="00122B09">
        <w:rPr>
          <w:szCs w:val="24"/>
        </w:rPr>
        <w:t>percent earn</w:t>
      </w:r>
      <w:r w:rsidR="00256D91">
        <w:rPr>
          <w:szCs w:val="24"/>
        </w:rPr>
        <w:t>ing</w:t>
      </w:r>
      <w:r w:rsidR="00D0217C" w:rsidRPr="00122B09">
        <w:rPr>
          <w:szCs w:val="24"/>
        </w:rPr>
        <w:t xml:space="preserve"> proficient or advanced on the science and </w:t>
      </w:r>
      <w:r w:rsidR="00650F36" w:rsidRPr="00122B09">
        <w:rPr>
          <w:szCs w:val="24"/>
        </w:rPr>
        <w:t>technology</w:t>
      </w:r>
      <w:r w:rsidR="00650F36">
        <w:rPr>
          <w:szCs w:val="24"/>
        </w:rPr>
        <w:t>/</w:t>
      </w:r>
      <w:r w:rsidR="00D0217C" w:rsidRPr="00122B09">
        <w:rPr>
          <w:szCs w:val="24"/>
        </w:rPr>
        <w:t>engineering assessment.</w:t>
      </w:r>
      <w:r w:rsidR="00256D91" w:rsidRPr="00BA06B6">
        <w:rPr>
          <w:rStyle w:val="FootnoteReference"/>
          <w:szCs w:val="24"/>
          <w:vertAlign w:val="superscript"/>
        </w:rPr>
        <w:footnoteReference w:id="9"/>
      </w:r>
    </w:p>
    <w:p w14:paraId="30F148EA" w14:textId="77777777" w:rsidR="008413F9" w:rsidRDefault="008413F9" w:rsidP="00C60519">
      <w:pPr>
        <w:widowControl/>
        <w:rPr>
          <w:szCs w:val="24"/>
        </w:rPr>
      </w:pPr>
    </w:p>
    <w:p w14:paraId="0668A04A" w14:textId="30F33BCB" w:rsidR="00D0217C" w:rsidRPr="00122B09" w:rsidRDefault="00F15544" w:rsidP="00C60519">
      <w:pPr>
        <w:widowControl/>
        <w:rPr>
          <w:snapToGrid/>
          <w:szCs w:val="24"/>
        </w:rPr>
      </w:pPr>
      <w:r>
        <w:rPr>
          <w:szCs w:val="24"/>
        </w:rPr>
        <w:t xml:space="preserve">In 2019, </w:t>
      </w:r>
      <w:r w:rsidR="008B3C7D">
        <w:rPr>
          <w:szCs w:val="24"/>
        </w:rPr>
        <w:t xml:space="preserve">scores declined even more with all results </w:t>
      </w:r>
      <w:r w:rsidR="008B3C7D" w:rsidRPr="008B3C7D">
        <w:rPr>
          <w:szCs w:val="24"/>
        </w:rPr>
        <w:t>below state averages, and below the grade 10 results for Boston Public Schools</w:t>
      </w:r>
      <w:r w:rsidR="008B3C7D">
        <w:rPr>
          <w:szCs w:val="24"/>
        </w:rPr>
        <w:t xml:space="preserve">. </w:t>
      </w:r>
      <w:proofErr w:type="spellStart"/>
      <w:r>
        <w:rPr>
          <w:szCs w:val="24"/>
        </w:rPr>
        <w:t>CoaH</w:t>
      </w:r>
      <w:proofErr w:type="spellEnd"/>
      <w:r>
        <w:rPr>
          <w:szCs w:val="24"/>
        </w:rPr>
        <w:t xml:space="preserve"> CS administered the Next Generation MCAS assessment for ELA and mathematics</w:t>
      </w:r>
      <w:r w:rsidR="008B3C7D">
        <w:rPr>
          <w:szCs w:val="24"/>
        </w:rPr>
        <w:t xml:space="preserve"> and the </w:t>
      </w:r>
      <w:r w:rsidR="008B3C7D" w:rsidRPr="008B3C7D">
        <w:rPr>
          <w:szCs w:val="24"/>
        </w:rPr>
        <w:t>legacy science MCAS</w:t>
      </w:r>
      <w:r>
        <w:rPr>
          <w:szCs w:val="24"/>
        </w:rPr>
        <w:t xml:space="preserve">. </w:t>
      </w:r>
      <w:r w:rsidR="008B3C7D">
        <w:rPr>
          <w:szCs w:val="24"/>
        </w:rPr>
        <w:t>Twenty-six</w:t>
      </w:r>
      <w:r>
        <w:rPr>
          <w:szCs w:val="24"/>
        </w:rPr>
        <w:t xml:space="preserve"> percent of grade 10 students met or exceeded expectations in ELA</w:t>
      </w:r>
      <w:r w:rsidR="00650F36">
        <w:rPr>
          <w:szCs w:val="24"/>
        </w:rPr>
        <w:t>,</w:t>
      </w:r>
      <w:r>
        <w:rPr>
          <w:szCs w:val="24"/>
        </w:rPr>
        <w:t xml:space="preserve"> 24 percent of grade 10 students met or exceeded expectations in mathematics</w:t>
      </w:r>
      <w:r w:rsidR="008B3C7D">
        <w:rPr>
          <w:szCs w:val="24"/>
        </w:rPr>
        <w:t>,</w:t>
      </w:r>
      <w:r>
        <w:rPr>
          <w:szCs w:val="24"/>
        </w:rPr>
        <w:t xml:space="preserve"> </w:t>
      </w:r>
      <w:r w:rsidR="00650F36">
        <w:rPr>
          <w:szCs w:val="24"/>
        </w:rPr>
        <w:t xml:space="preserve">and </w:t>
      </w:r>
      <w:r>
        <w:rPr>
          <w:szCs w:val="24"/>
        </w:rPr>
        <w:t>48 percent scor</w:t>
      </w:r>
      <w:r w:rsidR="008B3C7D">
        <w:rPr>
          <w:szCs w:val="24"/>
        </w:rPr>
        <w:t>ed</w:t>
      </w:r>
      <w:r>
        <w:rPr>
          <w:szCs w:val="24"/>
        </w:rPr>
        <w:t xml:space="preserve"> proficient or advanced</w:t>
      </w:r>
      <w:r w:rsidR="008B3C7D">
        <w:rPr>
          <w:szCs w:val="24"/>
        </w:rPr>
        <w:t xml:space="preserve"> in science</w:t>
      </w:r>
      <w:r>
        <w:rPr>
          <w:szCs w:val="24"/>
        </w:rPr>
        <w:t>.</w:t>
      </w:r>
      <w:r w:rsidR="00017A22" w:rsidRPr="00BA06B6">
        <w:rPr>
          <w:rStyle w:val="FootnoteReference"/>
          <w:szCs w:val="24"/>
          <w:vertAlign w:val="superscript"/>
        </w:rPr>
        <w:footnoteReference w:id="10"/>
      </w:r>
    </w:p>
    <w:p w14:paraId="76D9FBD0" w14:textId="77777777" w:rsidR="00D0217C" w:rsidRPr="00122B09" w:rsidRDefault="00D0217C" w:rsidP="00C60519">
      <w:pPr>
        <w:widowControl/>
        <w:tabs>
          <w:tab w:val="left" w:pos="2445"/>
        </w:tabs>
        <w:rPr>
          <w:szCs w:val="24"/>
        </w:rPr>
      </w:pPr>
      <w:r w:rsidRPr="00122B09">
        <w:rPr>
          <w:szCs w:val="24"/>
        </w:rPr>
        <w:tab/>
      </w:r>
    </w:p>
    <w:p w14:paraId="239E5EF6" w14:textId="489951A3" w:rsidR="00D0217C" w:rsidRPr="00122B09" w:rsidRDefault="00F15544" w:rsidP="00C60519">
      <w:pPr>
        <w:widowControl/>
        <w:rPr>
          <w:szCs w:val="24"/>
        </w:rPr>
      </w:pPr>
      <w:r>
        <w:rPr>
          <w:szCs w:val="24"/>
        </w:rPr>
        <w:t xml:space="preserve">As noted above, </w:t>
      </w:r>
      <w:proofErr w:type="spellStart"/>
      <w:r>
        <w:rPr>
          <w:szCs w:val="24"/>
        </w:rPr>
        <w:t>CoaH</w:t>
      </w:r>
      <w:proofErr w:type="spellEnd"/>
      <w:r w:rsidR="00CA1476">
        <w:rPr>
          <w:szCs w:val="24"/>
        </w:rPr>
        <w:t xml:space="preserve"> CS’</w:t>
      </w:r>
      <w:r>
        <w:rPr>
          <w:szCs w:val="24"/>
        </w:rPr>
        <w:t xml:space="preserve">s overall classification of requiring assistance or intervention is due to a low graduation rate. The school’s </w:t>
      </w:r>
      <w:r w:rsidR="00AD729F">
        <w:rPr>
          <w:szCs w:val="24"/>
        </w:rPr>
        <w:t>four</w:t>
      </w:r>
      <w:r>
        <w:rPr>
          <w:szCs w:val="24"/>
        </w:rPr>
        <w:t>-year graduation rate for the 2018 cohort was 54 percent. For prior cohorts, four-year graduation rates have varied between a high of 80.8 percent and a low of 69.5 percent. The school has always produced hi</w:t>
      </w:r>
      <w:r w:rsidR="00E6034D">
        <w:rPr>
          <w:szCs w:val="24"/>
        </w:rPr>
        <w:t xml:space="preserve">gher </w:t>
      </w:r>
      <w:r w:rsidR="00AD729F">
        <w:rPr>
          <w:szCs w:val="24"/>
        </w:rPr>
        <w:t>five</w:t>
      </w:r>
      <w:r w:rsidR="00E6034D">
        <w:rPr>
          <w:szCs w:val="24"/>
        </w:rPr>
        <w:t>-year graduation rates, between 84 and 92 percent over the past four years. In 2017 and 2018</w:t>
      </w:r>
      <w:r w:rsidR="00D0217C" w:rsidRPr="00122B09">
        <w:rPr>
          <w:szCs w:val="24"/>
        </w:rPr>
        <w:t xml:space="preserve">, the school’s dropout rate was </w:t>
      </w:r>
      <w:r w:rsidR="00E6034D">
        <w:rPr>
          <w:szCs w:val="24"/>
        </w:rPr>
        <w:t xml:space="preserve">1.1 percent both years, </w:t>
      </w:r>
      <w:r w:rsidR="00D0217C" w:rsidRPr="00122B09">
        <w:rPr>
          <w:szCs w:val="24"/>
        </w:rPr>
        <w:t xml:space="preserve">compared to statewide </w:t>
      </w:r>
      <w:r w:rsidR="0037204C">
        <w:rPr>
          <w:szCs w:val="24"/>
        </w:rPr>
        <w:t>rates</w:t>
      </w:r>
      <w:r w:rsidR="00D0217C" w:rsidRPr="00122B09">
        <w:rPr>
          <w:szCs w:val="24"/>
        </w:rPr>
        <w:t xml:space="preserve"> of 1.9 and 1.8 percent. </w:t>
      </w:r>
    </w:p>
    <w:p w14:paraId="0DADDBB6" w14:textId="77777777" w:rsidR="00D0217C" w:rsidRPr="00122B09" w:rsidRDefault="00D0217C" w:rsidP="00C60519">
      <w:pPr>
        <w:widowControl/>
        <w:rPr>
          <w:szCs w:val="24"/>
        </w:rPr>
      </w:pPr>
    </w:p>
    <w:p w14:paraId="61D28E83" w14:textId="2A06B628" w:rsidR="00D0217C" w:rsidRPr="00122B09" w:rsidRDefault="00D6325A" w:rsidP="00C60519">
      <w:pPr>
        <w:widowControl/>
        <w:rPr>
          <w:szCs w:val="24"/>
        </w:rPr>
      </w:pPr>
      <w:r>
        <w:rPr>
          <w:szCs w:val="24"/>
        </w:rPr>
        <w:t>Importantly</w:t>
      </w:r>
      <w:r w:rsidR="00D0217C" w:rsidRPr="00122B09">
        <w:rPr>
          <w:szCs w:val="24"/>
        </w:rPr>
        <w:t xml:space="preserve">, throughout the </w:t>
      </w:r>
      <w:r w:rsidR="00650F36">
        <w:rPr>
          <w:szCs w:val="24"/>
        </w:rPr>
        <w:t xml:space="preserve">current </w:t>
      </w:r>
      <w:r w:rsidR="00D0217C" w:rsidRPr="00122B09">
        <w:rPr>
          <w:szCs w:val="24"/>
        </w:rPr>
        <w:t xml:space="preserve">charter term, the Department observed a lack of </w:t>
      </w:r>
      <w:proofErr w:type="gramStart"/>
      <w:r w:rsidR="00D0217C" w:rsidRPr="00122B09">
        <w:rPr>
          <w:szCs w:val="24"/>
        </w:rPr>
        <w:t>high quality</w:t>
      </w:r>
      <w:proofErr w:type="gramEnd"/>
      <w:r w:rsidR="00D0217C" w:rsidRPr="00122B09">
        <w:rPr>
          <w:szCs w:val="24"/>
        </w:rPr>
        <w:t xml:space="preserve"> in</w:t>
      </w:r>
      <w:r w:rsidR="00E6034D">
        <w:rPr>
          <w:szCs w:val="24"/>
        </w:rPr>
        <w:t>struction</w:t>
      </w:r>
      <w:r w:rsidR="00D0217C" w:rsidRPr="00122B09">
        <w:rPr>
          <w:szCs w:val="24"/>
        </w:rPr>
        <w:t xml:space="preserve">. </w:t>
      </w:r>
      <w:r>
        <w:rPr>
          <w:szCs w:val="24"/>
        </w:rPr>
        <w:t>D</w:t>
      </w:r>
      <w:r w:rsidR="00E6034D">
        <w:rPr>
          <w:szCs w:val="24"/>
        </w:rPr>
        <w:t xml:space="preserve">uring the recent renewal inspection visit, </w:t>
      </w:r>
      <w:r w:rsidR="00D0217C" w:rsidRPr="00122B09">
        <w:rPr>
          <w:szCs w:val="24"/>
        </w:rPr>
        <w:t xml:space="preserve">the Department </w:t>
      </w:r>
      <w:r w:rsidR="00E6034D">
        <w:rPr>
          <w:szCs w:val="24"/>
        </w:rPr>
        <w:t xml:space="preserve">found a lack of high expectations for all students, a lack of student engagement, and evidence that </w:t>
      </w:r>
      <w:r w:rsidR="00E6034D" w:rsidRPr="00122B09">
        <w:rPr>
          <w:szCs w:val="24"/>
        </w:rPr>
        <w:t>classroom environments were not always respectful or conducive to learning</w:t>
      </w:r>
      <w:r w:rsidR="00E6034D">
        <w:rPr>
          <w:szCs w:val="24"/>
        </w:rPr>
        <w:t>.</w:t>
      </w:r>
      <w:r w:rsidR="00D0217C" w:rsidRPr="00122B09">
        <w:rPr>
          <w:szCs w:val="24"/>
        </w:rPr>
        <w:t xml:space="preserve"> </w:t>
      </w:r>
    </w:p>
    <w:p w14:paraId="65B216AC" w14:textId="77777777" w:rsidR="00D0217C" w:rsidRPr="00122B09" w:rsidRDefault="00D0217C" w:rsidP="00BA06B6">
      <w:pPr>
        <w:widowControl/>
        <w:rPr>
          <w:b/>
        </w:rPr>
      </w:pPr>
    </w:p>
    <w:p w14:paraId="1644FAB1" w14:textId="77777777" w:rsidR="00BC14D5" w:rsidRDefault="00BC14D5">
      <w:pPr>
        <w:widowControl/>
        <w:rPr>
          <w:b/>
          <w:u w:val="single"/>
        </w:rPr>
      </w:pPr>
      <w:r>
        <w:rPr>
          <w:b/>
          <w:u w:val="single"/>
        </w:rPr>
        <w:br w:type="page"/>
      </w:r>
    </w:p>
    <w:p w14:paraId="63936798" w14:textId="25A3C18D" w:rsidR="004D0E5B" w:rsidRDefault="004D0E5B" w:rsidP="00C60519">
      <w:pPr>
        <w:widowControl/>
        <w:rPr>
          <w:b/>
          <w:u w:val="single"/>
        </w:rPr>
      </w:pPr>
      <w:r>
        <w:rPr>
          <w:b/>
          <w:u w:val="single"/>
        </w:rPr>
        <w:lastRenderedPageBreak/>
        <w:t xml:space="preserve">Other Concerns </w:t>
      </w:r>
    </w:p>
    <w:p w14:paraId="77DB9C80" w14:textId="77777777" w:rsidR="004D0E5B" w:rsidRDefault="004D0E5B" w:rsidP="00C60519">
      <w:pPr>
        <w:widowControl/>
        <w:rPr>
          <w:b/>
          <w:u w:val="single"/>
        </w:rPr>
      </w:pPr>
    </w:p>
    <w:p w14:paraId="5941C1DD" w14:textId="1527C299" w:rsidR="004D0E5B" w:rsidRPr="00122B09" w:rsidRDefault="004D0E5B" w:rsidP="00C60519">
      <w:pPr>
        <w:pStyle w:val="BodyText2"/>
        <w:widowControl/>
        <w:rPr>
          <w:i w:val="0"/>
          <w:iCs w:val="0"/>
          <w:szCs w:val="24"/>
        </w:rPr>
      </w:pPr>
      <w:r w:rsidRPr="00122B09">
        <w:rPr>
          <w:i w:val="0"/>
          <w:szCs w:val="24"/>
        </w:rPr>
        <w:t xml:space="preserve">Information collected during site visits and other data from the </w:t>
      </w:r>
      <w:r w:rsidR="00650F36">
        <w:rPr>
          <w:i w:val="0"/>
          <w:szCs w:val="24"/>
        </w:rPr>
        <w:t xml:space="preserve">current </w:t>
      </w:r>
      <w:r w:rsidRPr="00122B09">
        <w:rPr>
          <w:i w:val="0"/>
          <w:szCs w:val="24"/>
        </w:rPr>
        <w:t xml:space="preserve">charter term </w:t>
      </w:r>
      <w:r w:rsidR="00650F36">
        <w:rPr>
          <w:i w:val="0"/>
          <w:szCs w:val="24"/>
        </w:rPr>
        <w:t xml:space="preserve">shows </w:t>
      </w:r>
      <w:r w:rsidRPr="00122B09">
        <w:rPr>
          <w:i w:val="0"/>
          <w:szCs w:val="24"/>
        </w:rPr>
        <w:t xml:space="preserve">limited evidence of successful implementation of the school’s mission to prepare students to </w:t>
      </w:r>
      <w:r>
        <w:rPr>
          <w:i w:val="0"/>
          <w:szCs w:val="24"/>
        </w:rPr>
        <w:t>“</w:t>
      </w:r>
      <w:r w:rsidRPr="00122B09">
        <w:rPr>
          <w:i w:val="0"/>
          <w:szCs w:val="24"/>
        </w:rPr>
        <w:t>compete in the 21</w:t>
      </w:r>
      <w:r w:rsidRPr="00122B09">
        <w:rPr>
          <w:i w:val="0"/>
          <w:szCs w:val="24"/>
          <w:vertAlign w:val="superscript"/>
        </w:rPr>
        <w:t>st</w:t>
      </w:r>
      <w:r w:rsidRPr="00122B09">
        <w:rPr>
          <w:i w:val="0"/>
          <w:szCs w:val="24"/>
        </w:rPr>
        <w:t xml:space="preserve"> century.</w:t>
      </w:r>
      <w:r>
        <w:rPr>
          <w:i w:val="0"/>
          <w:szCs w:val="24"/>
        </w:rPr>
        <w:t>”</w:t>
      </w:r>
      <w:r w:rsidRPr="00122B09">
        <w:rPr>
          <w:i w:val="0"/>
          <w:szCs w:val="24"/>
        </w:rPr>
        <w:t xml:space="preserve"> </w:t>
      </w:r>
      <w:r w:rsidR="006048A0">
        <w:rPr>
          <w:i w:val="0"/>
          <w:szCs w:val="24"/>
        </w:rPr>
        <w:t xml:space="preserve">The school is not </w:t>
      </w:r>
      <w:r w:rsidR="004D4C9D">
        <w:rPr>
          <w:i w:val="0"/>
          <w:szCs w:val="24"/>
        </w:rPr>
        <w:t xml:space="preserve">meeting its own goals with respect to its </w:t>
      </w:r>
      <w:r w:rsidR="006048A0">
        <w:rPr>
          <w:i w:val="0"/>
          <w:szCs w:val="24"/>
        </w:rPr>
        <w:t>academic program or school climate. During the renewal inspection visit, the Department gathered evidence tha</w:t>
      </w:r>
      <w:r w:rsidR="000B49BA">
        <w:rPr>
          <w:i w:val="0"/>
          <w:szCs w:val="24"/>
        </w:rPr>
        <w:t>t</w:t>
      </w:r>
      <w:r w:rsidR="006048A0">
        <w:rPr>
          <w:i w:val="0"/>
          <w:szCs w:val="24"/>
        </w:rPr>
        <w:t xml:space="preserve"> </w:t>
      </w:r>
      <w:r w:rsidR="000B49BA">
        <w:rPr>
          <w:i w:val="0"/>
          <w:szCs w:val="24"/>
        </w:rPr>
        <w:t>the</w:t>
      </w:r>
      <w:r w:rsidR="006048A0">
        <w:rPr>
          <w:i w:val="0"/>
          <w:szCs w:val="24"/>
        </w:rPr>
        <w:t xml:space="preserve"> school is </w:t>
      </w:r>
      <w:r w:rsidR="000B49BA">
        <w:rPr>
          <w:i w:val="0"/>
          <w:szCs w:val="24"/>
        </w:rPr>
        <w:t>implementing</w:t>
      </w:r>
      <w:r w:rsidR="006048A0">
        <w:rPr>
          <w:i w:val="0"/>
          <w:szCs w:val="24"/>
        </w:rPr>
        <w:t xml:space="preserve"> its </w:t>
      </w:r>
      <w:r w:rsidR="000B49BA">
        <w:rPr>
          <w:i w:val="0"/>
          <w:szCs w:val="24"/>
        </w:rPr>
        <w:t>citizenship</w:t>
      </w:r>
      <w:r w:rsidR="006048A0">
        <w:rPr>
          <w:i w:val="0"/>
          <w:szCs w:val="24"/>
        </w:rPr>
        <w:t xml:space="preserve"> programming but </w:t>
      </w:r>
      <w:r w:rsidR="000B49BA">
        <w:rPr>
          <w:i w:val="0"/>
          <w:szCs w:val="24"/>
        </w:rPr>
        <w:t xml:space="preserve">is </w:t>
      </w:r>
      <w:r w:rsidR="006048A0">
        <w:rPr>
          <w:i w:val="0"/>
          <w:szCs w:val="24"/>
        </w:rPr>
        <w:t xml:space="preserve">not </w:t>
      </w:r>
      <w:r w:rsidR="004D4C9D">
        <w:rPr>
          <w:i w:val="0"/>
          <w:szCs w:val="24"/>
        </w:rPr>
        <w:t xml:space="preserve">carrying out </w:t>
      </w:r>
      <w:r w:rsidR="006048A0">
        <w:rPr>
          <w:i w:val="0"/>
          <w:szCs w:val="24"/>
        </w:rPr>
        <w:t xml:space="preserve">its </w:t>
      </w:r>
      <w:r w:rsidR="000B49BA">
        <w:rPr>
          <w:i w:val="0"/>
          <w:szCs w:val="24"/>
        </w:rPr>
        <w:t>college preparatory</w:t>
      </w:r>
      <w:r w:rsidR="006048A0">
        <w:rPr>
          <w:i w:val="0"/>
          <w:szCs w:val="24"/>
        </w:rPr>
        <w:t>,</w:t>
      </w:r>
      <w:r w:rsidR="000B49BA">
        <w:rPr>
          <w:i w:val="0"/>
          <w:szCs w:val="24"/>
        </w:rPr>
        <w:t xml:space="preserve"> teacher leadership, or parent engagement programming. While the school </w:t>
      </w:r>
      <w:r w:rsidR="00D6325A">
        <w:rPr>
          <w:i w:val="0"/>
          <w:szCs w:val="24"/>
        </w:rPr>
        <w:t xml:space="preserve">tried </w:t>
      </w:r>
      <w:r w:rsidR="000B49BA">
        <w:rPr>
          <w:i w:val="0"/>
          <w:szCs w:val="24"/>
        </w:rPr>
        <w:t>to address these concerns</w:t>
      </w:r>
      <w:r w:rsidR="00D6325A">
        <w:rPr>
          <w:i w:val="0"/>
          <w:szCs w:val="24"/>
        </w:rPr>
        <w:t xml:space="preserve"> </w:t>
      </w:r>
      <w:r w:rsidR="00D6325A" w:rsidRPr="00D6325A">
        <w:rPr>
          <w:i w:val="0"/>
          <w:szCs w:val="24"/>
        </w:rPr>
        <w:t>during the 2018-</w:t>
      </w:r>
      <w:r w:rsidR="00FD00AE">
        <w:rPr>
          <w:i w:val="0"/>
          <w:szCs w:val="24"/>
        </w:rPr>
        <w:t>20</w:t>
      </w:r>
      <w:r w:rsidR="00D6325A" w:rsidRPr="00D6325A">
        <w:rPr>
          <w:i w:val="0"/>
          <w:szCs w:val="24"/>
        </w:rPr>
        <w:t>19 school year</w:t>
      </w:r>
      <w:r w:rsidR="000B49BA">
        <w:rPr>
          <w:i w:val="0"/>
          <w:szCs w:val="24"/>
        </w:rPr>
        <w:t>, many of those efforts were abandoned</w:t>
      </w:r>
      <w:r w:rsidR="00D6325A">
        <w:rPr>
          <w:i w:val="0"/>
          <w:szCs w:val="24"/>
        </w:rPr>
        <w:t xml:space="preserve"> this year </w:t>
      </w:r>
      <w:r w:rsidR="00D6325A" w:rsidRPr="00D6325A">
        <w:rPr>
          <w:i w:val="0"/>
          <w:szCs w:val="24"/>
        </w:rPr>
        <w:t>due to financial constraints</w:t>
      </w:r>
      <w:r w:rsidR="000B49BA">
        <w:rPr>
          <w:i w:val="0"/>
          <w:szCs w:val="24"/>
        </w:rPr>
        <w:t>.</w:t>
      </w:r>
    </w:p>
    <w:p w14:paraId="6D5E15BA" w14:textId="4169749D" w:rsidR="004D0E5B" w:rsidRDefault="004D0E5B" w:rsidP="00BA06B6">
      <w:pPr>
        <w:widowControl/>
        <w:rPr>
          <w:szCs w:val="24"/>
        </w:rPr>
      </w:pPr>
    </w:p>
    <w:p w14:paraId="5F7C55A6" w14:textId="33553661" w:rsidR="000B49BA" w:rsidRDefault="004D0E5B" w:rsidP="00BA06B6">
      <w:pPr>
        <w:widowControl/>
      </w:pPr>
      <w:r w:rsidRPr="00122B09">
        <w:rPr>
          <w:szCs w:val="24"/>
        </w:rPr>
        <w:t xml:space="preserve">The Summary of Review, attached to this memorandum, also notes concerns </w:t>
      </w:r>
      <w:r w:rsidR="00D6325A">
        <w:rPr>
          <w:szCs w:val="24"/>
        </w:rPr>
        <w:t>regarding</w:t>
      </w:r>
      <w:r w:rsidR="00D6325A" w:rsidRPr="00122B09">
        <w:rPr>
          <w:szCs w:val="24"/>
        </w:rPr>
        <w:t xml:space="preserve"> </w:t>
      </w:r>
      <w:r w:rsidR="000B49BA">
        <w:rPr>
          <w:szCs w:val="24"/>
        </w:rPr>
        <w:t xml:space="preserve">the school’s board of trustees and governance practices. </w:t>
      </w:r>
      <w:r w:rsidR="00B94104">
        <w:rPr>
          <w:szCs w:val="24"/>
        </w:rPr>
        <w:t xml:space="preserve">Board members have overseen a turbulent time during the </w:t>
      </w:r>
      <w:r w:rsidR="004D4C9D">
        <w:rPr>
          <w:szCs w:val="24"/>
        </w:rPr>
        <w:t xml:space="preserve">current </w:t>
      </w:r>
      <w:r w:rsidR="00B94104">
        <w:rPr>
          <w:szCs w:val="24"/>
        </w:rPr>
        <w:t xml:space="preserve">charter term, with significant changes in leadership, declining enrollment and academic results, and troubling finances. </w:t>
      </w:r>
      <w:r w:rsidR="000B49BA" w:rsidRPr="000B49BA">
        <w:t>In the last three years, 20 board members have left the board, and the total number of board members has decreased from about 15 to 8 current members.</w:t>
      </w:r>
      <w:r w:rsidR="000B49BA">
        <w:t xml:space="preserve"> </w:t>
      </w:r>
      <w:r w:rsidR="00B94104">
        <w:t>Additionally, there</w:t>
      </w:r>
      <w:r w:rsidR="000B49BA" w:rsidRPr="000B49BA">
        <w:t xml:space="preserve"> is limited evidence </w:t>
      </w:r>
      <w:r w:rsidR="004D4C9D">
        <w:t xml:space="preserve">that </w:t>
      </w:r>
      <w:r w:rsidR="00B94104">
        <w:t>board</w:t>
      </w:r>
      <w:r w:rsidR="000B49BA" w:rsidRPr="000B49BA">
        <w:t xml:space="preserve"> committees engaged in proper oversight during a period when there were significant concerns regarding finance</w:t>
      </w:r>
      <w:r w:rsidR="00D6325A">
        <w:t>s</w:t>
      </w:r>
      <w:r w:rsidR="000B49BA" w:rsidRPr="000B49BA">
        <w:t xml:space="preserve"> and academic performance. </w:t>
      </w:r>
      <w:r w:rsidR="00B94104">
        <w:t>Committees of the board have not been active; t</w:t>
      </w:r>
      <w:r w:rsidR="000B49BA" w:rsidRPr="000B49BA">
        <w:t xml:space="preserve">he finance committee met only three times </w:t>
      </w:r>
      <w:r w:rsidR="00D6325A">
        <w:t>between</w:t>
      </w:r>
      <w:r w:rsidR="000B49BA" w:rsidRPr="000B49BA">
        <w:t xml:space="preserve"> August 2018 </w:t>
      </w:r>
      <w:r w:rsidR="00D6325A">
        <w:t>and</w:t>
      </w:r>
      <w:r w:rsidR="00D6325A" w:rsidRPr="000B49BA">
        <w:t xml:space="preserve"> </w:t>
      </w:r>
      <w:r w:rsidR="000B49BA" w:rsidRPr="000B49BA">
        <w:t>July 2019</w:t>
      </w:r>
      <w:r w:rsidR="00D6325A">
        <w:t>,</w:t>
      </w:r>
      <w:r w:rsidR="000B49BA" w:rsidRPr="000B49BA">
        <w:t xml:space="preserve"> despite financial concerns at all three schools</w:t>
      </w:r>
      <w:r w:rsidR="00B94104">
        <w:t xml:space="preserve"> </w:t>
      </w:r>
      <w:r w:rsidR="000B49BA" w:rsidRPr="000B49BA">
        <w:t xml:space="preserve">and monthly updates </w:t>
      </w:r>
      <w:r w:rsidR="00D6325A">
        <w:t>indicating</w:t>
      </w:r>
      <w:r w:rsidR="000B49BA" w:rsidRPr="000B49BA">
        <w:t xml:space="preserve"> that the school was not on track to meet goals </w:t>
      </w:r>
      <w:r w:rsidR="00D6325A">
        <w:t>for</w:t>
      </w:r>
      <w:r w:rsidR="000B49BA" w:rsidRPr="000B49BA">
        <w:t xml:space="preserve"> finance and enrollment. Board meeting minutes lack details </w:t>
      </w:r>
      <w:proofErr w:type="gramStart"/>
      <w:r w:rsidR="00D6325A">
        <w:t>sufficient</w:t>
      </w:r>
      <w:proofErr w:type="gramEnd"/>
      <w:r w:rsidR="00D6325A">
        <w:t xml:space="preserve"> to determine </w:t>
      </w:r>
      <w:r w:rsidR="000B49BA" w:rsidRPr="000B49BA">
        <w:t xml:space="preserve">how the board monitored or held the school leader accountable for the lack of progress toward meeting financial goals. </w:t>
      </w:r>
    </w:p>
    <w:p w14:paraId="34D1DA40" w14:textId="00FCF4A5" w:rsidR="00B94104" w:rsidRDefault="00B94104" w:rsidP="00BA06B6">
      <w:pPr>
        <w:widowControl/>
      </w:pPr>
    </w:p>
    <w:p w14:paraId="4D74765B" w14:textId="316B1B3E" w:rsidR="004D0E5B" w:rsidRPr="00122B09" w:rsidRDefault="00B94104" w:rsidP="00BA06B6">
      <w:pPr>
        <w:widowControl/>
        <w:rPr>
          <w:szCs w:val="24"/>
        </w:rPr>
      </w:pPr>
      <w:r>
        <w:t xml:space="preserve">There are additional concerns related to </w:t>
      </w:r>
      <w:r>
        <w:rPr>
          <w:szCs w:val="24"/>
        </w:rPr>
        <w:t xml:space="preserve">the degree to which </w:t>
      </w:r>
      <w:proofErr w:type="spellStart"/>
      <w:r>
        <w:rPr>
          <w:szCs w:val="24"/>
        </w:rPr>
        <w:t>CoaH</w:t>
      </w:r>
      <w:proofErr w:type="spellEnd"/>
      <w:r>
        <w:rPr>
          <w:szCs w:val="24"/>
        </w:rPr>
        <w:t xml:space="preserve"> CS</w:t>
      </w:r>
      <w:r w:rsidR="004D0E5B" w:rsidRPr="00122B09">
        <w:rPr>
          <w:szCs w:val="24"/>
        </w:rPr>
        <w:t xml:space="preserve"> is providing students with equitable access to the school’s program. </w:t>
      </w:r>
      <w:r>
        <w:rPr>
          <w:szCs w:val="24"/>
        </w:rPr>
        <w:t>While t</w:t>
      </w:r>
      <w:r w:rsidR="004D0E5B" w:rsidRPr="00122B09">
        <w:rPr>
          <w:szCs w:val="24"/>
        </w:rPr>
        <w:t>he school has been successful in recruiting a student population demographically comparable</w:t>
      </w:r>
      <w:r w:rsidR="004D0E5B">
        <w:rPr>
          <w:szCs w:val="24"/>
        </w:rPr>
        <w:t xml:space="preserve"> to its sending districts</w:t>
      </w:r>
      <w:r>
        <w:rPr>
          <w:szCs w:val="24"/>
        </w:rPr>
        <w:t xml:space="preserve">, </w:t>
      </w:r>
      <w:r w:rsidR="004D0E5B" w:rsidRPr="00122B09">
        <w:rPr>
          <w:szCs w:val="24"/>
        </w:rPr>
        <w:t>the school suspended students at rates higher than the statewide average</w:t>
      </w:r>
      <w:r>
        <w:rPr>
          <w:szCs w:val="24"/>
        </w:rPr>
        <w:t xml:space="preserve"> and has rates of emergency removal that are above the statewide average. </w:t>
      </w:r>
      <w:r w:rsidR="004D0E5B" w:rsidRPr="00122B09">
        <w:rPr>
          <w:szCs w:val="24"/>
        </w:rPr>
        <w:t xml:space="preserve"> </w:t>
      </w:r>
      <w:r w:rsidR="00C23B29">
        <w:rPr>
          <w:szCs w:val="24"/>
        </w:rPr>
        <w:t xml:space="preserve">The school has significantly decreased its in-school suspension rates from </w:t>
      </w:r>
      <w:r w:rsidR="003B3835">
        <w:rPr>
          <w:szCs w:val="24"/>
        </w:rPr>
        <w:t>a high of</w:t>
      </w:r>
      <w:r w:rsidR="00C23B29">
        <w:rPr>
          <w:szCs w:val="24"/>
        </w:rPr>
        <w:t xml:space="preserve"> 21 percent</w:t>
      </w:r>
      <w:r w:rsidR="003B3835">
        <w:rPr>
          <w:szCs w:val="24"/>
        </w:rPr>
        <w:t xml:space="preserve"> in 2016</w:t>
      </w:r>
      <w:r w:rsidR="00C23B29">
        <w:rPr>
          <w:szCs w:val="24"/>
        </w:rPr>
        <w:t xml:space="preserve"> to 1 percent</w:t>
      </w:r>
      <w:r w:rsidR="003B3835">
        <w:rPr>
          <w:szCs w:val="24"/>
        </w:rPr>
        <w:t xml:space="preserve"> in 2019</w:t>
      </w:r>
      <w:r w:rsidR="007928CA">
        <w:rPr>
          <w:szCs w:val="24"/>
        </w:rPr>
        <w:t xml:space="preserve">; the statewide average for </w:t>
      </w:r>
      <w:r w:rsidR="007928CA" w:rsidRPr="007928CA">
        <w:rPr>
          <w:szCs w:val="24"/>
        </w:rPr>
        <w:t>in-school suspensions w</w:t>
      </w:r>
      <w:r w:rsidR="007928CA">
        <w:rPr>
          <w:szCs w:val="24"/>
        </w:rPr>
        <w:t>as</w:t>
      </w:r>
      <w:r w:rsidR="007928CA" w:rsidRPr="007928CA">
        <w:rPr>
          <w:szCs w:val="24"/>
        </w:rPr>
        <w:t xml:space="preserve"> 1.8 percent</w:t>
      </w:r>
      <w:r w:rsidR="007928CA">
        <w:rPr>
          <w:szCs w:val="24"/>
        </w:rPr>
        <w:t xml:space="preserve"> in 2019.</w:t>
      </w:r>
      <w:r w:rsidR="00C23B29">
        <w:rPr>
          <w:szCs w:val="24"/>
        </w:rPr>
        <w:t xml:space="preserve"> </w:t>
      </w:r>
      <w:r w:rsidR="007928CA">
        <w:rPr>
          <w:szCs w:val="24"/>
        </w:rPr>
        <w:t xml:space="preserve">The school’s </w:t>
      </w:r>
      <w:r w:rsidR="00C23B29">
        <w:rPr>
          <w:szCs w:val="24"/>
        </w:rPr>
        <w:t>out-of-school suspension rates</w:t>
      </w:r>
      <w:r w:rsidR="007928CA">
        <w:rPr>
          <w:szCs w:val="24"/>
        </w:rPr>
        <w:t>, however,</w:t>
      </w:r>
      <w:r w:rsidR="00C23B29">
        <w:rPr>
          <w:szCs w:val="24"/>
        </w:rPr>
        <w:t xml:space="preserve"> have </w:t>
      </w:r>
      <w:r w:rsidR="00D65FF4">
        <w:rPr>
          <w:szCs w:val="24"/>
        </w:rPr>
        <w:t>increased</w:t>
      </w:r>
      <w:r w:rsidR="00C23B29">
        <w:rPr>
          <w:szCs w:val="24"/>
        </w:rPr>
        <w:t xml:space="preserve"> </w:t>
      </w:r>
      <w:r w:rsidR="003B3835">
        <w:rPr>
          <w:szCs w:val="24"/>
        </w:rPr>
        <w:t>from about 10</w:t>
      </w:r>
      <w:r w:rsidR="00C23B29">
        <w:rPr>
          <w:szCs w:val="24"/>
        </w:rPr>
        <w:t xml:space="preserve"> percent</w:t>
      </w:r>
      <w:r w:rsidR="003B3835">
        <w:rPr>
          <w:szCs w:val="24"/>
        </w:rPr>
        <w:t xml:space="preserve"> in 2016 and 2017</w:t>
      </w:r>
      <w:r w:rsidR="00C23B29">
        <w:rPr>
          <w:szCs w:val="24"/>
        </w:rPr>
        <w:t xml:space="preserve"> to 13.3 percent </w:t>
      </w:r>
      <w:r w:rsidR="003B3835">
        <w:rPr>
          <w:szCs w:val="24"/>
        </w:rPr>
        <w:t>in 2019</w:t>
      </w:r>
      <w:r w:rsidR="007928CA">
        <w:rPr>
          <w:szCs w:val="24"/>
        </w:rPr>
        <w:t xml:space="preserve">; </w:t>
      </w:r>
      <w:r w:rsidR="006D50B5">
        <w:rPr>
          <w:szCs w:val="24"/>
        </w:rPr>
        <w:t>the statewide average rate out-of-school suspension</w:t>
      </w:r>
      <w:r w:rsidR="00E37FDC">
        <w:rPr>
          <w:szCs w:val="24"/>
        </w:rPr>
        <w:t>s</w:t>
      </w:r>
      <w:r w:rsidR="006D50B5">
        <w:rPr>
          <w:szCs w:val="24"/>
        </w:rPr>
        <w:t xml:space="preserve"> w</w:t>
      </w:r>
      <w:r w:rsidR="007928CA">
        <w:rPr>
          <w:szCs w:val="24"/>
        </w:rPr>
        <w:t>as</w:t>
      </w:r>
      <w:r w:rsidR="006D50B5">
        <w:rPr>
          <w:szCs w:val="24"/>
        </w:rPr>
        <w:t xml:space="preserve"> 3 percent. </w:t>
      </w:r>
    </w:p>
    <w:p w14:paraId="3020B606" w14:textId="77777777" w:rsidR="004D0E5B" w:rsidRDefault="004D0E5B" w:rsidP="00C60519">
      <w:pPr>
        <w:widowControl/>
        <w:rPr>
          <w:b/>
          <w:u w:val="single"/>
        </w:rPr>
      </w:pPr>
    </w:p>
    <w:p w14:paraId="20DB1FDB" w14:textId="2F21A06B" w:rsidR="00742640" w:rsidRDefault="00742640" w:rsidP="00C60519">
      <w:pPr>
        <w:widowControl/>
        <w:rPr>
          <w:b/>
          <w:u w:val="single"/>
        </w:rPr>
      </w:pPr>
      <w:r>
        <w:rPr>
          <w:b/>
          <w:u w:val="single"/>
        </w:rPr>
        <w:t>Consolidation Request</w:t>
      </w:r>
    </w:p>
    <w:p w14:paraId="5B37F5C5" w14:textId="76224DD9" w:rsidR="00184684" w:rsidRPr="005417D0" w:rsidRDefault="00D6325A" w:rsidP="00BA06B6">
      <w:pPr>
        <w:widowControl/>
        <w:spacing w:before="100" w:beforeAutospacing="1" w:after="100" w:afterAutospacing="1"/>
        <w:rPr>
          <w:color w:val="000000"/>
          <w:szCs w:val="24"/>
        </w:rPr>
      </w:pPr>
      <w:r>
        <w:rPr>
          <w:color w:val="000000"/>
          <w:szCs w:val="24"/>
        </w:rPr>
        <w:t>As noted in footnote 2 earlier, p</w:t>
      </w:r>
      <w:r w:rsidR="00184684" w:rsidRPr="005417D0">
        <w:rPr>
          <w:color w:val="000000"/>
          <w:szCs w:val="24"/>
        </w:rPr>
        <w:t xml:space="preserve">ursuant to G.L. c. 71, § 89(d), the Board may authorize "a single board of trustees to oversee more than one charter school provided . . . each school is issued its own charter." </w:t>
      </w:r>
      <w:r>
        <w:rPr>
          <w:color w:val="000000"/>
          <w:szCs w:val="24"/>
        </w:rPr>
        <w:t>C</w:t>
      </w:r>
      <w:r w:rsidR="00184684" w:rsidRPr="005417D0">
        <w:rPr>
          <w:color w:val="000000"/>
          <w:szCs w:val="24"/>
        </w:rPr>
        <w:t xml:space="preserve">onsolidation </w:t>
      </w:r>
      <w:r>
        <w:rPr>
          <w:color w:val="000000"/>
          <w:szCs w:val="24"/>
        </w:rPr>
        <w:t>p</w:t>
      </w:r>
      <w:r w:rsidR="00184684" w:rsidRPr="005417D0">
        <w:rPr>
          <w:color w:val="000000"/>
          <w:szCs w:val="24"/>
        </w:rPr>
        <w:t>ermit</w:t>
      </w:r>
      <w:r>
        <w:rPr>
          <w:color w:val="000000"/>
          <w:szCs w:val="24"/>
        </w:rPr>
        <w:t>s</w:t>
      </w:r>
      <w:r w:rsidR="00184684" w:rsidRPr="005417D0">
        <w:rPr>
          <w:color w:val="000000"/>
          <w:szCs w:val="24"/>
        </w:rPr>
        <w:t xml:space="preserve"> two or more separate charter schools within a network to operate as a single school</w:t>
      </w:r>
      <w:r>
        <w:rPr>
          <w:color w:val="000000"/>
          <w:szCs w:val="24"/>
        </w:rPr>
        <w:t xml:space="preserve"> under one charter. This </w:t>
      </w:r>
      <w:r w:rsidR="00184684" w:rsidRPr="005417D0">
        <w:rPr>
          <w:color w:val="000000"/>
          <w:szCs w:val="24"/>
        </w:rPr>
        <w:t xml:space="preserve">allows for various operational efficiencies and </w:t>
      </w:r>
      <w:r>
        <w:rPr>
          <w:color w:val="000000"/>
          <w:szCs w:val="24"/>
        </w:rPr>
        <w:t>eliminates enrollment challenges posed when one school in a network closes without consolidation</w:t>
      </w:r>
      <w:r w:rsidR="00184684" w:rsidRPr="005417D0">
        <w:rPr>
          <w:color w:val="000000"/>
          <w:szCs w:val="24"/>
        </w:rPr>
        <w:t xml:space="preserve">. The Board has </w:t>
      </w:r>
      <w:r>
        <w:rPr>
          <w:color w:val="000000"/>
          <w:szCs w:val="24"/>
        </w:rPr>
        <w:t xml:space="preserve">previously </w:t>
      </w:r>
      <w:r w:rsidR="00184684" w:rsidRPr="00EC0B3A">
        <w:rPr>
          <w:color w:val="000000"/>
          <w:szCs w:val="24"/>
        </w:rPr>
        <w:t xml:space="preserve">approved </w:t>
      </w:r>
      <w:r>
        <w:rPr>
          <w:color w:val="000000"/>
          <w:szCs w:val="24"/>
        </w:rPr>
        <w:t xml:space="preserve">consolidation </w:t>
      </w:r>
      <w:r w:rsidR="00184684" w:rsidRPr="00EC0B3A">
        <w:rPr>
          <w:color w:val="000000"/>
          <w:szCs w:val="24"/>
        </w:rPr>
        <w:t xml:space="preserve">requests for </w:t>
      </w:r>
      <w:r w:rsidR="00184684">
        <w:rPr>
          <w:color w:val="000000"/>
          <w:szCs w:val="24"/>
        </w:rPr>
        <w:t>four former networks that each now operate under a single charter</w:t>
      </w:r>
      <w:r>
        <w:rPr>
          <w:color w:val="000000"/>
          <w:szCs w:val="24"/>
        </w:rPr>
        <w:t>. These include</w:t>
      </w:r>
      <w:r w:rsidR="00184684" w:rsidRPr="00EC0B3A">
        <w:rPr>
          <w:color w:val="000000"/>
          <w:szCs w:val="24"/>
        </w:rPr>
        <w:t xml:space="preserve"> Roxbury Preparatory </w:t>
      </w:r>
      <w:r w:rsidR="00184684" w:rsidRPr="00EC0B3A">
        <w:rPr>
          <w:color w:val="000000"/>
          <w:szCs w:val="24"/>
        </w:rPr>
        <w:lastRenderedPageBreak/>
        <w:t>Charter School, Excel Academy Charter School, Match Charter Public School, and Brooke Charter School.</w:t>
      </w:r>
      <w:r w:rsidR="00C7536E" w:rsidRPr="00BA06B6">
        <w:rPr>
          <w:rStyle w:val="FootnoteReference"/>
          <w:color w:val="000000"/>
          <w:szCs w:val="24"/>
          <w:vertAlign w:val="superscript"/>
        </w:rPr>
        <w:footnoteReference w:id="11"/>
      </w:r>
    </w:p>
    <w:p w14:paraId="11AE2021" w14:textId="095B3C9E" w:rsidR="00184684" w:rsidRPr="0048286E" w:rsidRDefault="00184684" w:rsidP="00BA06B6">
      <w:pPr>
        <w:widowControl/>
        <w:spacing w:before="100" w:beforeAutospacing="1" w:after="100" w:afterAutospacing="1"/>
        <w:rPr>
          <w:color w:val="000000"/>
          <w:szCs w:val="24"/>
        </w:rPr>
      </w:pPr>
      <w:r w:rsidRPr="0048286E">
        <w:rPr>
          <w:color w:val="000000"/>
          <w:szCs w:val="24"/>
        </w:rPr>
        <w:t>Under a single charter</w:t>
      </w:r>
      <w:r w:rsidR="006C2336">
        <w:rPr>
          <w:color w:val="000000"/>
          <w:szCs w:val="24"/>
        </w:rPr>
        <w:t xml:space="preserve"> and facility</w:t>
      </w:r>
      <w:r w:rsidRPr="0048286E">
        <w:rPr>
          <w:color w:val="000000"/>
          <w:szCs w:val="24"/>
        </w:rPr>
        <w:t xml:space="preserve">, the board of trustees can realize efficiencies not currently available and simplify administrative processes duplicated over the </w:t>
      </w:r>
      <w:r>
        <w:rPr>
          <w:color w:val="000000"/>
          <w:szCs w:val="24"/>
        </w:rPr>
        <w:t>two Boston</w:t>
      </w:r>
      <w:r w:rsidRPr="0048286E">
        <w:rPr>
          <w:color w:val="000000"/>
          <w:szCs w:val="24"/>
        </w:rPr>
        <w:t xml:space="preserve"> schools, such as lotteries for enrollment. </w:t>
      </w:r>
      <w:r w:rsidR="009D0B21">
        <w:rPr>
          <w:color w:val="000000"/>
          <w:szCs w:val="24"/>
        </w:rPr>
        <w:t xml:space="preserve">Significantly, </w:t>
      </w:r>
      <w:r w:rsidR="008A6E38">
        <w:rPr>
          <w:color w:val="000000"/>
          <w:szCs w:val="24"/>
        </w:rPr>
        <w:t>t</w:t>
      </w:r>
      <w:r w:rsidRPr="0048286E">
        <w:rPr>
          <w:color w:val="000000"/>
          <w:szCs w:val="24"/>
        </w:rPr>
        <w:t xml:space="preserve">he consolidation will permit the school to </w:t>
      </w:r>
      <w:r>
        <w:rPr>
          <w:color w:val="000000"/>
          <w:szCs w:val="24"/>
        </w:rPr>
        <w:t xml:space="preserve">eliminate the additional costs associated with </w:t>
      </w:r>
      <w:r w:rsidR="00393AA6">
        <w:rPr>
          <w:color w:val="000000"/>
          <w:szCs w:val="24"/>
        </w:rPr>
        <w:t xml:space="preserve">operating two facilities and </w:t>
      </w:r>
      <w:r>
        <w:rPr>
          <w:color w:val="000000"/>
          <w:szCs w:val="24"/>
        </w:rPr>
        <w:t>staffing a network office to oversee the two Boston schools.</w:t>
      </w:r>
      <w:r w:rsidRPr="003E69F8">
        <w:rPr>
          <w:rStyle w:val="FootnoteReference"/>
          <w:color w:val="000000"/>
          <w:szCs w:val="24"/>
          <w:vertAlign w:val="superscript"/>
        </w:rPr>
        <w:footnoteReference w:id="12"/>
      </w:r>
      <w:r>
        <w:rPr>
          <w:color w:val="000000"/>
          <w:szCs w:val="24"/>
        </w:rPr>
        <w:t xml:space="preserve"> </w:t>
      </w:r>
      <w:r w:rsidRPr="0048286E">
        <w:rPr>
          <w:color w:val="000000"/>
          <w:szCs w:val="24"/>
        </w:rPr>
        <w:t xml:space="preserve">The material terms of the charters, including governance and leadership structures, will not </w:t>
      </w:r>
      <w:r w:rsidR="009D0B21">
        <w:rPr>
          <w:color w:val="000000"/>
          <w:szCs w:val="24"/>
        </w:rPr>
        <w:t xml:space="preserve">need to </w:t>
      </w:r>
      <w:r w:rsidRPr="0048286E">
        <w:rPr>
          <w:color w:val="000000"/>
          <w:szCs w:val="24"/>
        </w:rPr>
        <w:t>change as a result of consolidation.</w:t>
      </w:r>
      <w:r w:rsidR="003D35E4">
        <w:rPr>
          <w:color w:val="000000"/>
          <w:szCs w:val="24"/>
        </w:rPr>
        <w:t xml:space="preserve"> Current co-location arrangements have laid the groundwork for both school communities to come together under one roof for the 2020-2021 school year.</w:t>
      </w:r>
      <w:r w:rsidRPr="0048286E">
        <w:rPr>
          <w:color w:val="000000"/>
          <w:szCs w:val="24"/>
        </w:rPr>
        <w:t xml:space="preserve"> </w:t>
      </w:r>
    </w:p>
    <w:p w14:paraId="2F8FBFE2" w14:textId="3C16B9BD" w:rsidR="008A6E38" w:rsidRDefault="00184684" w:rsidP="009D0B21">
      <w:pPr>
        <w:widowControl/>
        <w:rPr>
          <w:color w:val="000000"/>
          <w:szCs w:val="24"/>
        </w:rPr>
      </w:pPr>
      <w:r w:rsidRPr="00A23E2E">
        <w:rPr>
          <w:color w:val="000000"/>
          <w:szCs w:val="24"/>
        </w:rPr>
        <w:t xml:space="preserve">I recommend that the Board consolidate the charter of </w:t>
      </w:r>
      <w:proofErr w:type="spellStart"/>
      <w:r w:rsidRPr="00A23E2E">
        <w:rPr>
          <w:color w:val="000000"/>
          <w:szCs w:val="24"/>
        </w:rPr>
        <w:t>CoaH</w:t>
      </w:r>
      <w:proofErr w:type="spellEnd"/>
      <w:r w:rsidRPr="00A23E2E">
        <w:rPr>
          <w:color w:val="000000"/>
          <w:szCs w:val="24"/>
        </w:rPr>
        <w:t xml:space="preserve"> DS under the charter of </w:t>
      </w:r>
      <w:proofErr w:type="spellStart"/>
      <w:r w:rsidRPr="00A23E2E">
        <w:rPr>
          <w:color w:val="000000"/>
          <w:szCs w:val="24"/>
        </w:rPr>
        <w:t>CoaH</w:t>
      </w:r>
      <w:proofErr w:type="spellEnd"/>
      <w:r w:rsidRPr="00A23E2E">
        <w:rPr>
          <w:color w:val="000000"/>
          <w:szCs w:val="24"/>
        </w:rPr>
        <w:t xml:space="preserve"> CS for a single school serving </w:t>
      </w:r>
      <w:r w:rsidR="00A23E2E" w:rsidRPr="00A23E2E">
        <w:rPr>
          <w:color w:val="000000"/>
          <w:szCs w:val="24"/>
        </w:rPr>
        <w:t xml:space="preserve">400 </w:t>
      </w:r>
      <w:r w:rsidRPr="00A23E2E">
        <w:rPr>
          <w:color w:val="000000"/>
          <w:szCs w:val="24"/>
        </w:rPr>
        <w:t>students in grades 9 through 12</w:t>
      </w:r>
      <w:r w:rsidR="00324448" w:rsidRPr="00A23E2E">
        <w:rPr>
          <w:color w:val="000000"/>
          <w:szCs w:val="24"/>
        </w:rPr>
        <w:t>, effective July 1, 2020</w:t>
      </w:r>
      <w:r w:rsidR="008A6E38" w:rsidRPr="00A23E2E">
        <w:rPr>
          <w:color w:val="000000"/>
          <w:szCs w:val="24"/>
        </w:rPr>
        <w:t xml:space="preserve">, with the condition that </w:t>
      </w:r>
      <w:r w:rsidR="00E37FDC" w:rsidRPr="00A23E2E">
        <w:t>enrollment is limited to 3</w:t>
      </w:r>
      <w:r w:rsidR="00A23E2E" w:rsidRPr="00A23E2E">
        <w:t>5</w:t>
      </w:r>
      <w:r w:rsidR="00E37FDC" w:rsidRPr="00A23E2E">
        <w:t xml:space="preserve">0 students until </w:t>
      </w:r>
      <w:r w:rsidR="00E016D5">
        <w:t xml:space="preserve">I determine that the school has met the conditions imposed on its charter, including the conditions for academic success. </w:t>
      </w:r>
      <w:r w:rsidR="002560CD" w:rsidRPr="00A23E2E">
        <w:t xml:space="preserve">This enrollment limitation does not permit the school to </w:t>
      </w:r>
      <w:r w:rsidR="00A621C9" w:rsidRPr="00A23E2E">
        <w:t>terminate the enrollment of</w:t>
      </w:r>
      <w:r w:rsidR="002560CD" w:rsidRPr="00A23E2E">
        <w:t xml:space="preserve"> current students.</w:t>
      </w:r>
    </w:p>
    <w:p w14:paraId="44E7806C" w14:textId="77777777" w:rsidR="008A6E38" w:rsidRDefault="008A6E38" w:rsidP="009D0B21">
      <w:pPr>
        <w:widowControl/>
        <w:rPr>
          <w:color w:val="000000"/>
          <w:szCs w:val="24"/>
        </w:rPr>
      </w:pPr>
    </w:p>
    <w:p w14:paraId="25EABB6C" w14:textId="630BC239" w:rsidR="009D0B21" w:rsidRPr="009D0B21" w:rsidRDefault="009D0B21" w:rsidP="009D0B21">
      <w:pPr>
        <w:widowControl/>
        <w:rPr>
          <w:color w:val="000000"/>
          <w:szCs w:val="24"/>
        </w:rPr>
      </w:pPr>
      <w:r w:rsidRPr="009D0B21">
        <w:rPr>
          <w:color w:val="000000"/>
          <w:szCs w:val="24"/>
        </w:rPr>
        <w:t xml:space="preserve">In recommending consolidation of the </w:t>
      </w:r>
      <w:proofErr w:type="spellStart"/>
      <w:r w:rsidRPr="009D0B21">
        <w:rPr>
          <w:color w:val="000000"/>
          <w:szCs w:val="24"/>
        </w:rPr>
        <w:t>CoaH</w:t>
      </w:r>
      <w:proofErr w:type="spellEnd"/>
      <w:r w:rsidRPr="009D0B21">
        <w:rPr>
          <w:color w:val="000000"/>
          <w:szCs w:val="24"/>
        </w:rPr>
        <w:t xml:space="preserve"> CS and DS, I </w:t>
      </w:r>
      <w:r w:rsidR="008A6E38">
        <w:rPr>
          <w:color w:val="000000"/>
          <w:szCs w:val="24"/>
        </w:rPr>
        <w:t xml:space="preserve">have </w:t>
      </w:r>
      <w:r w:rsidRPr="009D0B21">
        <w:rPr>
          <w:color w:val="000000"/>
          <w:szCs w:val="24"/>
        </w:rPr>
        <w:t xml:space="preserve">considered how this </w:t>
      </w:r>
      <w:r>
        <w:rPr>
          <w:color w:val="000000"/>
          <w:szCs w:val="24"/>
        </w:rPr>
        <w:t>will</w:t>
      </w:r>
      <w:r w:rsidRPr="009D0B21">
        <w:rPr>
          <w:color w:val="000000"/>
          <w:szCs w:val="24"/>
        </w:rPr>
        <w:t xml:space="preserve"> enhance the financial sustainability of these schools. The Department reviewed the amendment request and discussed the future of </w:t>
      </w:r>
      <w:proofErr w:type="spellStart"/>
      <w:r w:rsidRPr="009D0B21">
        <w:rPr>
          <w:color w:val="000000"/>
          <w:szCs w:val="24"/>
        </w:rPr>
        <w:t>CoaH</w:t>
      </w:r>
      <w:proofErr w:type="spellEnd"/>
      <w:r w:rsidRPr="009D0B21">
        <w:rPr>
          <w:color w:val="000000"/>
          <w:szCs w:val="24"/>
        </w:rPr>
        <w:t xml:space="preserve"> as a single high school with </w:t>
      </w:r>
      <w:r w:rsidR="008A6E38">
        <w:rPr>
          <w:color w:val="000000"/>
          <w:szCs w:val="24"/>
        </w:rPr>
        <w:t xml:space="preserve">the school’s </w:t>
      </w:r>
      <w:r w:rsidRPr="009D0B21">
        <w:rPr>
          <w:color w:val="000000"/>
          <w:szCs w:val="24"/>
        </w:rPr>
        <w:t xml:space="preserve">board and leadership. The request to consolidate is reasonable and consistent with the charter school statute and regulations and addresses the additional criteria outlined in the technical advisory on </w:t>
      </w:r>
      <w:r w:rsidR="004F3A91">
        <w:rPr>
          <w:color w:val="000000"/>
          <w:szCs w:val="24"/>
        </w:rPr>
        <w:t xml:space="preserve">consolidation </w:t>
      </w:r>
      <w:r w:rsidRPr="009D0B21">
        <w:rPr>
          <w:color w:val="000000"/>
          <w:szCs w:val="24"/>
        </w:rPr>
        <w:t xml:space="preserve">amendments. </w:t>
      </w:r>
    </w:p>
    <w:p w14:paraId="3D526E8E" w14:textId="77777777" w:rsidR="009D0B21" w:rsidRDefault="009D0B21" w:rsidP="00BA06B6">
      <w:pPr>
        <w:widowControl/>
        <w:rPr>
          <w:color w:val="000000"/>
          <w:szCs w:val="24"/>
        </w:rPr>
      </w:pPr>
    </w:p>
    <w:p w14:paraId="6013422A" w14:textId="2B15D337" w:rsidR="00184684" w:rsidRPr="00CA13EE" w:rsidRDefault="0032552A" w:rsidP="00BA06B6">
      <w:pPr>
        <w:widowControl/>
        <w:rPr>
          <w:szCs w:val="24"/>
        </w:rPr>
      </w:pPr>
      <w:r>
        <w:rPr>
          <w:color w:val="000000"/>
          <w:szCs w:val="24"/>
        </w:rPr>
        <w:t xml:space="preserve">My recommendation </w:t>
      </w:r>
      <w:r w:rsidR="008A6E38">
        <w:rPr>
          <w:color w:val="000000"/>
          <w:szCs w:val="24"/>
        </w:rPr>
        <w:t xml:space="preserve">of </w:t>
      </w:r>
      <w:r w:rsidR="00A23E2E" w:rsidRPr="00E016D5">
        <w:rPr>
          <w:color w:val="000000"/>
          <w:szCs w:val="24"/>
        </w:rPr>
        <w:t xml:space="preserve">400 </w:t>
      </w:r>
      <w:r w:rsidR="008A6E38" w:rsidRPr="00E016D5">
        <w:rPr>
          <w:color w:val="000000"/>
          <w:szCs w:val="24"/>
        </w:rPr>
        <w:t xml:space="preserve">seats </w:t>
      </w:r>
      <w:r w:rsidRPr="00E016D5">
        <w:rPr>
          <w:color w:val="000000"/>
          <w:szCs w:val="24"/>
        </w:rPr>
        <w:t xml:space="preserve">is a modification of the </w:t>
      </w:r>
      <w:r w:rsidR="009D0B21" w:rsidRPr="00E016D5">
        <w:rPr>
          <w:color w:val="000000"/>
          <w:szCs w:val="24"/>
        </w:rPr>
        <w:t xml:space="preserve">school’s </w:t>
      </w:r>
      <w:r w:rsidRPr="00E016D5">
        <w:rPr>
          <w:color w:val="000000"/>
          <w:szCs w:val="24"/>
        </w:rPr>
        <w:t xml:space="preserve">proposed maximum enrollment of 450 students. </w:t>
      </w:r>
      <w:r w:rsidR="000A5A03" w:rsidRPr="00E016D5">
        <w:rPr>
          <w:color w:val="000000"/>
          <w:szCs w:val="24"/>
        </w:rPr>
        <w:t xml:space="preserve">While 450 students </w:t>
      </w:r>
      <w:proofErr w:type="gramStart"/>
      <w:r w:rsidR="000A5A03" w:rsidRPr="00E016D5">
        <w:rPr>
          <w:color w:val="000000"/>
          <w:szCs w:val="24"/>
        </w:rPr>
        <w:t>is</w:t>
      </w:r>
      <w:proofErr w:type="gramEnd"/>
      <w:r w:rsidR="000A5A03" w:rsidRPr="00E016D5">
        <w:rPr>
          <w:color w:val="000000"/>
          <w:szCs w:val="24"/>
        </w:rPr>
        <w:t xml:space="preserve"> below the </w:t>
      </w:r>
      <w:r w:rsidR="006777B0" w:rsidRPr="00E016D5">
        <w:rPr>
          <w:color w:val="000000"/>
          <w:szCs w:val="24"/>
        </w:rPr>
        <w:t>combined</w:t>
      </w:r>
      <w:r w:rsidR="000A5A03" w:rsidRPr="00E016D5">
        <w:rPr>
          <w:color w:val="000000"/>
          <w:szCs w:val="24"/>
        </w:rPr>
        <w:t xml:space="preserve"> maximum enrollment of 560 students </w:t>
      </w:r>
      <w:r w:rsidR="006777B0" w:rsidRPr="00E016D5">
        <w:rPr>
          <w:color w:val="000000"/>
          <w:szCs w:val="24"/>
        </w:rPr>
        <w:t xml:space="preserve">at </w:t>
      </w:r>
      <w:proofErr w:type="spellStart"/>
      <w:r w:rsidR="006777B0" w:rsidRPr="00E016D5">
        <w:rPr>
          <w:color w:val="000000"/>
          <w:szCs w:val="24"/>
        </w:rPr>
        <w:t>CoaH</w:t>
      </w:r>
      <w:proofErr w:type="spellEnd"/>
      <w:r w:rsidR="006777B0" w:rsidRPr="00E016D5">
        <w:rPr>
          <w:color w:val="000000"/>
          <w:szCs w:val="24"/>
        </w:rPr>
        <w:t xml:space="preserve"> CS and </w:t>
      </w:r>
      <w:proofErr w:type="spellStart"/>
      <w:r w:rsidR="006777B0" w:rsidRPr="00E016D5">
        <w:rPr>
          <w:color w:val="000000"/>
          <w:szCs w:val="24"/>
        </w:rPr>
        <w:t>CoaH</w:t>
      </w:r>
      <w:proofErr w:type="spellEnd"/>
      <w:r w:rsidR="006777B0" w:rsidRPr="00E016D5">
        <w:rPr>
          <w:color w:val="000000"/>
          <w:szCs w:val="24"/>
        </w:rPr>
        <w:t xml:space="preserve"> DS</w:t>
      </w:r>
      <w:r w:rsidR="000A5A03" w:rsidRPr="00E016D5">
        <w:rPr>
          <w:color w:val="000000"/>
          <w:szCs w:val="24"/>
        </w:rPr>
        <w:t xml:space="preserve">, the school projects it will enroll far </w:t>
      </w:r>
      <w:r w:rsidR="00D504D3" w:rsidRPr="00E016D5">
        <w:rPr>
          <w:color w:val="000000"/>
          <w:szCs w:val="24"/>
        </w:rPr>
        <w:t xml:space="preserve">fewer than </w:t>
      </w:r>
      <w:r w:rsidR="000A5A03" w:rsidRPr="00E016D5">
        <w:rPr>
          <w:color w:val="000000"/>
          <w:szCs w:val="24"/>
        </w:rPr>
        <w:t xml:space="preserve">450 </w:t>
      </w:r>
      <w:r w:rsidR="00D504D3" w:rsidRPr="00E016D5">
        <w:rPr>
          <w:color w:val="000000"/>
          <w:szCs w:val="24"/>
        </w:rPr>
        <w:t xml:space="preserve">students </w:t>
      </w:r>
      <w:r w:rsidR="006777B0" w:rsidRPr="00E016D5">
        <w:rPr>
          <w:color w:val="000000"/>
          <w:szCs w:val="24"/>
        </w:rPr>
        <w:t>over</w:t>
      </w:r>
      <w:r w:rsidR="000A5A03" w:rsidRPr="00E016D5">
        <w:rPr>
          <w:color w:val="000000"/>
          <w:szCs w:val="24"/>
        </w:rPr>
        <w:t xml:space="preserve"> the next five years. </w:t>
      </w:r>
      <w:r w:rsidR="00B42CFE" w:rsidRPr="00406BE3">
        <w:t xml:space="preserve">My recommendation </w:t>
      </w:r>
      <w:proofErr w:type="gramStart"/>
      <w:r w:rsidR="00B42CFE" w:rsidRPr="00406BE3">
        <w:t>takes into account</w:t>
      </w:r>
      <w:proofErr w:type="gramEnd"/>
      <w:r w:rsidR="00B42CFE" w:rsidRPr="00406BE3">
        <w:t xml:space="preserve"> the enrollment trends at the schools, the size of the current facility owned by the foundation, and the schools’ planning for enrollment in the next charter term.</w:t>
      </w:r>
      <w:r w:rsidR="00B42CFE">
        <w:t xml:space="preserve"> </w:t>
      </w:r>
      <w:r w:rsidR="00184684" w:rsidRPr="00CA13EE">
        <w:rPr>
          <w:color w:val="000000"/>
          <w:szCs w:val="24"/>
        </w:rPr>
        <w:t>A</w:t>
      </w:r>
      <w:r w:rsidR="00184684" w:rsidRPr="0048286E">
        <w:rPr>
          <w:color w:val="000000"/>
          <w:szCs w:val="24"/>
        </w:rPr>
        <w:t xml:space="preserve"> motion for approval </w:t>
      </w:r>
      <w:r w:rsidR="00184684" w:rsidRPr="00CA13EE">
        <w:rPr>
          <w:color w:val="000000"/>
          <w:szCs w:val="24"/>
        </w:rPr>
        <w:t>is</w:t>
      </w:r>
      <w:r w:rsidR="00184684" w:rsidRPr="0048286E">
        <w:rPr>
          <w:color w:val="000000"/>
          <w:szCs w:val="24"/>
        </w:rPr>
        <w:t xml:space="preserve"> attached for your consideration</w:t>
      </w:r>
      <w:r w:rsidR="00184684" w:rsidRPr="00CA13EE">
        <w:rPr>
          <w:color w:val="000000"/>
          <w:szCs w:val="24"/>
        </w:rPr>
        <w:t xml:space="preserve">. </w:t>
      </w:r>
    </w:p>
    <w:p w14:paraId="114DA705" w14:textId="1499B589" w:rsidR="00742640" w:rsidRDefault="00742640" w:rsidP="00C60519">
      <w:pPr>
        <w:widowControl/>
        <w:rPr>
          <w:b/>
          <w:u w:val="single"/>
        </w:rPr>
      </w:pPr>
    </w:p>
    <w:p w14:paraId="64FFE3A1" w14:textId="77777777" w:rsidR="00BC14D5" w:rsidRDefault="00BC14D5">
      <w:pPr>
        <w:widowControl/>
        <w:rPr>
          <w:b/>
          <w:u w:val="single"/>
        </w:rPr>
      </w:pPr>
      <w:r>
        <w:rPr>
          <w:b/>
          <w:u w:val="single"/>
        </w:rPr>
        <w:br w:type="page"/>
      </w:r>
    </w:p>
    <w:p w14:paraId="7C1CB194" w14:textId="1F3590C7" w:rsidR="00D0217C" w:rsidRPr="00122B09" w:rsidRDefault="00742640" w:rsidP="00C60519">
      <w:pPr>
        <w:widowControl/>
        <w:rPr>
          <w:b/>
          <w:u w:val="single"/>
        </w:rPr>
      </w:pPr>
      <w:r>
        <w:rPr>
          <w:b/>
          <w:u w:val="single"/>
        </w:rPr>
        <w:lastRenderedPageBreak/>
        <w:t>Recommendation</w:t>
      </w:r>
    </w:p>
    <w:p w14:paraId="73D56696" w14:textId="77777777" w:rsidR="00D0217C" w:rsidRPr="00122B09" w:rsidRDefault="00D0217C" w:rsidP="00C60519">
      <w:pPr>
        <w:widowControl/>
        <w:rPr>
          <w:b/>
          <w:u w:val="single"/>
        </w:rPr>
      </w:pPr>
    </w:p>
    <w:p w14:paraId="5CCD7104" w14:textId="1953D64F" w:rsidR="00D0217C" w:rsidRPr="00122B09" w:rsidRDefault="00D0217C" w:rsidP="00C60519">
      <w:pPr>
        <w:widowControl/>
      </w:pPr>
      <w:r w:rsidRPr="00122B09">
        <w:t>I recommend that the Board vote to</w:t>
      </w:r>
      <w:r w:rsidR="005238EF">
        <w:t xml:space="preserve"> renew the charter of </w:t>
      </w:r>
      <w:proofErr w:type="spellStart"/>
      <w:r w:rsidR="005238EF">
        <w:t>CoaH</w:t>
      </w:r>
      <w:proofErr w:type="spellEnd"/>
      <w:r w:rsidR="005238EF">
        <w:t xml:space="preserve"> CS, consolidate the charters of </w:t>
      </w:r>
      <w:proofErr w:type="spellStart"/>
      <w:r w:rsidR="005238EF">
        <w:t>CoaH</w:t>
      </w:r>
      <w:proofErr w:type="spellEnd"/>
      <w:r w:rsidR="005238EF">
        <w:t xml:space="preserve"> CS and DS, and</w:t>
      </w:r>
      <w:r w:rsidRPr="00122B09">
        <w:t xml:space="preserve"> place </w:t>
      </w:r>
      <w:proofErr w:type="spellStart"/>
      <w:r w:rsidRPr="00122B09">
        <w:t>CoaH</w:t>
      </w:r>
      <w:proofErr w:type="spellEnd"/>
      <w:r w:rsidRPr="00122B09">
        <w:t xml:space="preserve"> </w:t>
      </w:r>
      <w:r w:rsidR="005C1471">
        <w:t>CS</w:t>
      </w:r>
      <w:r w:rsidR="001719F0">
        <w:t xml:space="preserve"> and, effective July 1, 2020, City on a Hill Charter Public School</w:t>
      </w:r>
      <w:r w:rsidRPr="00122B09">
        <w:t xml:space="preserve"> on probation and impose the conditions that follow on the </w:t>
      </w:r>
      <w:r w:rsidRPr="00927430">
        <w:t>school’s charter.</w:t>
      </w:r>
      <w:r w:rsidRPr="00122B09">
        <w:t xml:space="preserve"> </w:t>
      </w:r>
    </w:p>
    <w:p w14:paraId="50758F47" w14:textId="77777777" w:rsidR="00D0217C" w:rsidRPr="00122B09" w:rsidRDefault="00D0217C" w:rsidP="00BA06B6">
      <w:pPr>
        <w:widowControl/>
        <w:rPr>
          <w:b/>
        </w:rPr>
      </w:pPr>
    </w:p>
    <w:p w14:paraId="4906750D" w14:textId="08094C20" w:rsidR="00D0217C" w:rsidRPr="00547629" w:rsidRDefault="00D0217C" w:rsidP="00BA06B6">
      <w:pPr>
        <w:widowControl/>
        <w:ind w:left="720"/>
        <w:rPr>
          <w:szCs w:val="24"/>
        </w:rPr>
      </w:pPr>
      <w:r w:rsidRPr="00576B51">
        <w:rPr>
          <w:b/>
          <w:szCs w:val="24"/>
        </w:rPr>
        <w:t>Condition 1:</w:t>
      </w:r>
      <w:r w:rsidRPr="00547629">
        <w:rPr>
          <w:szCs w:val="24"/>
        </w:rPr>
        <w:t xml:space="preserve"> </w:t>
      </w:r>
      <w:r w:rsidRPr="00547629">
        <w:rPr>
          <w:color w:val="000000"/>
          <w:szCs w:val="24"/>
        </w:rPr>
        <w:t xml:space="preserve">Until further notice, the school must submit to the Department of </w:t>
      </w:r>
      <w:r w:rsidRPr="00BE7F89">
        <w:rPr>
          <w:color w:val="000000"/>
          <w:szCs w:val="24"/>
        </w:rPr>
        <w:t xml:space="preserve">Elementary and Secondary Education (Department), at </w:t>
      </w:r>
      <w:hyperlink r:id="rId16" w:tgtFrame="_blank" w:history="1">
        <w:r w:rsidRPr="00BE7F89">
          <w:rPr>
            <w:rStyle w:val="Hyperlink"/>
            <w:rFonts w:eastAsiaTheme="minorEastAsia"/>
            <w:szCs w:val="24"/>
          </w:rPr>
          <w:t>charterschools@doe.mass.edu</w:t>
        </w:r>
      </w:hyperlink>
      <w:r w:rsidRPr="00BE7F89">
        <w:rPr>
          <w:color w:val="000000"/>
          <w:szCs w:val="24"/>
        </w:rPr>
        <w:t xml:space="preserve"> or 75 Pleasant Street, Malden, MA 02148, board meeting agendas, materials, and minutes prior to each board meeting at the same time that these items are sent to the school’s board members. </w:t>
      </w:r>
      <w:r w:rsidR="00EA5CDC" w:rsidRPr="00B80BC5">
        <w:rPr>
          <w:color w:val="000000"/>
          <w:szCs w:val="24"/>
        </w:rPr>
        <w:t>These monthly materials must include financial statements</w:t>
      </w:r>
      <w:r w:rsidR="000E3451" w:rsidRPr="00B80BC5">
        <w:rPr>
          <w:color w:val="000000"/>
          <w:szCs w:val="24"/>
        </w:rPr>
        <w:t xml:space="preserve"> to be </w:t>
      </w:r>
      <w:r w:rsidR="00EA5CDC" w:rsidRPr="00B80BC5">
        <w:rPr>
          <w:color w:val="000000"/>
          <w:szCs w:val="24"/>
        </w:rPr>
        <w:t xml:space="preserve">presented to the board. </w:t>
      </w:r>
      <w:r w:rsidR="000E3451" w:rsidRPr="00BE7F89">
        <w:rPr>
          <w:color w:val="000000"/>
          <w:szCs w:val="24"/>
        </w:rPr>
        <w:t xml:space="preserve">These monthly financial reports </w:t>
      </w:r>
      <w:r w:rsidR="00BE7F89" w:rsidRPr="00BE7F89">
        <w:rPr>
          <w:color w:val="000000"/>
          <w:szCs w:val="24"/>
        </w:rPr>
        <w:t xml:space="preserve">must reflect </w:t>
      </w:r>
      <w:r w:rsidR="000E3451" w:rsidRPr="00BE7F89">
        <w:rPr>
          <w:color w:val="000000"/>
          <w:szCs w:val="24"/>
        </w:rPr>
        <w:t>all considerations in revenue and expenditures, including lines of credit</w:t>
      </w:r>
      <w:r w:rsidR="00BE7F89" w:rsidRPr="00BE7F89">
        <w:rPr>
          <w:color w:val="000000"/>
          <w:szCs w:val="24"/>
        </w:rPr>
        <w:t>, debt obligations,</w:t>
      </w:r>
      <w:r w:rsidR="000E3451" w:rsidRPr="00BE7F89">
        <w:rPr>
          <w:color w:val="000000"/>
          <w:szCs w:val="24"/>
        </w:rPr>
        <w:t xml:space="preserve"> and fundraising</w:t>
      </w:r>
      <w:r w:rsidR="00BE7F89" w:rsidRPr="00BE7F89">
        <w:rPr>
          <w:color w:val="000000"/>
          <w:szCs w:val="24"/>
        </w:rPr>
        <w:t>.</w:t>
      </w:r>
    </w:p>
    <w:p w14:paraId="17C560E5" w14:textId="77777777" w:rsidR="00D0217C" w:rsidRPr="00547629" w:rsidRDefault="00D0217C" w:rsidP="00C60519">
      <w:pPr>
        <w:widowControl/>
        <w:ind w:left="720"/>
        <w:rPr>
          <w:szCs w:val="24"/>
        </w:rPr>
      </w:pPr>
    </w:p>
    <w:p w14:paraId="0A22FD9F" w14:textId="223944D2" w:rsidR="00D0217C" w:rsidRPr="00122B09" w:rsidRDefault="00D0217C" w:rsidP="00C60519">
      <w:pPr>
        <w:widowControl/>
        <w:ind w:left="720"/>
        <w:rPr>
          <w:snapToGrid/>
          <w:szCs w:val="24"/>
        </w:rPr>
      </w:pPr>
      <w:r w:rsidRPr="00576B51">
        <w:rPr>
          <w:b/>
          <w:szCs w:val="24"/>
        </w:rPr>
        <w:t>Condition 2:</w:t>
      </w:r>
      <w:r w:rsidRPr="00547629">
        <w:rPr>
          <w:szCs w:val="24"/>
        </w:rPr>
        <w:t xml:space="preserve"> </w:t>
      </w:r>
      <w:r w:rsidR="00702117">
        <w:rPr>
          <w:szCs w:val="24"/>
        </w:rPr>
        <w:t xml:space="preserve">By </w:t>
      </w:r>
      <w:r w:rsidR="00D64624">
        <w:rPr>
          <w:szCs w:val="24"/>
        </w:rPr>
        <w:t>March 31</w:t>
      </w:r>
      <w:r w:rsidR="005C1471">
        <w:rPr>
          <w:szCs w:val="24"/>
        </w:rPr>
        <w:t>,</w:t>
      </w:r>
      <w:r w:rsidR="00D64624">
        <w:rPr>
          <w:szCs w:val="24"/>
        </w:rPr>
        <w:t xml:space="preserve"> 2020</w:t>
      </w:r>
      <w:r w:rsidR="0039608B">
        <w:rPr>
          <w:szCs w:val="24"/>
        </w:rPr>
        <w:t>,</w:t>
      </w:r>
      <w:r w:rsidR="005C1471">
        <w:rPr>
          <w:szCs w:val="24"/>
        </w:rPr>
        <w:t xml:space="preserve"> </w:t>
      </w:r>
      <w:r w:rsidR="001719F0">
        <w:rPr>
          <w:szCs w:val="24"/>
        </w:rPr>
        <w:t>the school</w:t>
      </w:r>
      <w:r w:rsidRPr="00547629">
        <w:rPr>
          <w:szCs w:val="24"/>
        </w:rPr>
        <w:t xml:space="preserve"> must submit</w:t>
      </w:r>
      <w:r w:rsidRPr="00122B09">
        <w:rPr>
          <w:szCs w:val="24"/>
        </w:rPr>
        <w:t xml:space="preserve"> evidence to the Department that it has provided the school community with notice of the school’s renewal </w:t>
      </w:r>
      <w:r>
        <w:rPr>
          <w:szCs w:val="24"/>
        </w:rPr>
        <w:t xml:space="preserve">and that the school’s charter has been placed on probation </w:t>
      </w:r>
      <w:r w:rsidRPr="00122B09">
        <w:rPr>
          <w:szCs w:val="24"/>
        </w:rPr>
        <w:t>with conditions</w:t>
      </w:r>
      <w:r>
        <w:rPr>
          <w:szCs w:val="24"/>
        </w:rPr>
        <w:t xml:space="preserve"> that the school must meet</w:t>
      </w:r>
      <w:r w:rsidRPr="00122B09">
        <w:rPr>
          <w:szCs w:val="24"/>
        </w:rPr>
        <w:t xml:space="preserve">. The school must inform parents/guardians, teachers, staff, board members, students, and other community members of the school’s current status. </w:t>
      </w:r>
    </w:p>
    <w:p w14:paraId="12B69E9D" w14:textId="77777777" w:rsidR="00D0217C" w:rsidRPr="00122B09" w:rsidRDefault="00D0217C" w:rsidP="00C60519">
      <w:pPr>
        <w:widowControl/>
        <w:rPr>
          <w:color w:val="000000"/>
        </w:rPr>
      </w:pPr>
    </w:p>
    <w:p w14:paraId="6652CCBF" w14:textId="0EF64917" w:rsidR="00EA5CDC" w:rsidRDefault="00EA5CDC" w:rsidP="00BA06B6">
      <w:pPr>
        <w:widowControl/>
        <w:ind w:left="720"/>
      </w:pPr>
      <w:r w:rsidRPr="00EA5CDC">
        <w:rPr>
          <w:b/>
        </w:rPr>
        <w:t>Condition 3:</w:t>
      </w:r>
      <w:r w:rsidRPr="00EA5CDC">
        <w:t xml:space="preserve"> </w:t>
      </w:r>
      <w:r w:rsidR="00D64624">
        <w:t>By April 15, 2020, t</w:t>
      </w:r>
      <w:r w:rsidRPr="00EA5CDC">
        <w:t xml:space="preserve">he school must </w:t>
      </w:r>
      <w:r>
        <w:t>establish an</w:t>
      </w:r>
      <w:r w:rsidRPr="00EA5CDC">
        <w:t xml:space="preserve"> escrow account to pay for any potential closing, legal, and audit expenses associated with closure, should that occur.</w:t>
      </w:r>
    </w:p>
    <w:p w14:paraId="0D49C1D4" w14:textId="77777777" w:rsidR="00EA5CDC" w:rsidRPr="00EA5CDC" w:rsidRDefault="00EA5CDC" w:rsidP="00BA06B6">
      <w:pPr>
        <w:widowControl/>
      </w:pPr>
    </w:p>
    <w:p w14:paraId="30262494" w14:textId="29AFE5F8" w:rsidR="00EA5CDC" w:rsidRPr="00BE7F89" w:rsidRDefault="00EA5CDC" w:rsidP="00BA06B6">
      <w:pPr>
        <w:widowControl/>
        <w:ind w:left="720"/>
        <w:rPr>
          <w:szCs w:val="24"/>
        </w:rPr>
      </w:pPr>
      <w:r w:rsidRPr="00BE7F89">
        <w:rPr>
          <w:b/>
          <w:szCs w:val="24"/>
        </w:rPr>
        <w:t>Condition 4</w:t>
      </w:r>
      <w:r w:rsidRPr="00BE7F89">
        <w:rPr>
          <w:szCs w:val="24"/>
        </w:rPr>
        <w:t xml:space="preserve">: Until further notice, </w:t>
      </w:r>
      <w:r w:rsidR="00BE7F89" w:rsidRPr="00BE7F89">
        <w:rPr>
          <w:color w:val="000000"/>
          <w:szCs w:val="24"/>
        </w:rPr>
        <w:t>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594DC611" w14:textId="77777777" w:rsidR="00EA5CDC" w:rsidRPr="00EA5CDC" w:rsidRDefault="00EA5CDC" w:rsidP="00BA06B6">
      <w:pPr>
        <w:widowControl/>
      </w:pPr>
    </w:p>
    <w:p w14:paraId="02EFB100" w14:textId="79F0BA90" w:rsidR="00D0217C" w:rsidRPr="00122B09" w:rsidRDefault="00EA5CDC" w:rsidP="00C60519">
      <w:pPr>
        <w:widowControl/>
        <w:ind w:left="720"/>
        <w:rPr>
          <w:color w:val="000000"/>
        </w:rPr>
      </w:pPr>
      <w:r>
        <w:rPr>
          <w:b/>
          <w:color w:val="000000"/>
        </w:rPr>
        <w:t>Condition 5</w:t>
      </w:r>
      <w:r w:rsidR="00D0217C" w:rsidRPr="00576B51">
        <w:rPr>
          <w:b/>
          <w:color w:val="000000"/>
        </w:rPr>
        <w:t>:</w:t>
      </w:r>
      <w:r>
        <w:rPr>
          <w:color w:val="000000"/>
        </w:rPr>
        <w:t xml:space="preserve"> By</w:t>
      </w:r>
      <w:r w:rsidR="001D0E35">
        <w:rPr>
          <w:color w:val="000000"/>
        </w:rPr>
        <w:t xml:space="preserve"> </w:t>
      </w:r>
      <w:r w:rsidR="00D64624">
        <w:rPr>
          <w:color w:val="000000"/>
        </w:rPr>
        <w:t>June 30</w:t>
      </w:r>
      <w:r w:rsidR="00D0217C" w:rsidRPr="00122B09">
        <w:rPr>
          <w:color w:val="000000"/>
        </w:rPr>
        <w:t>,</w:t>
      </w:r>
      <w:r w:rsidR="00D64624">
        <w:rPr>
          <w:color w:val="000000"/>
        </w:rPr>
        <w:t xml:space="preserve"> 2020</w:t>
      </w:r>
      <w:r w:rsidR="00D0217C" w:rsidRPr="00122B09">
        <w:rPr>
          <w:color w:val="000000"/>
        </w:rPr>
        <w:t xml:space="preserve"> the school must submit to the Department for approval a comprehensive action plan for improving academic performance</w:t>
      </w:r>
      <w:r>
        <w:rPr>
          <w:color w:val="000000"/>
        </w:rPr>
        <w:t>, school climate, staff culture, and faithfulness to its charter</w:t>
      </w:r>
      <w:r w:rsidR="00D0217C" w:rsidRPr="00122B09">
        <w:rPr>
          <w:color w:val="000000"/>
        </w:rPr>
        <w:t xml:space="preserve">. The action plan must specify the evidence-based strategies </w:t>
      </w:r>
      <w:r w:rsidR="00D0217C">
        <w:rPr>
          <w:color w:val="000000"/>
        </w:rPr>
        <w:t xml:space="preserve">the school will use </w:t>
      </w:r>
      <w:r w:rsidR="00D0217C" w:rsidRPr="00122B09">
        <w:rPr>
          <w:color w:val="000000"/>
        </w:rPr>
        <w:t xml:space="preserve">to improve performance in mathematics, English language arts, and science for all student subgroups. </w:t>
      </w:r>
      <w:r w:rsidR="00D0217C">
        <w:rPr>
          <w:color w:val="000000"/>
        </w:rPr>
        <w:t xml:space="preserve">The plan should also include strategies to </w:t>
      </w:r>
      <w:r>
        <w:rPr>
          <w:color w:val="000000"/>
        </w:rPr>
        <w:t xml:space="preserve">provide a program that is faithful to the school’s mission and key design elements and to </w:t>
      </w:r>
      <w:r w:rsidR="00D0217C">
        <w:rPr>
          <w:color w:val="000000"/>
        </w:rPr>
        <w:t xml:space="preserve">improve school climate, </w:t>
      </w:r>
      <w:r>
        <w:rPr>
          <w:color w:val="000000"/>
        </w:rPr>
        <w:t>including student discipline practices and</w:t>
      </w:r>
      <w:r w:rsidR="00D0217C">
        <w:rPr>
          <w:color w:val="000000"/>
        </w:rPr>
        <w:t xml:space="preserve"> </w:t>
      </w:r>
      <w:r>
        <w:rPr>
          <w:color w:val="000000"/>
        </w:rPr>
        <w:t xml:space="preserve">staff culture. The </w:t>
      </w:r>
      <w:r w:rsidR="00D0217C" w:rsidRPr="00122B09">
        <w:rPr>
          <w:color w:val="000000"/>
        </w:rPr>
        <w:t xml:space="preserve">action plan must set clear and specific implementation benchmarks, with a clear timetable and deadlines for completion of key tasks, </w:t>
      </w:r>
      <w:proofErr w:type="gramStart"/>
      <w:r w:rsidR="00D0217C" w:rsidRPr="00122B09">
        <w:rPr>
          <w:color w:val="000000"/>
        </w:rPr>
        <w:t>sufficient</w:t>
      </w:r>
      <w:proofErr w:type="gramEnd"/>
      <w:r w:rsidR="00D0217C" w:rsidRPr="00122B09">
        <w:rPr>
          <w:color w:val="000000"/>
        </w:rPr>
        <w:t xml:space="preserve"> to allow the school's board of trustees and the Department to monitor implementation. The school must provide evidence that it has shared its </w:t>
      </w:r>
      <w:r w:rsidR="0039608B">
        <w:rPr>
          <w:color w:val="000000"/>
        </w:rPr>
        <w:t xml:space="preserve">action </w:t>
      </w:r>
      <w:r w:rsidR="00D0217C" w:rsidRPr="00122B09">
        <w:rPr>
          <w:color w:val="000000"/>
        </w:rPr>
        <w:t>plan with the school’s community</w:t>
      </w:r>
      <w:r w:rsidR="00D0217C">
        <w:rPr>
          <w:color w:val="000000"/>
        </w:rPr>
        <w:t xml:space="preserve"> including, but not limited to,</w:t>
      </w:r>
      <w:r w:rsidR="00D0217C" w:rsidRPr="00122B09">
        <w:rPr>
          <w:color w:val="000000"/>
        </w:rPr>
        <w:t xml:space="preserve"> students, parents</w:t>
      </w:r>
      <w:r w:rsidR="0039608B">
        <w:rPr>
          <w:color w:val="000000"/>
        </w:rPr>
        <w:t>/guardians</w:t>
      </w:r>
      <w:r w:rsidR="00D0217C" w:rsidRPr="00122B09">
        <w:rPr>
          <w:color w:val="000000"/>
        </w:rPr>
        <w:t xml:space="preserve">, </w:t>
      </w:r>
      <w:r w:rsidR="00D0217C">
        <w:rPr>
          <w:color w:val="000000"/>
        </w:rPr>
        <w:t xml:space="preserve">and </w:t>
      </w:r>
      <w:r w:rsidR="00D0217C" w:rsidRPr="00122B09">
        <w:rPr>
          <w:color w:val="000000"/>
        </w:rPr>
        <w:t xml:space="preserve">staff. </w:t>
      </w:r>
    </w:p>
    <w:p w14:paraId="4065F6CF" w14:textId="77777777" w:rsidR="00D0217C" w:rsidRPr="00122B09" w:rsidRDefault="00D0217C" w:rsidP="00C60519">
      <w:pPr>
        <w:widowControl/>
        <w:rPr>
          <w:color w:val="000000"/>
        </w:rPr>
      </w:pPr>
    </w:p>
    <w:p w14:paraId="1CFDD1F3" w14:textId="77777777" w:rsidR="00742640" w:rsidRDefault="00742640" w:rsidP="00A55943">
      <w:pPr>
        <w:widowControl/>
        <w:rPr>
          <w:b/>
          <w:color w:val="000000"/>
        </w:rPr>
      </w:pPr>
    </w:p>
    <w:p w14:paraId="69D9B1B6" w14:textId="4B9C8718" w:rsidR="0065362C" w:rsidRDefault="0065362C" w:rsidP="00C60519">
      <w:pPr>
        <w:widowControl/>
        <w:ind w:left="720"/>
        <w:rPr>
          <w:color w:val="000000"/>
        </w:rPr>
      </w:pPr>
      <w:r w:rsidRPr="0065362C">
        <w:rPr>
          <w:b/>
          <w:color w:val="000000"/>
        </w:rPr>
        <w:lastRenderedPageBreak/>
        <w:t xml:space="preserve">Condition </w:t>
      </w:r>
      <w:r w:rsidR="0058325A">
        <w:rPr>
          <w:b/>
          <w:color w:val="000000"/>
        </w:rPr>
        <w:t>6</w:t>
      </w:r>
      <w:r>
        <w:rPr>
          <w:color w:val="000000"/>
        </w:rPr>
        <w:t xml:space="preserve">: By </w:t>
      </w:r>
      <w:r w:rsidR="001B24DF">
        <w:rPr>
          <w:color w:val="000000"/>
        </w:rPr>
        <w:t>July 31, 2020</w:t>
      </w:r>
      <w:r>
        <w:rPr>
          <w:color w:val="000000"/>
        </w:rPr>
        <w:t>, the board of trustees must</w:t>
      </w:r>
      <w:r w:rsidR="00742640">
        <w:rPr>
          <w:color w:val="000000"/>
        </w:rPr>
        <w:t xml:space="preserve"> engage a consultant and participate in training about proper governance roles and responsibilities</w:t>
      </w:r>
      <w:r w:rsidR="001B24DF">
        <w:rPr>
          <w:color w:val="000000"/>
        </w:rPr>
        <w:t>, including obligations related to the Open Meeting Law</w:t>
      </w:r>
      <w:r w:rsidR="00742640">
        <w:rPr>
          <w:color w:val="000000"/>
        </w:rPr>
        <w:t xml:space="preserve">. The board must develop an action plan and schedule for adequate oversight of the school according to the Charter School Performance Criteria, Criterion 9: Governance. </w:t>
      </w:r>
    </w:p>
    <w:p w14:paraId="743EB557" w14:textId="55B55CFE" w:rsidR="00EF07F3" w:rsidRDefault="00EF07F3" w:rsidP="00C60519">
      <w:pPr>
        <w:widowControl/>
        <w:ind w:left="720"/>
        <w:rPr>
          <w:color w:val="000000"/>
        </w:rPr>
      </w:pPr>
    </w:p>
    <w:p w14:paraId="05094F88" w14:textId="0D0F0C4F" w:rsidR="0058325A" w:rsidRDefault="0058325A" w:rsidP="0058325A">
      <w:pPr>
        <w:widowControl/>
        <w:ind w:left="720"/>
        <w:rPr>
          <w:color w:val="000000"/>
        </w:rPr>
      </w:pPr>
      <w:r>
        <w:rPr>
          <w:b/>
          <w:color w:val="000000"/>
        </w:rPr>
        <w:t>Condition 7</w:t>
      </w:r>
      <w:r w:rsidRPr="00576B51">
        <w:rPr>
          <w:b/>
          <w:color w:val="000000"/>
        </w:rPr>
        <w:t>:</w:t>
      </w:r>
      <w:r>
        <w:rPr>
          <w:color w:val="000000"/>
        </w:rPr>
        <w:t xml:space="preserve"> By December 31, 2022</w:t>
      </w:r>
      <w:r w:rsidRPr="00122B09">
        <w:rPr>
          <w:color w:val="000000"/>
        </w:rPr>
        <w:t>, the school must demonstrate that it is an academic success by providing evidence that the school has exhibited significant and sustained academic improvement in mathematics, English language arts, and science</w:t>
      </w:r>
      <w:r>
        <w:rPr>
          <w:color w:val="000000"/>
        </w:rPr>
        <w:t xml:space="preserve"> on the statewide assessment</w:t>
      </w:r>
      <w:r w:rsidRPr="00122B09">
        <w:rPr>
          <w:color w:val="000000"/>
        </w:rPr>
        <w:t>.</w:t>
      </w:r>
      <w:r>
        <w:rPr>
          <w:color w:val="000000"/>
        </w:rPr>
        <w:t xml:space="preserve"> </w:t>
      </w:r>
    </w:p>
    <w:p w14:paraId="3BCBC2EC" w14:textId="77777777" w:rsidR="0058325A" w:rsidRDefault="0058325A" w:rsidP="0058325A">
      <w:pPr>
        <w:widowControl/>
        <w:ind w:left="720"/>
        <w:rPr>
          <w:color w:val="000000"/>
        </w:rPr>
      </w:pPr>
    </w:p>
    <w:p w14:paraId="1A80A3C3" w14:textId="53F7B05D" w:rsidR="008A1645" w:rsidRDefault="00EF07F3" w:rsidP="00A55943">
      <w:pPr>
        <w:pStyle w:val="BodyText"/>
        <w:widowControl/>
        <w:spacing w:after="0"/>
        <w:ind w:left="720"/>
      </w:pPr>
      <w:r w:rsidRPr="000F4C21">
        <w:rPr>
          <w:b/>
        </w:rPr>
        <w:t xml:space="preserve">Condition </w:t>
      </w:r>
      <w:r w:rsidR="001B24DF">
        <w:rPr>
          <w:b/>
        </w:rPr>
        <w:t>8</w:t>
      </w:r>
      <w:r w:rsidRPr="000F4C21">
        <w:rPr>
          <w:b/>
        </w:rPr>
        <w:t>:</w:t>
      </w:r>
      <w:r w:rsidRPr="000F4C21">
        <w:t xml:space="preserve"> </w:t>
      </w:r>
      <w:r w:rsidR="00A23E2E">
        <w:t xml:space="preserve">Enrollment at the </w:t>
      </w:r>
      <w:r w:rsidR="00A23E2E">
        <w:rPr>
          <w:szCs w:val="22"/>
        </w:rPr>
        <w:t>City on a Hill Charter Public School</w:t>
      </w:r>
      <w:r w:rsidR="00A23E2E">
        <w:t xml:space="preserve">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p>
    <w:p w14:paraId="621CF3D4" w14:textId="77777777" w:rsidR="00702117" w:rsidRPr="00122B09" w:rsidRDefault="00702117" w:rsidP="00C60519">
      <w:pPr>
        <w:widowControl/>
        <w:ind w:left="720"/>
        <w:rPr>
          <w:color w:val="000000"/>
        </w:rPr>
      </w:pPr>
    </w:p>
    <w:p w14:paraId="40271EC4" w14:textId="3BDD5B7B" w:rsidR="006C320E" w:rsidRDefault="00D0217C" w:rsidP="00C60519">
      <w:pPr>
        <w:widowControl/>
      </w:pPr>
      <w:r w:rsidRPr="00122B09">
        <w:t>In addition to meeting</w:t>
      </w:r>
      <w:r w:rsidR="00742640">
        <w:t xml:space="preserve"> the terms of probation, </w:t>
      </w:r>
      <w:r w:rsidR="001719F0">
        <w:t>City on a Hill Charter Public School</w:t>
      </w:r>
      <w:r w:rsidRPr="00122B09">
        <w:t>, like all charter schools, must also comply with the terms of</w:t>
      </w:r>
      <w:r w:rsidR="00742640">
        <w:t xml:space="preserve"> its charter. Failure of </w:t>
      </w:r>
      <w:r w:rsidR="001719F0">
        <w:t>City on a Hill Charter Public School</w:t>
      </w:r>
      <w:r w:rsidR="001719F0" w:rsidDel="001719F0">
        <w:t xml:space="preserve"> </w:t>
      </w:r>
      <w:r w:rsidRPr="00122B09">
        <w:t xml:space="preserve">to meet the conditions placed on renewal of its charter within the timelines specified may result in immediate suspension and revocation of the school’s charter. </w:t>
      </w:r>
    </w:p>
    <w:p w14:paraId="35A3A11E" w14:textId="77777777" w:rsidR="006C320E" w:rsidRDefault="006C320E" w:rsidP="00C60519">
      <w:pPr>
        <w:widowControl/>
      </w:pPr>
    </w:p>
    <w:p w14:paraId="3F169C20" w14:textId="3FB936A7" w:rsidR="00D0217C" w:rsidRPr="00122B09" w:rsidRDefault="00D0217C" w:rsidP="00C60519">
      <w:pPr>
        <w:widowControl/>
      </w:pPr>
      <w:r w:rsidRPr="00122B09">
        <w:t>I will review an</w:t>
      </w:r>
      <w:r w:rsidR="00742640">
        <w:t xml:space="preserve">d report to the Board on </w:t>
      </w:r>
      <w:r w:rsidR="001719F0">
        <w:t>City on a Hill Charter Public School</w:t>
      </w:r>
      <w:r>
        <w:t>’s</w:t>
      </w:r>
      <w:r w:rsidRPr="00122B09">
        <w:t xml:space="preserve"> success or lack of success in meeting the terms of probation. </w:t>
      </w:r>
    </w:p>
    <w:p w14:paraId="61703E21" w14:textId="77777777" w:rsidR="00D0217C" w:rsidRDefault="00D0217C" w:rsidP="00C60519">
      <w:pPr>
        <w:widowControl/>
      </w:pPr>
    </w:p>
    <w:p w14:paraId="2A0C7545" w14:textId="77777777" w:rsidR="00D0217C" w:rsidRDefault="00D0217C" w:rsidP="00C60519">
      <w:pPr>
        <w:widowControl/>
        <w:jc w:val="center"/>
      </w:pPr>
      <w:r>
        <w:t>***</w:t>
      </w:r>
    </w:p>
    <w:p w14:paraId="3AFBA684" w14:textId="77777777" w:rsidR="00D0217C" w:rsidRPr="00122B09" w:rsidRDefault="00D0217C" w:rsidP="00C60519">
      <w:pPr>
        <w:widowControl/>
      </w:pPr>
    </w:p>
    <w:p w14:paraId="632FF69C" w14:textId="77777777" w:rsidR="00D0217C" w:rsidRPr="00122B09" w:rsidRDefault="00D0217C" w:rsidP="00C60519">
      <w:pPr>
        <w:widowControl/>
        <w:rPr>
          <w:color w:val="000000"/>
        </w:rPr>
      </w:pPr>
      <w:r w:rsidRPr="00122B09">
        <w:rPr>
          <w:color w:val="000000"/>
        </w:rPr>
        <w:t>If you have any questions regarding this recommendation or require additional information, please contact Alison Bagg, Director (781-338-3218); Cliff Chuang, Senior Associate Commissioner (781-338-3222); or me.</w:t>
      </w:r>
    </w:p>
    <w:p w14:paraId="4214A4A6" w14:textId="77777777" w:rsidR="00D0217C" w:rsidRPr="00122B09" w:rsidRDefault="00D0217C" w:rsidP="00C60519">
      <w:pPr>
        <w:widowControl/>
        <w:rPr>
          <w:color w:val="000000"/>
        </w:rPr>
      </w:pPr>
    </w:p>
    <w:p w14:paraId="2CFD5650" w14:textId="77777777" w:rsidR="00D0217C" w:rsidRPr="00122B09" w:rsidRDefault="00D0217C" w:rsidP="00C60519">
      <w:pPr>
        <w:widowControl/>
        <w:rPr>
          <w:color w:val="000000"/>
        </w:rPr>
      </w:pPr>
    </w:p>
    <w:p w14:paraId="0DE50505" w14:textId="2D6C72EE" w:rsidR="00D0217C" w:rsidRDefault="00D0217C" w:rsidP="00FD00AE">
      <w:pPr>
        <w:widowControl/>
        <w:ind w:left="1440" w:hanging="1440"/>
        <w:rPr>
          <w:color w:val="000000"/>
          <w:szCs w:val="24"/>
        </w:rPr>
      </w:pPr>
      <w:r w:rsidRPr="00122B09">
        <w:rPr>
          <w:color w:val="000000"/>
          <w:szCs w:val="24"/>
        </w:rPr>
        <w:t>Attachment</w:t>
      </w:r>
      <w:r w:rsidRPr="00503B84">
        <w:rPr>
          <w:color w:val="000000"/>
          <w:szCs w:val="24"/>
        </w:rPr>
        <w:t>s:</w:t>
      </w:r>
      <w:r>
        <w:rPr>
          <w:color w:val="000000"/>
          <w:szCs w:val="24"/>
        </w:rPr>
        <w:t xml:space="preserve"> </w:t>
      </w:r>
      <w:r w:rsidR="00FD00AE">
        <w:rPr>
          <w:color w:val="000000"/>
          <w:szCs w:val="24"/>
        </w:rPr>
        <w:tab/>
      </w:r>
      <w:r>
        <w:rPr>
          <w:color w:val="000000"/>
          <w:szCs w:val="24"/>
        </w:rPr>
        <w:t>Summary of Review for City on a Hill Charter Public School</w:t>
      </w:r>
      <w:r w:rsidR="008A309A">
        <w:rPr>
          <w:color w:val="000000"/>
          <w:szCs w:val="24"/>
        </w:rPr>
        <w:t xml:space="preserve"> </w:t>
      </w:r>
      <w:r w:rsidR="00742640">
        <w:rPr>
          <w:color w:val="000000"/>
          <w:szCs w:val="24"/>
        </w:rPr>
        <w:t>Circuit Street</w:t>
      </w:r>
      <w:r w:rsidR="008A309A">
        <w:rPr>
          <w:color w:val="000000"/>
          <w:szCs w:val="24"/>
        </w:rPr>
        <w:t xml:space="preserve"> (with school’s response appended)</w:t>
      </w:r>
    </w:p>
    <w:p w14:paraId="3C4D19D1" w14:textId="18CAB4E3" w:rsidR="00BA06B6" w:rsidRDefault="00BA06B6" w:rsidP="00FD00AE">
      <w:pPr>
        <w:widowControl/>
        <w:ind w:left="720" w:firstLine="720"/>
        <w:rPr>
          <w:color w:val="000000"/>
          <w:szCs w:val="24"/>
        </w:rPr>
      </w:pPr>
      <w:r>
        <w:rPr>
          <w:color w:val="000000"/>
          <w:szCs w:val="24"/>
        </w:rPr>
        <w:t>Motion for Board Action</w:t>
      </w:r>
    </w:p>
    <w:p w14:paraId="25FE4F02" w14:textId="56087055" w:rsidR="00D0217C" w:rsidRPr="00576B51" w:rsidRDefault="00D0217C" w:rsidP="00DA7EB9">
      <w:pPr>
        <w:widowControl/>
        <w:ind w:left="720"/>
        <w:rPr>
          <w:color w:val="000000"/>
          <w:szCs w:val="24"/>
        </w:rPr>
      </w:pPr>
      <w:r>
        <w:rPr>
          <w:color w:val="000000"/>
          <w:szCs w:val="24"/>
        </w:rPr>
        <w:tab/>
        <w:t xml:space="preserve">          </w:t>
      </w:r>
    </w:p>
    <w:p w14:paraId="2829D06D" w14:textId="77777777" w:rsidR="0059178C" w:rsidRDefault="0059178C" w:rsidP="00C60519">
      <w:pPr>
        <w:widowControl/>
        <w:autoSpaceDE w:val="0"/>
        <w:autoSpaceDN w:val="0"/>
        <w:adjustRightInd w:val="0"/>
      </w:pPr>
    </w:p>
    <w:p w14:paraId="672DB120" w14:textId="77777777" w:rsidR="00201172" w:rsidRDefault="00201172" w:rsidP="00BA06B6">
      <w:pPr>
        <w:widowControl/>
      </w:pP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F14C" w14:textId="77777777" w:rsidR="007367A4" w:rsidRDefault="007367A4" w:rsidP="00D0217C">
      <w:r>
        <w:separator/>
      </w:r>
    </w:p>
  </w:endnote>
  <w:endnote w:type="continuationSeparator" w:id="0">
    <w:p w14:paraId="5568C695" w14:textId="77777777" w:rsidR="007367A4" w:rsidRDefault="007367A4" w:rsidP="00D0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78451"/>
      <w:docPartObj>
        <w:docPartGallery w:val="Page Numbers (Bottom of Page)"/>
        <w:docPartUnique/>
      </w:docPartObj>
    </w:sdtPr>
    <w:sdtEndPr>
      <w:rPr>
        <w:noProof/>
      </w:rPr>
    </w:sdtEndPr>
    <w:sdtContent>
      <w:p w14:paraId="400C327F" w14:textId="34CA5A62" w:rsidR="00FE42B1" w:rsidRDefault="00FE42B1">
        <w:pPr>
          <w:pStyle w:val="Footer"/>
          <w:jc w:val="right"/>
        </w:pPr>
        <w:r>
          <w:fldChar w:fldCharType="begin"/>
        </w:r>
        <w:r>
          <w:instrText xml:space="preserve"> PAGE   \* MERGEFORMAT </w:instrText>
        </w:r>
        <w:r>
          <w:fldChar w:fldCharType="separate"/>
        </w:r>
        <w:r w:rsidR="00654073">
          <w:rPr>
            <w:noProof/>
          </w:rPr>
          <w:t>1</w:t>
        </w:r>
        <w:r>
          <w:rPr>
            <w:noProof/>
          </w:rPr>
          <w:fldChar w:fldCharType="end"/>
        </w:r>
      </w:p>
    </w:sdtContent>
  </w:sdt>
  <w:p w14:paraId="59149708" w14:textId="77777777" w:rsidR="00FE42B1" w:rsidRDefault="00FE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473B" w14:textId="77777777" w:rsidR="007367A4" w:rsidRDefault="007367A4" w:rsidP="00D0217C">
      <w:r>
        <w:separator/>
      </w:r>
    </w:p>
  </w:footnote>
  <w:footnote w:type="continuationSeparator" w:id="0">
    <w:p w14:paraId="28684B96" w14:textId="77777777" w:rsidR="007367A4" w:rsidRDefault="007367A4" w:rsidP="00D0217C">
      <w:r>
        <w:continuationSeparator/>
      </w:r>
    </w:p>
  </w:footnote>
  <w:footnote w:id="1">
    <w:p w14:paraId="3B2D8723" w14:textId="0FF74CF0" w:rsidR="004275E8" w:rsidRPr="00563F5A" w:rsidRDefault="004275E8" w:rsidP="004275E8">
      <w:pPr>
        <w:rPr>
          <w:snapToGrid/>
          <w:color w:val="333333"/>
          <w:sz w:val="20"/>
          <w:shd w:val="clear" w:color="auto" w:fill="FFFFFF"/>
        </w:rPr>
      </w:pPr>
      <w:r w:rsidRPr="00FD00AE">
        <w:rPr>
          <w:rStyle w:val="FootnoteReference"/>
          <w:szCs w:val="24"/>
          <w:vertAlign w:val="superscript"/>
        </w:rPr>
        <w:footnoteRef/>
      </w:r>
      <w:r w:rsidRPr="00BA06B6">
        <w:rPr>
          <w:sz w:val="20"/>
          <w:vertAlign w:val="superscript"/>
        </w:rPr>
        <w:t xml:space="preserve"> </w:t>
      </w:r>
      <w:r w:rsidRPr="00563F5A">
        <w:rPr>
          <w:color w:val="333333"/>
          <w:sz w:val="20"/>
          <w:shd w:val="clear" w:color="auto" w:fill="FFFFFF"/>
        </w:rPr>
        <w:t>Pursuant to 603 CMR 1.12(2), the Board</w:t>
      </w:r>
      <w:r w:rsidR="00F97B69">
        <w:rPr>
          <w:color w:val="333333"/>
          <w:sz w:val="20"/>
          <w:shd w:val="clear" w:color="auto" w:fill="FFFFFF"/>
        </w:rPr>
        <w:t>:</w:t>
      </w:r>
    </w:p>
    <w:p w14:paraId="5CA61CA9" w14:textId="77777777" w:rsidR="004275E8" w:rsidRPr="00563F5A" w:rsidRDefault="004275E8" w:rsidP="004275E8">
      <w:pPr>
        <w:ind w:left="720"/>
        <w:rPr>
          <w:rFonts w:asciiTheme="minorHAnsi" w:hAnsiTheme="minorHAnsi" w:cstheme="minorHAnsi"/>
          <w:b/>
          <w:bCs/>
          <w:sz w:val="20"/>
          <w:u w:val="single"/>
          <w:vertAlign w:val="superscript"/>
        </w:rPr>
      </w:pPr>
      <w:r w:rsidRPr="00563F5A">
        <w:rPr>
          <w:color w:val="333333"/>
          <w:sz w:val="20"/>
          <w:shd w:val="clear" w:color="auto" w:fill="FFFFFF"/>
        </w:rPr>
        <w:t xml:space="preserve">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p>
    <w:p w14:paraId="6BA65C27" w14:textId="77777777" w:rsidR="004275E8" w:rsidRPr="00563F5A" w:rsidRDefault="004275E8" w:rsidP="004275E8">
      <w:pPr>
        <w:pStyle w:val="FootnoteText"/>
      </w:pPr>
    </w:p>
  </w:footnote>
  <w:footnote w:id="2">
    <w:p w14:paraId="0011CD8D" w14:textId="77777777" w:rsidR="002C7AA0" w:rsidRDefault="002C7AA0" w:rsidP="002C7AA0">
      <w:pPr>
        <w:pStyle w:val="FootnoteText"/>
      </w:pPr>
      <w:r w:rsidRPr="00FD00AE">
        <w:rPr>
          <w:rStyle w:val="FootnoteReference"/>
          <w:sz w:val="24"/>
          <w:szCs w:val="24"/>
          <w:vertAlign w:val="superscript"/>
        </w:rPr>
        <w:footnoteRef/>
      </w:r>
      <w:r w:rsidRPr="00FD00AE">
        <w:rPr>
          <w:sz w:val="24"/>
          <w:szCs w:val="24"/>
          <w:vertAlign w:val="superscript"/>
        </w:rPr>
        <w:t xml:space="preserve"> </w:t>
      </w:r>
      <w:r>
        <w:rPr>
          <w:color w:val="000000"/>
        </w:rPr>
        <w:t>Pursuant to G.L. c. 71, § 89(d), the Board may authorize "a single board of trustees to oversee more than one charter school provided . . . each school is issued its own charter." This structure is known as a network of charter schools. Currently, seven boards of trustees hold two or more charters and oversee networks of charter schools.</w:t>
      </w:r>
    </w:p>
  </w:footnote>
  <w:footnote w:id="3">
    <w:p w14:paraId="46074D53" w14:textId="77777777" w:rsidR="002C7AA0" w:rsidRDefault="002C7AA0" w:rsidP="002C7AA0">
      <w:pPr>
        <w:rPr>
          <w:sz w:val="22"/>
        </w:rPr>
      </w:pPr>
      <w:r>
        <w:rPr>
          <w:rStyle w:val="FootnoteReference"/>
          <w:vertAlign w:val="superscript"/>
        </w:rPr>
        <w:footnoteRef/>
      </w:r>
      <w:r>
        <w:rPr>
          <w:vertAlign w:val="superscript"/>
        </w:rPr>
        <w:t xml:space="preserve"> </w:t>
      </w:r>
      <w:r>
        <w:rPr>
          <w:sz w:val="20"/>
        </w:rPr>
        <w:t xml:space="preserve">Network staff are employees of the flagship school, </w:t>
      </w:r>
      <w:proofErr w:type="spellStart"/>
      <w:r>
        <w:rPr>
          <w:sz w:val="20"/>
        </w:rPr>
        <w:t>CoaH</w:t>
      </w:r>
      <w:proofErr w:type="spellEnd"/>
      <w:r>
        <w:rPr>
          <w:sz w:val="20"/>
        </w:rPr>
        <w:t xml:space="preserve"> CS. The other two charter schools in the network pay a fee to the flagship school based on a percentage of tuition for its administrative/operational support.</w:t>
      </w:r>
      <w:r>
        <w:t xml:space="preserve"> </w:t>
      </w:r>
    </w:p>
    <w:p w14:paraId="212E3E59" w14:textId="77777777" w:rsidR="002C7AA0" w:rsidRDefault="002C7AA0" w:rsidP="002C7AA0">
      <w:pPr>
        <w:pStyle w:val="FootnoteText"/>
      </w:pPr>
    </w:p>
  </w:footnote>
  <w:footnote w:id="4">
    <w:p w14:paraId="7E297AF6" w14:textId="77777777" w:rsidR="00706A82" w:rsidRDefault="00706A82" w:rsidP="00706A82">
      <w:pPr>
        <w:pStyle w:val="FootnoteText"/>
      </w:pPr>
      <w:r w:rsidRPr="00FD00AE">
        <w:rPr>
          <w:rStyle w:val="FootnoteReference"/>
          <w:sz w:val="24"/>
          <w:szCs w:val="24"/>
          <w:vertAlign w:val="superscript"/>
        </w:rPr>
        <w:footnoteRef/>
      </w:r>
      <w:r>
        <w:rPr>
          <w:vertAlign w:val="superscript"/>
        </w:rPr>
        <w:t xml:space="preserve"> </w:t>
      </w:r>
      <w:r>
        <w:t>Each charter school is a distinct legal entity and operates under a separate charter.</w:t>
      </w:r>
    </w:p>
  </w:footnote>
  <w:footnote w:id="5">
    <w:p w14:paraId="00ED46E5" w14:textId="4C47EE57" w:rsidR="00161369" w:rsidRPr="00161369" w:rsidRDefault="00161369">
      <w:pPr>
        <w:pStyle w:val="FootnoteText"/>
      </w:pPr>
      <w:r w:rsidRPr="00FD00AE">
        <w:rPr>
          <w:rStyle w:val="FootnoteReference"/>
          <w:sz w:val="24"/>
          <w:szCs w:val="24"/>
          <w:vertAlign w:val="superscript"/>
        </w:rPr>
        <w:footnoteRef/>
      </w:r>
      <w:r w:rsidRPr="00FD00AE">
        <w:rPr>
          <w:sz w:val="24"/>
          <w:szCs w:val="24"/>
          <w:vertAlign w:val="superscript"/>
        </w:rPr>
        <w:t xml:space="preserve"> </w:t>
      </w:r>
      <w:r w:rsidRPr="00BA06B6">
        <w:t>The Education Law Task Force is a group of attorneys and advocates that seeks to address education issues facing low-income students.</w:t>
      </w:r>
    </w:p>
  </w:footnote>
  <w:footnote w:id="6">
    <w:p w14:paraId="43B30298" w14:textId="3514155B" w:rsidR="001B6472" w:rsidRPr="00CB54D5" w:rsidRDefault="001B6472">
      <w:pPr>
        <w:pStyle w:val="FootnoteText"/>
      </w:pPr>
      <w:r w:rsidRPr="00FD00AE">
        <w:rPr>
          <w:rStyle w:val="FootnoteReference"/>
          <w:sz w:val="24"/>
          <w:szCs w:val="24"/>
          <w:vertAlign w:val="superscript"/>
        </w:rPr>
        <w:footnoteRef/>
      </w:r>
      <w:r w:rsidR="00FD00AE">
        <w:t xml:space="preserve"> </w:t>
      </w:r>
      <w:proofErr w:type="gramStart"/>
      <w:r w:rsidRPr="00CB54D5">
        <w:t>A majority of</w:t>
      </w:r>
      <w:proofErr w:type="gramEnd"/>
      <w:r w:rsidRPr="00CB54D5">
        <w:t xml:space="preserve"> charter schools have an associated not-for-profit for fundraising purposes. The finances of the related foundations are included within each charter school’s required annual financial audit. </w:t>
      </w:r>
    </w:p>
  </w:footnote>
  <w:footnote w:id="7">
    <w:p w14:paraId="2E9489FB" w14:textId="3EB7D311" w:rsidR="00CB54D5" w:rsidRDefault="00CB54D5">
      <w:pPr>
        <w:pStyle w:val="FootnoteText"/>
      </w:pPr>
      <w:r w:rsidRPr="00FD00AE">
        <w:rPr>
          <w:rStyle w:val="FootnoteReference"/>
          <w:sz w:val="24"/>
          <w:szCs w:val="24"/>
          <w:vertAlign w:val="superscript"/>
        </w:rPr>
        <w:footnoteRef/>
      </w:r>
      <w:r w:rsidRPr="00CB54D5">
        <w:t xml:space="preserve"> </w:t>
      </w:r>
      <w:r w:rsidRPr="00BA06B6">
        <w:rPr>
          <w:color w:val="000000" w:themeColor="text1"/>
        </w:rPr>
        <w:t>By statute, charter schools submit enrollment estimates</w:t>
      </w:r>
      <w:r w:rsidR="000F5097" w:rsidRPr="00BA06B6">
        <w:rPr>
          <w:color w:val="000000" w:themeColor="text1"/>
        </w:rPr>
        <w:t>,</w:t>
      </w:r>
      <w:r w:rsidRPr="00BA06B6">
        <w:rPr>
          <w:color w:val="000000" w:themeColor="text1"/>
        </w:rPr>
        <w:t xml:space="preserve"> called pre-enrollment data</w:t>
      </w:r>
      <w:r w:rsidR="000F5097" w:rsidRPr="00BA06B6">
        <w:rPr>
          <w:color w:val="000000" w:themeColor="text1"/>
        </w:rPr>
        <w:t>,</w:t>
      </w:r>
      <w:r w:rsidRPr="00BA06B6">
        <w:rPr>
          <w:color w:val="000000" w:themeColor="text1"/>
        </w:rPr>
        <w:t xml:space="preserve"> for the upcoming school year to the Department by mid-March. </w:t>
      </w:r>
      <w:r w:rsidRPr="00BA06B6">
        <w:rPr>
          <w:color w:val="000000" w:themeColor="text1"/>
          <w:shd w:val="clear" w:color="auto" w:fill="FFFFFF"/>
        </w:rPr>
        <w:t>Pre-</w:t>
      </w:r>
      <w:r w:rsidR="00D65BA8">
        <w:rPr>
          <w:color w:val="000000" w:themeColor="text1"/>
          <w:shd w:val="clear" w:color="auto" w:fill="FFFFFF"/>
        </w:rPr>
        <w:t>e</w:t>
      </w:r>
      <w:r w:rsidRPr="00BA06B6">
        <w:rPr>
          <w:color w:val="000000" w:themeColor="text1"/>
          <w:shd w:val="clear" w:color="auto" w:fill="FFFFFF"/>
        </w:rPr>
        <w:t>nrollment data are used by the Department to determine each charter school's first five monthly </w:t>
      </w:r>
      <w:r w:rsidR="00D65BA8">
        <w:rPr>
          <w:bCs/>
          <w:color w:val="000000" w:themeColor="text1"/>
          <w:shd w:val="clear" w:color="auto" w:fill="FFFFFF"/>
        </w:rPr>
        <w:t>(</w:t>
      </w:r>
      <w:r w:rsidRPr="00BA06B6">
        <w:rPr>
          <w:bCs/>
          <w:color w:val="000000" w:themeColor="text1"/>
          <w:shd w:val="clear" w:color="auto" w:fill="FFFFFF"/>
        </w:rPr>
        <w:t>July through November</w:t>
      </w:r>
      <w:r w:rsidR="00D65BA8">
        <w:rPr>
          <w:bCs/>
          <w:color w:val="000000" w:themeColor="text1"/>
          <w:shd w:val="clear" w:color="auto" w:fill="FFFFFF"/>
        </w:rPr>
        <w:t>)</w:t>
      </w:r>
      <w:r w:rsidRPr="00BA06B6">
        <w:rPr>
          <w:bCs/>
          <w:color w:val="000000" w:themeColor="text1"/>
          <w:shd w:val="clear" w:color="auto" w:fill="FFFFFF"/>
        </w:rPr>
        <w:t xml:space="preserve"> </w:t>
      </w:r>
      <w:r w:rsidR="00D65BA8" w:rsidRPr="008878E2">
        <w:rPr>
          <w:bCs/>
          <w:color w:val="000000" w:themeColor="text1"/>
          <w:shd w:val="clear" w:color="auto" w:fill="FFFFFF"/>
        </w:rPr>
        <w:t xml:space="preserve">tuition </w:t>
      </w:r>
      <w:r w:rsidRPr="00BA06B6">
        <w:rPr>
          <w:bCs/>
          <w:color w:val="000000" w:themeColor="text1"/>
          <w:shd w:val="clear" w:color="auto" w:fill="FFFFFF"/>
        </w:rPr>
        <w:t>payments</w:t>
      </w:r>
      <w:r w:rsidRPr="00BA06B6">
        <w:rPr>
          <w:color w:val="000000" w:themeColor="text1"/>
          <w:shd w:val="clear" w:color="auto" w:fill="FFFFFF"/>
        </w:rPr>
        <w:t> for the upcoming fiscal year. Charter school tuition is then adjusted in December and subsequent months to reflect actual enrollment.</w:t>
      </w:r>
      <w:r w:rsidRPr="00BA06B6">
        <w:rPr>
          <w:color w:val="000000" w:themeColor="text1"/>
          <w:sz w:val="18"/>
          <w:szCs w:val="18"/>
          <w:shd w:val="clear" w:color="auto" w:fill="FFFFFF"/>
        </w:rPr>
        <w:t xml:space="preserve"> </w:t>
      </w:r>
    </w:p>
  </w:footnote>
  <w:footnote w:id="8">
    <w:p w14:paraId="17DA27EC" w14:textId="6AA6CA8C" w:rsidR="005232BA" w:rsidRDefault="005232BA" w:rsidP="005232BA">
      <w:pPr>
        <w:pStyle w:val="FootnoteText"/>
      </w:pPr>
      <w:r w:rsidRPr="00FD00AE">
        <w:rPr>
          <w:rStyle w:val="FootnoteReference"/>
          <w:sz w:val="24"/>
          <w:szCs w:val="24"/>
          <w:vertAlign w:val="superscript"/>
        </w:rPr>
        <w:footnoteRef/>
      </w:r>
      <w:r>
        <w:t xml:space="preserve"> </w:t>
      </w:r>
      <w:r>
        <w:rPr>
          <w:snapToGrid w:val="0"/>
        </w:rPr>
        <w:t>Chronic absenteeism is defined as the percentage of students missing 10 percent or more of their days in membership. The chronic absenteeism rate includes both excused and unexcused absences and is calculated for students in grades 1 through 12. In order to be included in a school’s chronic absenteeism rate, a student must be enrolled in the school for at least 20 days at any point in the school year.</w:t>
      </w:r>
    </w:p>
  </w:footnote>
  <w:footnote w:id="9">
    <w:p w14:paraId="1A14FD98" w14:textId="5303B838" w:rsidR="00256D91" w:rsidRDefault="00256D91">
      <w:pPr>
        <w:pStyle w:val="FootnoteText"/>
      </w:pPr>
      <w:r w:rsidRPr="00FD00AE">
        <w:rPr>
          <w:rStyle w:val="FootnoteReference"/>
          <w:sz w:val="24"/>
          <w:szCs w:val="24"/>
          <w:vertAlign w:val="superscript"/>
        </w:rPr>
        <w:footnoteRef/>
      </w:r>
      <w:r w:rsidRPr="00FD00AE">
        <w:rPr>
          <w:sz w:val="24"/>
          <w:szCs w:val="24"/>
        </w:rPr>
        <w:t xml:space="preserve"> </w:t>
      </w:r>
      <w:r>
        <w:t xml:space="preserve">Similarly, </w:t>
      </w:r>
      <w:r w:rsidRPr="00256D91">
        <w:t>Composite Performance Index (CPI) scores show an overall decline in all three subject areas from the 2016 assessment to the 2018 assessment. Student growth percentile (SGP) data demonstrated low growth for ELA and mathematics in 2017 and 2018.</w:t>
      </w:r>
    </w:p>
  </w:footnote>
  <w:footnote w:id="10">
    <w:p w14:paraId="34D69952" w14:textId="1EFBC575" w:rsidR="00017A22" w:rsidRDefault="00017A22">
      <w:pPr>
        <w:pStyle w:val="FootnoteText"/>
      </w:pPr>
      <w:r w:rsidRPr="00FD00AE">
        <w:rPr>
          <w:rStyle w:val="FootnoteReference"/>
          <w:sz w:val="24"/>
          <w:szCs w:val="24"/>
          <w:vertAlign w:val="superscript"/>
        </w:rPr>
        <w:footnoteRef/>
      </w:r>
      <w:r w:rsidRPr="00FD00AE">
        <w:rPr>
          <w:sz w:val="24"/>
          <w:szCs w:val="24"/>
        </w:rPr>
        <w:t xml:space="preserve"> </w:t>
      </w:r>
      <w:r w:rsidRPr="00017A22">
        <w:t>In 2019, the school’s 2019 grade 10 SGPs were 34.2 for ELA and 40.9 for mathematics, below Boston Public Schools’ SGPs for its grade 10 students of 46.7 and 55.1, respectively.</w:t>
      </w:r>
    </w:p>
  </w:footnote>
  <w:footnote w:id="11">
    <w:p w14:paraId="3E7DA5D9" w14:textId="34247FBE" w:rsidR="00C7536E" w:rsidRDefault="00C7536E">
      <w:pPr>
        <w:pStyle w:val="FootnoteText"/>
      </w:pPr>
      <w:r w:rsidRPr="00FD00AE">
        <w:rPr>
          <w:rStyle w:val="FootnoteReference"/>
          <w:sz w:val="24"/>
          <w:szCs w:val="24"/>
          <w:vertAlign w:val="superscript"/>
        </w:rPr>
        <w:footnoteRef/>
      </w:r>
      <w:r>
        <w:t xml:space="preserve"> </w:t>
      </w:r>
      <w:r w:rsidR="004D4C9D">
        <w:t xml:space="preserve">Other schools’ consolidation </w:t>
      </w:r>
      <w:r w:rsidRPr="00C7536E">
        <w:t xml:space="preserve">requests </w:t>
      </w:r>
      <w:r w:rsidR="004D4C9D">
        <w:t xml:space="preserve">sought to promote </w:t>
      </w:r>
      <w:r w:rsidRPr="00C7536E">
        <w:t xml:space="preserve">access of enrolled students across the network to a single high school program, to decrease redundancies in staffing and reporting, </w:t>
      </w:r>
      <w:r w:rsidR="00081A6D">
        <w:t>and</w:t>
      </w:r>
      <w:r w:rsidRPr="00C7536E">
        <w:t xml:space="preserve"> </w:t>
      </w:r>
      <w:r w:rsidR="004D4C9D">
        <w:t xml:space="preserve">to reduce </w:t>
      </w:r>
      <w:r w:rsidRPr="00C7536E">
        <w:t xml:space="preserve">inefficiencies associated with operating legally distinct schools in a small geographic area. </w:t>
      </w:r>
      <w:r>
        <w:t xml:space="preserve">While somewhat different, </w:t>
      </w:r>
      <w:proofErr w:type="spellStart"/>
      <w:r w:rsidRPr="00C7536E">
        <w:t>CoaH’s</w:t>
      </w:r>
      <w:proofErr w:type="spellEnd"/>
      <w:r w:rsidRPr="00C7536E">
        <w:t xml:space="preserve"> request to consolidate its two Boston charters is consistent with the rationale </w:t>
      </w:r>
      <w:r>
        <w:t>for</w:t>
      </w:r>
      <w:r w:rsidRPr="00C7536E">
        <w:t xml:space="preserve"> consolidation and prior Board decisions.</w:t>
      </w:r>
    </w:p>
  </w:footnote>
  <w:footnote w:id="12">
    <w:p w14:paraId="72852849" w14:textId="77777777" w:rsidR="00184684" w:rsidRPr="00DF76BF" w:rsidRDefault="00184684" w:rsidP="00184684">
      <w:pPr>
        <w:pStyle w:val="FootnoteText"/>
      </w:pPr>
      <w:r w:rsidRPr="00FD00AE">
        <w:rPr>
          <w:rStyle w:val="FootnoteReference"/>
          <w:sz w:val="24"/>
          <w:szCs w:val="24"/>
          <w:vertAlign w:val="superscript"/>
        </w:rPr>
        <w:footnoteRef/>
      </w:r>
      <w:r w:rsidRPr="00FD00AE">
        <w:rPr>
          <w:sz w:val="24"/>
          <w:szCs w:val="24"/>
          <w:vertAlign w:val="superscript"/>
        </w:rPr>
        <w:t xml:space="preserve"> </w:t>
      </w:r>
      <w:r w:rsidRPr="00DF76BF">
        <w:t xml:space="preserve">The Board voted to accept the charter surrender of the third school in the network, </w:t>
      </w:r>
      <w:proofErr w:type="spellStart"/>
      <w:r w:rsidRPr="00DF76BF">
        <w:t>CoaH</w:t>
      </w:r>
      <w:proofErr w:type="spellEnd"/>
      <w:r w:rsidRPr="00DF76BF">
        <w:t xml:space="preserve"> NB, further diminishing the need for a network office.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8DF"/>
    <w:multiLevelType w:val="hybridMultilevel"/>
    <w:tmpl w:val="ACD0562C"/>
    <w:lvl w:ilvl="0" w:tplc="CB261A3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605"/>
    <w:multiLevelType w:val="hybridMultilevel"/>
    <w:tmpl w:val="AC44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4602A"/>
    <w:multiLevelType w:val="hybridMultilevel"/>
    <w:tmpl w:val="12BA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9E0B2E"/>
    <w:multiLevelType w:val="hybridMultilevel"/>
    <w:tmpl w:val="3B2C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7C"/>
    <w:rsid w:val="00015B54"/>
    <w:rsid w:val="00016735"/>
    <w:rsid w:val="00017A22"/>
    <w:rsid w:val="00025507"/>
    <w:rsid w:val="00041CA1"/>
    <w:rsid w:val="00050608"/>
    <w:rsid w:val="0005629A"/>
    <w:rsid w:val="00064E2C"/>
    <w:rsid w:val="00081A6D"/>
    <w:rsid w:val="00081E21"/>
    <w:rsid w:val="00090634"/>
    <w:rsid w:val="00095503"/>
    <w:rsid w:val="000A07EF"/>
    <w:rsid w:val="000A5A03"/>
    <w:rsid w:val="000B3698"/>
    <w:rsid w:val="000B49BA"/>
    <w:rsid w:val="000B7BF3"/>
    <w:rsid w:val="000C67ED"/>
    <w:rsid w:val="000E0994"/>
    <w:rsid w:val="000E3451"/>
    <w:rsid w:val="000F23BB"/>
    <w:rsid w:val="000F5097"/>
    <w:rsid w:val="000F665F"/>
    <w:rsid w:val="0010618A"/>
    <w:rsid w:val="0011582A"/>
    <w:rsid w:val="0014144F"/>
    <w:rsid w:val="00143BAB"/>
    <w:rsid w:val="00161369"/>
    <w:rsid w:val="001719F0"/>
    <w:rsid w:val="00184684"/>
    <w:rsid w:val="00192C93"/>
    <w:rsid w:val="001A15AA"/>
    <w:rsid w:val="001B24DF"/>
    <w:rsid w:val="001B6472"/>
    <w:rsid w:val="001C3CB1"/>
    <w:rsid w:val="001C650E"/>
    <w:rsid w:val="001D0E35"/>
    <w:rsid w:val="001E1512"/>
    <w:rsid w:val="001E21C3"/>
    <w:rsid w:val="00201172"/>
    <w:rsid w:val="00202C37"/>
    <w:rsid w:val="00212516"/>
    <w:rsid w:val="00215928"/>
    <w:rsid w:val="0022201E"/>
    <w:rsid w:val="00230953"/>
    <w:rsid w:val="002325BE"/>
    <w:rsid w:val="00232F81"/>
    <w:rsid w:val="00234F28"/>
    <w:rsid w:val="00246562"/>
    <w:rsid w:val="002560CD"/>
    <w:rsid w:val="00256D91"/>
    <w:rsid w:val="00272834"/>
    <w:rsid w:val="002A3E22"/>
    <w:rsid w:val="002B484D"/>
    <w:rsid w:val="002B4B10"/>
    <w:rsid w:val="002C0CF9"/>
    <w:rsid w:val="002C7AA0"/>
    <w:rsid w:val="002D7E76"/>
    <w:rsid w:val="002E484E"/>
    <w:rsid w:val="002E5130"/>
    <w:rsid w:val="002F5424"/>
    <w:rsid w:val="00324448"/>
    <w:rsid w:val="0032552A"/>
    <w:rsid w:val="00330DB6"/>
    <w:rsid w:val="0037204C"/>
    <w:rsid w:val="00372DDE"/>
    <w:rsid w:val="00392C0E"/>
    <w:rsid w:val="00393AA6"/>
    <w:rsid w:val="003953C8"/>
    <w:rsid w:val="0039608B"/>
    <w:rsid w:val="003B3835"/>
    <w:rsid w:val="003B59D9"/>
    <w:rsid w:val="003B60A6"/>
    <w:rsid w:val="003D1315"/>
    <w:rsid w:val="003D35E4"/>
    <w:rsid w:val="003F25BC"/>
    <w:rsid w:val="00406BE3"/>
    <w:rsid w:val="00406F3C"/>
    <w:rsid w:val="0041210C"/>
    <w:rsid w:val="004275E8"/>
    <w:rsid w:val="00443674"/>
    <w:rsid w:val="00453296"/>
    <w:rsid w:val="00455866"/>
    <w:rsid w:val="0046668F"/>
    <w:rsid w:val="00475075"/>
    <w:rsid w:val="00476CD1"/>
    <w:rsid w:val="00481862"/>
    <w:rsid w:val="00490F21"/>
    <w:rsid w:val="004B22C9"/>
    <w:rsid w:val="004D0E5B"/>
    <w:rsid w:val="004D4C9D"/>
    <w:rsid w:val="004D7A8A"/>
    <w:rsid w:val="004E5697"/>
    <w:rsid w:val="004E62D1"/>
    <w:rsid w:val="004F07D9"/>
    <w:rsid w:val="004F0D2F"/>
    <w:rsid w:val="004F3A91"/>
    <w:rsid w:val="004F3FD1"/>
    <w:rsid w:val="0050034C"/>
    <w:rsid w:val="005232BA"/>
    <w:rsid w:val="005238EF"/>
    <w:rsid w:val="005430E2"/>
    <w:rsid w:val="00563F5A"/>
    <w:rsid w:val="005669E6"/>
    <w:rsid w:val="00567243"/>
    <w:rsid w:val="00571666"/>
    <w:rsid w:val="0058325A"/>
    <w:rsid w:val="0059178C"/>
    <w:rsid w:val="005A25B6"/>
    <w:rsid w:val="005C1013"/>
    <w:rsid w:val="005C1471"/>
    <w:rsid w:val="005D5F87"/>
    <w:rsid w:val="005E3535"/>
    <w:rsid w:val="005E735A"/>
    <w:rsid w:val="00603B61"/>
    <w:rsid w:val="006048A0"/>
    <w:rsid w:val="00605660"/>
    <w:rsid w:val="006341B2"/>
    <w:rsid w:val="00635070"/>
    <w:rsid w:val="00636F92"/>
    <w:rsid w:val="00640852"/>
    <w:rsid w:val="00642BCE"/>
    <w:rsid w:val="006447D8"/>
    <w:rsid w:val="00650863"/>
    <w:rsid w:val="00650F36"/>
    <w:rsid w:val="0065362C"/>
    <w:rsid w:val="00654073"/>
    <w:rsid w:val="006567A5"/>
    <w:rsid w:val="006777B0"/>
    <w:rsid w:val="00681C41"/>
    <w:rsid w:val="006C2336"/>
    <w:rsid w:val="006C320E"/>
    <w:rsid w:val="006D4761"/>
    <w:rsid w:val="006D50B5"/>
    <w:rsid w:val="006F3052"/>
    <w:rsid w:val="006F50F4"/>
    <w:rsid w:val="00702117"/>
    <w:rsid w:val="007059AA"/>
    <w:rsid w:val="00706A82"/>
    <w:rsid w:val="00711EE8"/>
    <w:rsid w:val="007256BA"/>
    <w:rsid w:val="00730348"/>
    <w:rsid w:val="007367A4"/>
    <w:rsid w:val="00742640"/>
    <w:rsid w:val="007465C7"/>
    <w:rsid w:val="00761FD8"/>
    <w:rsid w:val="007732FB"/>
    <w:rsid w:val="00780185"/>
    <w:rsid w:val="007814C2"/>
    <w:rsid w:val="007928CA"/>
    <w:rsid w:val="007A153D"/>
    <w:rsid w:val="007D7613"/>
    <w:rsid w:val="007E2730"/>
    <w:rsid w:val="007E384C"/>
    <w:rsid w:val="007F0F28"/>
    <w:rsid w:val="00802428"/>
    <w:rsid w:val="008033AB"/>
    <w:rsid w:val="008062F0"/>
    <w:rsid w:val="00816AD7"/>
    <w:rsid w:val="00831D72"/>
    <w:rsid w:val="00834D32"/>
    <w:rsid w:val="008413F9"/>
    <w:rsid w:val="0084245B"/>
    <w:rsid w:val="00851942"/>
    <w:rsid w:val="0085610C"/>
    <w:rsid w:val="008817EB"/>
    <w:rsid w:val="00886786"/>
    <w:rsid w:val="00894A74"/>
    <w:rsid w:val="008A1645"/>
    <w:rsid w:val="008A309A"/>
    <w:rsid w:val="008A6E38"/>
    <w:rsid w:val="008B3C7D"/>
    <w:rsid w:val="008C238A"/>
    <w:rsid w:val="008C494A"/>
    <w:rsid w:val="00906FB3"/>
    <w:rsid w:val="00914699"/>
    <w:rsid w:val="00927430"/>
    <w:rsid w:val="00932A40"/>
    <w:rsid w:val="00932AFA"/>
    <w:rsid w:val="00973CE6"/>
    <w:rsid w:val="009A6568"/>
    <w:rsid w:val="009A6FC4"/>
    <w:rsid w:val="009D0B21"/>
    <w:rsid w:val="00A07A4E"/>
    <w:rsid w:val="00A16ABD"/>
    <w:rsid w:val="00A16BA8"/>
    <w:rsid w:val="00A20194"/>
    <w:rsid w:val="00A23E2E"/>
    <w:rsid w:val="00A27E7B"/>
    <w:rsid w:val="00A55943"/>
    <w:rsid w:val="00A61162"/>
    <w:rsid w:val="00A621C9"/>
    <w:rsid w:val="00A70FE3"/>
    <w:rsid w:val="00A7681B"/>
    <w:rsid w:val="00A80BB5"/>
    <w:rsid w:val="00A94A23"/>
    <w:rsid w:val="00AD729F"/>
    <w:rsid w:val="00AE497C"/>
    <w:rsid w:val="00B15E7C"/>
    <w:rsid w:val="00B278D5"/>
    <w:rsid w:val="00B34968"/>
    <w:rsid w:val="00B3714B"/>
    <w:rsid w:val="00B42CFE"/>
    <w:rsid w:val="00B52F1C"/>
    <w:rsid w:val="00B53F33"/>
    <w:rsid w:val="00B73593"/>
    <w:rsid w:val="00B80BC5"/>
    <w:rsid w:val="00B87C1C"/>
    <w:rsid w:val="00B94104"/>
    <w:rsid w:val="00BA06B6"/>
    <w:rsid w:val="00BA0DBE"/>
    <w:rsid w:val="00BA4773"/>
    <w:rsid w:val="00BA534B"/>
    <w:rsid w:val="00BC14D5"/>
    <w:rsid w:val="00BE7F89"/>
    <w:rsid w:val="00C01CA0"/>
    <w:rsid w:val="00C23B29"/>
    <w:rsid w:val="00C60519"/>
    <w:rsid w:val="00C7536E"/>
    <w:rsid w:val="00C96DEC"/>
    <w:rsid w:val="00C974A6"/>
    <w:rsid w:val="00CA1476"/>
    <w:rsid w:val="00CB436A"/>
    <w:rsid w:val="00CB54D5"/>
    <w:rsid w:val="00CC0E29"/>
    <w:rsid w:val="00CC7737"/>
    <w:rsid w:val="00CD159C"/>
    <w:rsid w:val="00CD6C97"/>
    <w:rsid w:val="00CF75CD"/>
    <w:rsid w:val="00D005B3"/>
    <w:rsid w:val="00D00D0D"/>
    <w:rsid w:val="00D0217C"/>
    <w:rsid w:val="00D1782C"/>
    <w:rsid w:val="00D20405"/>
    <w:rsid w:val="00D21FE2"/>
    <w:rsid w:val="00D41311"/>
    <w:rsid w:val="00D4366A"/>
    <w:rsid w:val="00D456B8"/>
    <w:rsid w:val="00D504D3"/>
    <w:rsid w:val="00D568A0"/>
    <w:rsid w:val="00D6325A"/>
    <w:rsid w:val="00D64624"/>
    <w:rsid w:val="00D65BA8"/>
    <w:rsid w:val="00D65FF4"/>
    <w:rsid w:val="00D73B50"/>
    <w:rsid w:val="00D80078"/>
    <w:rsid w:val="00D91754"/>
    <w:rsid w:val="00DA7EB9"/>
    <w:rsid w:val="00DB7486"/>
    <w:rsid w:val="00DD279A"/>
    <w:rsid w:val="00DD6798"/>
    <w:rsid w:val="00DF1006"/>
    <w:rsid w:val="00DF3163"/>
    <w:rsid w:val="00E016D5"/>
    <w:rsid w:val="00E13BC7"/>
    <w:rsid w:val="00E1661A"/>
    <w:rsid w:val="00E33D46"/>
    <w:rsid w:val="00E37FDC"/>
    <w:rsid w:val="00E502E9"/>
    <w:rsid w:val="00E6034D"/>
    <w:rsid w:val="00E60ABD"/>
    <w:rsid w:val="00E77FAD"/>
    <w:rsid w:val="00E87E0C"/>
    <w:rsid w:val="00E956E2"/>
    <w:rsid w:val="00EA5CDC"/>
    <w:rsid w:val="00EB02D3"/>
    <w:rsid w:val="00EB366F"/>
    <w:rsid w:val="00EB7867"/>
    <w:rsid w:val="00EC375C"/>
    <w:rsid w:val="00EC4559"/>
    <w:rsid w:val="00EC7DE2"/>
    <w:rsid w:val="00EE0A55"/>
    <w:rsid w:val="00EE4C0E"/>
    <w:rsid w:val="00EF07F3"/>
    <w:rsid w:val="00EF0916"/>
    <w:rsid w:val="00F02890"/>
    <w:rsid w:val="00F02A89"/>
    <w:rsid w:val="00F11DF0"/>
    <w:rsid w:val="00F149DB"/>
    <w:rsid w:val="00F15544"/>
    <w:rsid w:val="00F25840"/>
    <w:rsid w:val="00F32112"/>
    <w:rsid w:val="00F73F31"/>
    <w:rsid w:val="00F76E32"/>
    <w:rsid w:val="00F878C5"/>
    <w:rsid w:val="00F97B69"/>
    <w:rsid w:val="00FA0C21"/>
    <w:rsid w:val="00FB1BF7"/>
    <w:rsid w:val="00FC3B92"/>
    <w:rsid w:val="00FD00AE"/>
    <w:rsid w:val="00FE3927"/>
    <w:rsid w:val="00FE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6F5C8"/>
  <w15:docId w15:val="{D8FDD8B7-B9ED-49BA-AE5A-818A61D3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rsid w:val="00D0217C"/>
    <w:pPr>
      <w:widowControl/>
    </w:pPr>
    <w:rPr>
      <w:snapToGrid/>
      <w:sz w:val="20"/>
    </w:rPr>
  </w:style>
  <w:style w:type="character" w:customStyle="1" w:styleId="FootnoteTextChar">
    <w:name w:val="Footnote Text Char"/>
    <w:basedOn w:val="DefaultParagraphFont"/>
    <w:link w:val="FootnoteText"/>
    <w:rsid w:val="00D0217C"/>
  </w:style>
  <w:style w:type="character" w:styleId="Hyperlink">
    <w:name w:val="Hyperlink"/>
    <w:rsid w:val="00D0217C"/>
    <w:rPr>
      <w:color w:val="0000FF"/>
      <w:u w:val="single"/>
    </w:rPr>
  </w:style>
  <w:style w:type="paragraph" w:styleId="BodyText2">
    <w:name w:val="Body Text 2"/>
    <w:basedOn w:val="Normal"/>
    <w:link w:val="BodyText2Char"/>
    <w:rsid w:val="00D0217C"/>
    <w:rPr>
      <w:i/>
      <w:iCs/>
    </w:rPr>
  </w:style>
  <w:style w:type="character" w:customStyle="1" w:styleId="BodyText2Char">
    <w:name w:val="Body Text 2 Char"/>
    <w:basedOn w:val="DefaultParagraphFont"/>
    <w:link w:val="BodyText2"/>
    <w:rsid w:val="00D0217C"/>
    <w:rPr>
      <w:i/>
      <w:iCs/>
      <w:snapToGrid w:val="0"/>
      <w:sz w:val="24"/>
    </w:rPr>
  </w:style>
  <w:style w:type="paragraph" w:styleId="BodyText">
    <w:name w:val="Body Text"/>
    <w:basedOn w:val="Normal"/>
    <w:link w:val="BodyTextChar"/>
    <w:unhideWhenUsed/>
    <w:rsid w:val="00D0217C"/>
    <w:pPr>
      <w:spacing w:after="120"/>
    </w:pPr>
  </w:style>
  <w:style w:type="character" w:customStyle="1" w:styleId="BodyTextChar">
    <w:name w:val="Body Text Char"/>
    <w:basedOn w:val="DefaultParagraphFont"/>
    <w:link w:val="BodyText"/>
    <w:rsid w:val="00D0217C"/>
    <w:rPr>
      <w:snapToGrid w:val="0"/>
      <w:sz w:val="24"/>
    </w:rPr>
  </w:style>
  <w:style w:type="character" w:styleId="CommentReference">
    <w:name w:val="annotation reference"/>
    <w:basedOn w:val="DefaultParagraphFont"/>
    <w:semiHidden/>
    <w:unhideWhenUsed/>
    <w:rsid w:val="00D0217C"/>
    <w:rPr>
      <w:sz w:val="16"/>
      <w:szCs w:val="16"/>
    </w:rPr>
  </w:style>
  <w:style w:type="paragraph" w:styleId="CommentText">
    <w:name w:val="annotation text"/>
    <w:basedOn w:val="Normal"/>
    <w:link w:val="CommentTextChar"/>
    <w:semiHidden/>
    <w:unhideWhenUsed/>
    <w:rsid w:val="00D0217C"/>
    <w:rPr>
      <w:sz w:val="20"/>
    </w:rPr>
  </w:style>
  <w:style w:type="character" w:customStyle="1" w:styleId="CommentTextChar">
    <w:name w:val="Comment Text Char"/>
    <w:basedOn w:val="DefaultParagraphFont"/>
    <w:link w:val="CommentText"/>
    <w:semiHidden/>
    <w:rsid w:val="00D0217C"/>
    <w:rPr>
      <w:snapToGrid w:val="0"/>
    </w:rPr>
  </w:style>
  <w:style w:type="paragraph" w:customStyle="1" w:styleId="Table">
    <w:name w:val="Table"/>
    <w:basedOn w:val="Normal"/>
    <w:qFormat/>
    <w:rsid w:val="002C7AA0"/>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2C7AA0"/>
    <w:rPr>
      <w:b/>
      <w:sz w:val="22"/>
      <w:szCs w:val="22"/>
    </w:rPr>
  </w:style>
  <w:style w:type="paragraph" w:styleId="CommentSubject">
    <w:name w:val="annotation subject"/>
    <w:basedOn w:val="CommentText"/>
    <w:next w:val="CommentText"/>
    <w:link w:val="CommentSubjectChar"/>
    <w:semiHidden/>
    <w:unhideWhenUsed/>
    <w:rsid w:val="00603B61"/>
    <w:rPr>
      <w:b/>
      <w:bCs/>
    </w:rPr>
  </w:style>
  <w:style w:type="character" w:customStyle="1" w:styleId="CommentSubjectChar">
    <w:name w:val="Comment Subject Char"/>
    <w:basedOn w:val="CommentTextChar"/>
    <w:link w:val="CommentSubject"/>
    <w:semiHidden/>
    <w:rsid w:val="00603B61"/>
    <w:rPr>
      <w:b/>
      <w:bCs/>
      <w:snapToGrid w:val="0"/>
    </w:rPr>
  </w:style>
  <w:style w:type="paragraph" w:styleId="Header">
    <w:name w:val="header"/>
    <w:basedOn w:val="Normal"/>
    <w:link w:val="HeaderChar"/>
    <w:unhideWhenUsed/>
    <w:rsid w:val="00FE42B1"/>
    <w:pPr>
      <w:tabs>
        <w:tab w:val="center" w:pos="4680"/>
        <w:tab w:val="right" w:pos="9360"/>
      </w:tabs>
    </w:pPr>
  </w:style>
  <w:style w:type="character" w:customStyle="1" w:styleId="HeaderChar">
    <w:name w:val="Header Char"/>
    <w:basedOn w:val="DefaultParagraphFont"/>
    <w:link w:val="Header"/>
    <w:rsid w:val="00FE42B1"/>
    <w:rPr>
      <w:snapToGrid w:val="0"/>
      <w:sz w:val="24"/>
    </w:rPr>
  </w:style>
  <w:style w:type="paragraph" w:styleId="ListParagraph">
    <w:name w:val="List Paragraph"/>
    <w:basedOn w:val="Normal"/>
    <w:link w:val="ListParagraphChar"/>
    <w:uiPriority w:val="34"/>
    <w:qFormat/>
    <w:rsid w:val="007465C7"/>
    <w:pPr>
      <w:widowControl/>
      <w:spacing w:before="200" w:after="200"/>
      <w:ind w:left="720"/>
      <w:contextualSpacing/>
    </w:pPr>
    <w:rPr>
      <w:rFonts w:asciiTheme="minorHAnsi" w:eastAsiaTheme="minorEastAsia" w:hAnsiTheme="minorHAnsi" w:cstheme="minorBidi"/>
      <w:snapToGrid/>
      <w:sz w:val="22"/>
      <w:lang w:bidi="en-US"/>
    </w:rPr>
  </w:style>
  <w:style w:type="paragraph" w:customStyle="1" w:styleId="BulletedList">
    <w:name w:val="Bulleted List"/>
    <w:basedOn w:val="ListParagraph"/>
    <w:qFormat/>
    <w:rsid w:val="007465C7"/>
    <w:pPr>
      <w:numPr>
        <w:numId w:val="2"/>
      </w:numPr>
      <w:tabs>
        <w:tab w:val="num" w:pos="360"/>
      </w:tabs>
      <w:ind w:firstLine="0"/>
    </w:pPr>
    <w:rPr>
      <w:szCs w:val="24"/>
    </w:rPr>
  </w:style>
  <w:style w:type="character" w:customStyle="1" w:styleId="ListParagraphChar">
    <w:name w:val="List Paragraph Char"/>
    <w:basedOn w:val="DefaultParagraphFont"/>
    <w:link w:val="ListParagraph"/>
    <w:uiPriority w:val="34"/>
    <w:locked/>
    <w:rsid w:val="007465C7"/>
    <w:rPr>
      <w:rFonts w:asciiTheme="minorHAnsi" w:eastAsiaTheme="minorEastAsia" w:hAnsiTheme="minorHAnsi" w:cstheme="minorBidi"/>
      <w:sz w:val="22"/>
      <w:lang w:bidi="en-US"/>
    </w:rPr>
  </w:style>
  <w:style w:type="character" w:styleId="FollowedHyperlink">
    <w:name w:val="FollowedHyperlink"/>
    <w:basedOn w:val="DefaultParagraphFont"/>
    <w:semiHidden/>
    <w:unhideWhenUsed/>
    <w:rsid w:val="00914699"/>
    <w:rPr>
      <w:color w:val="800080" w:themeColor="followedHyperlink"/>
      <w:u w:val="single"/>
    </w:rPr>
  </w:style>
  <w:style w:type="paragraph" w:styleId="Revision">
    <w:name w:val="Revision"/>
    <w:hidden/>
    <w:uiPriority w:val="99"/>
    <w:semiHidden/>
    <w:rsid w:val="00563F5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0068">
      <w:bodyDiv w:val="1"/>
      <w:marLeft w:val="0"/>
      <w:marRight w:val="0"/>
      <w:marTop w:val="0"/>
      <w:marBottom w:val="0"/>
      <w:divBdr>
        <w:top w:val="none" w:sz="0" w:space="0" w:color="auto"/>
        <w:left w:val="none" w:sz="0" w:space="0" w:color="auto"/>
        <w:bottom w:val="none" w:sz="0" w:space="0" w:color="auto"/>
        <w:right w:val="none" w:sz="0" w:space="0" w:color="auto"/>
      </w:divBdr>
    </w:div>
    <w:div w:id="273830220">
      <w:bodyDiv w:val="1"/>
      <w:marLeft w:val="0"/>
      <w:marRight w:val="0"/>
      <w:marTop w:val="0"/>
      <w:marBottom w:val="0"/>
      <w:divBdr>
        <w:top w:val="none" w:sz="0" w:space="0" w:color="auto"/>
        <w:left w:val="none" w:sz="0" w:space="0" w:color="auto"/>
        <w:bottom w:val="none" w:sz="0" w:space="0" w:color="auto"/>
        <w:right w:val="none" w:sz="0" w:space="0" w:color="auto"/>
      </w:divBdr>
    </w:div>
    <w:div w:id="495150222">
      <w:bodyDiv w:val="1"/>
      <w:marLeft w:val="0"/>
      <w:marRight w:val="0"/>
      <w:marTop w:val="0"/>
      <w:marBottom w:val="0"/>
      <w:divBdr>
        <w:top w:val="none" w:sz="0" w:space="0" w:color="auto"/>
        <w:left w:val="none" w:sz="0" w:space="0" w:color="auto"/>
        <w:bottom w:val="none" w:sz="0" w:space="0" w:color="auto"/>
        <w:right w:val="none" w:sz="0" w:space="0" w:color="auto"/>
      </w:divBdr>
    </w:div>
    <w:div w:id="641665802">
      <w:bodyDiv w:val="1"/>
      <w:marLeft w:val="0"/>
      <w:marRight w:val="0"/>
      <w:marTop w:val="0"/>
      <w:marBottom w:val="0"/>
      <w:divBdr>
        <w:top w:val="none" w:sz="0" w:space="0" w:color="auto"/>
        <w:left w:val="none" w:sz="0" w:space="0" w:color="auto"/>
        <w:bottom w:val="none" w:sz="0" w:space="0" w:color="auto"/>
        <w:right w:val="none" w:sz="0" w:space="0" w:color="auto"/>
      </w:divBdr>
    </w:div>
    <w:div w:id="646665824">
      <w:bodyDiv w:val="1"/>
      <w:marLeft w:val="0"/>
      <w:marRight w:val="0"/>
      <w:marTop w:val="0"/>
      <w:marBottom w:val="0"/>
      <w:divBdr>
        <w:top w:val="none" w:sz="0" w:space="0" w:color="auto"/>
        <w:left w:val="none" w:sz="0" w:space="0" w:color="auto"/>
        <w:bottom w:val="none" w:sz="0" w:space="0" w:color="auto"/>
        <w:right w:val="none" w:sz="0" w:space="0" w:color="auto"/>
      </w:divBdr>
    </w:div>
    <w:div w:id="848830484">
      <w:bodyDiv w:val="1"/>
      <w:marLeft w:val="0"/>
      <w:marRight w:val="0"/>
      <w:marTop w:val="0"/>
      <w:marBottom w:val="0"/>
      <w:divBdr>
        <w:top w:val="none" w:sz="0" w:space="0" w:color="auto"/>
        <w:left w:val="none" w:sz="0" w:space="0" w:color="auto"/>
        <w:bottom w:val="none" w:sz="0" w:space="0" w:color="auto"/>
        <w:right w:val="none" w:sz="0" w:space="0" w:color="auto"/>
      </w:divBdr>
    </w:div>
    <w:div w:id="922448805">
      <w:bodyDiv w:val="1"/>
      <w:marLeft w:val="0"/>
      <w:marRight w:val="0"/>
      <w:marTop w:val="0"/>
      <w:marBottom w:val="0"/>
      <w:divBdr>
        <w:top w:val="none" w:sz="0" w:space="0" w:color="auto"/>
        <w:left w:val="none" w:sz="0" w:space="0" w:color="auto"/>
        <w:bottom w:val="none" w:sz="0" w:space="0" w:color="auto"/>
        <w:right w:val="none" w:sz="0" w:space="0" w:color="auto"/>
      </w:divBdr>
    </w:div>
    <w:div w:id="1107503369">
      <w:bodyDiv w:val="1"/>
      <w:marLeft w:val="0"/>
      <w:marRight w:val="0"/>
      <w:marTop w:val="0"/>
      <w:marBottom w:val="0"/>
      <w:divBdr>
        <w:top w:val="none" w:sz="0" w:space="0" w:color="auto"/>
        <w:left w:val="none" w:sz="0" w:space="0" w:color="auto"/>
        <w:bottom w:val="none" w:sz="0" w:space="0" w:color="auto"/>
        <w:right w:val="none" w:sz="0" w:space="0" w:color="auto"/>
      </w:divBdr>
    </w:div>
    <w:div w:id="1294211658">
      <w:bodyDiv w:val="1"/>
      <w:marLeft w:val="0"/>
      <w:marRight w:val="0"/>
      <w:marTop w:val="0"/>
      <w:marBottom w:val="0"/>
      <w:divBdr>
        <w:top w:val="none" w:sz="0" w:space="0" w:color="auto"/>
        <w:left w:val="none" w:sz="0" w:space="0" w:color="auto"/>
        <w:bottom w:val="none" w:sz="0" w:space="0" w:color="auto"/>
        <w:right w:val="none" w:sz="0" w:space="0" w:color="auto"/>
      </w:divBdr>
    </w:div>
    <w:div w:id="1317958095">
      <w:bodyDiv w:val="1"/>
      <w:marLeft w:val="0"/>
      <w:marRight w:val="0"/>
      <w:marTop w:val="0"/>
      <w:marBottom w:val="0"/>
      <w:divBdr>
        <w:top w:val="none" w:sz="0" w:space="0" w:color="auto"/>
        <w:left w:val="none" w:sz="0" w:space="0" w:color="auto"/>
        <w:bottom w:val="none" w:sz="0" w:space="0" w:color="auto"/>
        <w:right w:val="none" w:sz="0" w:space="0" w:color="auto"/>
      </w:divBdr>
    </w:div>
    <w:div w:id="1594632952">
      <w:bodyDiv w:val="1"/>
      <w:marLeft w:val="0"/>
      <w:marRight w:val="0"/>
      <w:marTop w:val="0"/>
      <w:marBottom w:val="0"/>
      <w:divBdr>
        <w:top w:val="none" w:sz="0" w:space="0" w:color="auto"/>
        <w:left w:val="none" w:sz="0" w:space="0" w:color="auto"/>
        <w:bottom w:val="none" w:sz="0" w:space="0" w:color="auto"/>
        <w:right w:val="none" w:sz="0" w:space="0" w:color="auto"/>
      </w:divBdr>
    </w:div>
    <w:div w:id="19424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news/news.aspx?id=780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acct.html?section=crite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DESE-231-58313</_dlc_DocId>
    <_dlc_DocIdUrl xmlns="733efe1c-5bbe-4968-87dc-d400e65c879f">
      <Url>https://sharepoint.doemass.org/ese/webteam/cps/_layouts/DocIdRedir.aspx?ID=DESE-231-58313</Url>
      <Description>DESE-231-58313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CCA-CB2F-4F4F-87E0-056D399BB29D}">
  <ds:schemaRefs>
    <ds:schemaRef ds:uri="http://schemas.microsoft.com/sharepoint/events"/>
  </ds:schemaRefs>
</ds:datastoreItem>
</file>

<file path=customXml/itemProps2.xml><?xml version="1.0" encoding="utf-8"?>
<ds:datastoreItem xmlns:ds="http://schemas.openxmlformats.org/officeDocument/2006/customXml" ds:itemID="{F90E46A6-8223-4D45-95E0-84ECBFD6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A325C-7298-4BCA-B988-207CC56D74EA}">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733efe1c-5bbe-4968-87dc-d400e65c879f"/>
    <ds:schemaRef ds:uri="http://schemas.openxmlformats.org/package/2006/metadata/core-properties"/>
    <ds:schemaRef ds:uri="0a4e05da-b9bc-4326-ad73-01ef31b95567"/>
    <ds:schemaRef ds:uri="http://www.w3.org/XML/1998/namespace"/>
  </ds:schemaRefs>
</ds:datastoreItem>
</file>

<file path=customXml/itemProps4.xml><?xml version="1.0" encoding="utf-8"?>
<ds:datastoreItem xmlns:ds="http://schemas.openxmlformats.org/officeDocument/2006/customXml" ds:itemID="{DC1E259A-447D-43D7-A1DD-EBE445765D00}">
  <ds:schemaRefs>
    <ds:schemaRef ds:uri="http://schemas.microsoft.com/sharepoint/v3/contenttype/forms"/>
  </ds:schemaRefs>
</ds:datastoreItem>
</file>

<file path=customXml/itemProps5.xml><?xml version="1.0" encoding="utf-8"?>
<ds:datastoreItem xmlns:ds="http://schemas.openxmlformats.org/officeDocument/2006/customXml" ds:itemID="{A9AC84DC-6C1E-473C-A7BF-3F05ACB4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4</TotalTime>
  <Pages>10</Pages>
  <Words>4139</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BESE February 2020 Item 4 memo Renewal of Charter for City on Hill Charter Public School Circuit Street and Request to Consolidate Two Charters</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Item 4 Memo Renewal of Charter for City on Hill Charter Public School Circuit Street and Request to Consolidate Two Charters</dc:title>
  <dc:subject>BESE February 2020 Item 4 memo Renewal of Charter for City on Hill Charter Public School Circuit Street and Request to Consolidate Two Charters</dc:subject>
  <dc:creator>DESE</dc:creator>
  <cp:lastModifiedBy>Giovanni, Danielle (EOE)</cp:lastModifiedBy>
  <cp:revision>6</cp:revision>
  <cp:lastPrinted>2020-02-14T18:59:00Z</cp:lastPrinted>
  <dcterms:created xsi:type="dcterms:W3CDTF">2020-02-14T19:00:00Z</dcterms:created>
  <dcterms:modified xsi:type="dcterms:W3CDTF">2020-02-19T22:49:00Z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7663315a-4546-46e9-a26f-ff90e4cda308</vt:lpwstr>
  </property>
  <property fmtid="{D5CDD505-2E9C-101B-9397-08002B2CF9AE}" pid="4" name="metadate">
    <vt:lpwstr>Feb 19 2020</vt:lpwstr>
  </property>
</Properties>
</file>