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54415296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64763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B3EE1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54415296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1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1"/>
          </w:p>
        </w:tc>
      </w:tr>
      <w:tr w:rsidR="000E5E95" w14:paraId="663CBD5C" w14:textId="77777777" w:rsidTr="54415296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3369DE24" w:rsidR="002813B0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54415296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5E8782CD" w:rsidR="000E5E95" w:rsidRDefault="00130317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October 9, 2020</w:t>
            </w:r>
          </w:p>
        </w:tc>
      </w:tr>
      <w:tr w:rsidR="000E5E95" w14:paraId="5D0D4861" w14:textId="77777777" w:rsidTr="54415296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1DABCFFB" w:rsidR="000E5E95" w:rsidRPr="007A22FF" w:rsidRDefault="00FB46CC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Language</w:t>
            </w:r>
            <w:r w:rsidR="00FF7398">
              <w:rPr>
                <w:snapToGrid w:val="0"/>
              </w:rPr>
              <w:t xml:space="preserve"> Interpretation </w:t>
            </w:r>
            <w:r w:rsidR="00DA6385">
              <w:rPr>
                <w:snapToGrid w:val="0"/>
              </w:rPr>
              <w:t>Services Project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2" w:name="TO"/>
      <w:bookmarkStart w:id="3" w:name="FROM"/>
      <w:bookmarkStart w:id="4" w:name="DATE"/>
      <w:bookmarkStart w:id="5" w:name="RE"/>
      <w:bookmarkEnd w:id="2"/>
      <w:bookmarkEnd w:id="3"/>
      <w:bookmarkEnd w:id="4"/>
      <w:bookmarkEnd w:id="5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409A76E1" w14:textId="43201621" w:rsidR="00554F3B" w:rsidRDefault="00596375" w:rsidP="00AF2E1F">
      <w:pPr>
        <w:rPr>
          <w:szCs w:val="24"/>
        </w:rPr>
      </w:pPr>
      <w:r>
        <w:rPr>
          <w:szCs w:val="24"/>
        </w:rPr>
        <w:t xml:space="preserve">On </w:t>
      </w:r>
      <w:r w:rsidR="001F5825">
        <w:rPr>
          <w:szCs w:val="24"/>
        </w:rPr>
        <w:t xml:space="preserve">June 25, 2020, the Department of Elementary and Secondary Education issued Initial Fall </w:t>
      </w:r>
      <w:r w:rsidR="00E43720">
        <w:rPr>
          <w:szCs w:val="24"/>
        </w:rPr>
        <w:t xml:space="preserve">School </w:t>
      </w:r>
      <w:r w:rsidR="001F5825">
        <w:rPr>
          <w:szCs w:val="24"/>
        </w:rPr>
        <w:t xml:space="preserve">Reopening </w:t>
      </w:r>
      <w:r w:rsidR="00E43720">
        <w:rPr>
          <w:szCs w:val="24"/>
        </w:rPr>
        <w:t xml:space="preserve">Guidance and subsequently </w:t>
      </w:r>
      <w:r w:rsidR="001568C1">
        <w:rPr>
          <w:szCs w:val="24"/>
        </w:rPr>
        <w:t xml:space="preserve">provided additional </w:t>
      </w:r>
      <w:r w:rsidR="00ED7240">
        <w:rPr>
          <w:szCs w:val="24"/>
        </w:rPr>
        <w:t>guidance</w:t>
      </w:r>
      <w:r w:rsidR="001568C1">
        <w:rPr>
          <w:szCs w:val="24"/>
        </w:rPr>
        <w:t xml:space="preserve"> documents</w:t>
      </w:r>
      <w:r w:rsidR="00ED7240">
        <w:rPr>
          <w:szCs w:val="24"/>
        </w:rPr>
        <w:t xml:space="preserve"> </w:t>
      </w:r>
      <w:r w:rsidR="000A59A0">
        <w:rPr>
          <w:szCs w:val="24"/>
        </w:rPr>
        <w:t xml:space="preserve">on a range of topics related to reopening school </w:t>
      </w:r>
      <w:r w:rsidR="00ED7240">
        <w:rPr>
          <w:szCs w:val="24"/>
        </w:rPr>
        <w:t xml:space="preserve">throughout the summer. These documents (posted </w:t>
      </w:r>
      <w:hyperlink r:id="rId13" w:history="1">
        <w:r w:rsidR="005E5C82" w:rsidRPr="00A20E29">
          <w:rPr>
            <w:rStyle w:val="Hyperlink"/>
            <w:szCs w:val="24"/>
          </w:rPr>
          <w:t>here</w:t>
        </w:r>
      </w:hyperlink>
      <w:r w:rsidR="005E5C82">
        <w:rPr>
          <w:szCs w:val="24"/>
        </w:rPr>
        <w:t>)</w:t>
      </w:r>
      <w:r w:rsidR="00BF3178">
        <w:rPr>
          <w:szCs w:val="24"/>
        </w:rPr>
        <w:t>, along with the amendments to the Student Learning Time regulations</w:t>
      </w:r>
      <w:r w:rsidR="00130317">
        <w:rPr>
          <w:szCs w:val="24"/>
        </w:rPr>
        <w:t xml:space="preserve"> that the Board of Elementary and Secondary Education adopted on September 29, 2020</w:t>
      </w:r>
      <w:r w:rsidR="00BF3178">
        <w:rPr>
          <w:szCs w:val="24"/>
        </w:rPr>
        <w:t>,</w:t>
      </w:r>
      <w:r w:rsidR="001568C1">
        <w:rPr>
          <w:szCs w:val="24"/>
        </w:rPr>
        <w:t xml:space="preserve"> consistently</w:t>
      </w:r>
      <w:r w:rsidR="005E5C82">
        <w:rPr>
          <w:szCs w:val="24"/>
        </w:rPr>
        <w:t xml:space="preserve"> stress the importance of </w:t>
      </w:r>
      <w:r w:rsidR="00130317">
        <w:rPr>
          <w:szCs w:val="24"/>
        </w:rPr>
        <w:t xml:space="preserve">districts </w:t>
      </w:r>
      <w:r w:rsidR="005E5C82">
        <w:rPr>
          <w:szCs w:val="24"/>
        </w:rPr>
        <w:t>est</w:t>
      </w:r>
      <w:r w:rsidR="003300A8">
        <w:rPr>
          <w:szCs w:val="24"/>
        </w:rPr>
        <w:t xml:space="preserve">ablishing ongoing, two-way communication with </w:t>
      </w:r>
      <w:r w:rsidR="005D1011">
        <w:rPr>
          <w:szCs w:val="24"/>
        </w:rPr>
        <w:t xml:space="preserve">limited-English proficient (LEP) </w:t>
      </w:r>
      <w:r w:rsidR="003300A8">
        <w:rPr>
          <w:szCs w:val="24"/>
        </w:rPr>
        <w:t xml:space="preserve">families </w:t>
      </w:r>
      <w:r w:rsidR="00AA46CF">
        <w:rPr>
          <w:szCs w:val="24"/>
        </w:rPr>
        <w:t xml:space="preserve">to ensure they have </w:t>
      </w:r>
      <w:r w:rsidR="001568C1">
        <w:rPr>
          <w:szCs w:val="24"/>
        </w:rPr>
        <w:t>all necessary information to support their children with whichever learning model their district has chosen</w:t>
      </w:r>
      <w:r w:rsidR="008A5685">
        <w:rPr>
          <w:szCs w:val="24"/>
        </w:rPr>
        <w:t xml:space="preserve">. </w:t>
      </w:r>
    </w:p>
    <w:p w14:paraId="2F1B27E8" w14:textId="77777777" w:rsidR="00554F3B" w:rsidRDefault="00554F3B" w:rsidP="00AF2E1F">
      <w:pPr>
        <w:rPr>
          <w:szCs w:val="24"/>
        </w:rPr>
      </w:pPr>
    </w:p>
    <w:p w14:paraId="03D7410F" w14:textId="5A725F50" w:rsidR="00AF2E1F" w:rsidRDefault="004B2D72" w:rsidP="00AF2E1F">
      <w:pPr>
        <w:rPr>
          <w:szCs w:val="24"/>
        </w:rPr>
      </w:pPr>
      <w:r>
        <w:rPr>
          <w:szCs w:val="24"/>
        </w:rPr>
        <w:t>To support d</w:t>
      </w:r>
      <w:r w:rsidR="00AF2E1F" w:rsidRPr="00A628C8">
        <w:rPr>
          <w:szCs w:val="24"/>
        </w:rPr>
        <w:t xml:space="preserve">istricts </w:t>
      </w:r>
      <w:r w:rsidR="0083611B">
        <w:rPr>
          <w:szCs w:val="24"/>
        </w:rPr>
        <w:t xml:space="preserve">with this </w:t>
      </w:r>
      <w:r w:rsidR="00B20D7F">
        <w:rPr>
          <w:szCs w:val="24"/>
        </w:rPr>
        <w:t xml:space="preserve">regular and substantive </w:t>
      </w:r>
      <w:r w:rsidR="0083611B">
        <w:rPr>
          <w:szCs w:val="24"/>
        </w:rPr>
        <w:t>engagement,</w:t>
      </w:r>
      <w:r w:rsidR="00B20D7F">
        <w:rPr>
          <w:szCs w:val="24"/>
        </w:rPr>
        <w:t xml:space="preserve"> the Department launched </w:t>
      </w:r>
      <w:r w:rsidR="001258EC">
        <w:rPr>
          <w:szCs w:val="24"/>
        </w:rPr>
        <w:t>a</w:t>
      </w:r>
      <w:r w:rsidR="00AC355B">
        <w:rPr>
          <w:szCs w:val="24"/>
        </w:rPr>
        <w:t xml:space="preserve"> </w:t>
      </w:r>
      <w:r w:rsidR="00FB46CC">
        <w:rPr>
          <w:szCs w:val="24"/>
        </w:rPr>
        <w:t>Language</w:t>
      </w:r>
      <w:r w:rsidR="00AC355B">
        <w:rPr>
          <w:szCs w:val="24"/>
        </w:rPr>
        <w:t xml:space="preserve"> Interpretation Services Project with 20 districts across the Commonwealth</w:t>
      </w:r>
      <w:r w:rsidR="002D4EB8">
        <w:rPr>
          <w:szCs w:val="24"/>
        </w:rPr>
        <w:t>.</w:t>
      </w:r>
      <w:r w:rsidR="00B6230A">
        <w:rPr>
          <w:szCs w:val="24"/>
        </w:rPr>
        <w:t xml:space="preserve"> (</w:t>
      </w:r>
      <w:r w:rsidR="002D4EB8">
        <w:rPr>
          <w:szCs w:val="24"/>
        </w:rPr>
        <w:t>T</w:t>
      </w:r>
      <w:r w:rsidR="00B6230A">
        <w:rPr>
          <w:szCs w:val="24"/>
        </w:rPr>
        <w:t>he full list of participating districts can be found on page 2 of this memo</w:t>
      </w:r>
      <w:r w:rsidR="002D4EB8">
        <w:rPr>
          <w:szCs w:val="24"/>
        </w:rPr>
        <w:t>.</w:t>
      </w:r>
      <w:r w:rsidR="00B6230A">
        <w:rPr>
          <w:szCs w:val="24"/>
        </w:rPr>
        <w:t>)</w:t>
      </w:r>
      <w:r w:rsidR="00AC355B">
        <w:rPr>
          <w:szCs w:val="24"/>
        </w:rPr>
        <w:t xml:space="preserve"> </w:t>
      </w:r>
      <w:r w:rsidR="00946156">
        <w:rPr>
          <w:szCs w:val="24"/>
        </w:rPr>
        <w:t>These district</w:t>
      </w:r>
      <w:r w:rsidR="00937BC3">
        <w:rPr>
          <w:szCs w:val="24"/>
        </w:rPr>
        <w:t>s</w:t>
      </w:r>
      <w:r w:rsidR="00C65880">
        <w:rPr>
          <w:szCs w:val="24"/>
        </w:rPr>
        <w:t xml:space="preserve">, selected </w:t>
      </w:r>
      <w:r w:rsidR="002654B4">
        <w:rPr>
          <w:szCs w:val="24"/>
        </w:rPr>
        <w:t xml:space="preserve">due to their higher </w:t>
      </w:r>
      <w:r w:rsidR="00946156">
        <w:rPr>
          <w:szCs w:val="24"/>
        </w:rPr>
        <w:t>percentage</w:t>
      </w:r>
      <w:r w:rsidR="002654B4">
        <w:rPr>
          <w:szCs w:val="24"/>
        </w:rPr>
        <w:t>s</w:t>
      </w:r>
      <w:r w:rsidR="00946156">
        <w:rPr>
          <w:szCs w:val="24"/>
        </w:rPr>
        <w:t xml:space="preserve"> of dually identified students (</w:t>
      </w:r>
      <w:r w:rsidR="004D4CF2">
        <w:rPr>
          <w:szCs w:val="24"/>
        </w:rPr>
        <w:t>English learners and students with disabilities)</w:t>
      </w:r>
      <w:r w:rsidR="00FB640A">
        <w:rPr>
          <w:szCs w:val="24"/>
        </w:rPr>
        <w:t xml:space="preserve"> and high-needs students</w:t>
      </w:r>
      <w:r w:rsidR="001258EC">
        <w:rPr>
          <w:szCs w:val="24"/>
        </w:rPr>
        <w:t xml:space="preserve">, </w:t>
      </w:r>
      <w:r w:rsidR="002D4EB8">
        <w:rPr>
          <w:szCs w:val="24"/>
        </w:rPr>
        <w:t xml:space="preserve">are </w:t>
      </w:r>
      <w:r w:rsidR="001511A4">
        <w:rPr>
          <w:szCs w:val="24"/>
        </w:rPr>
        <w:t xml:space="preserve">participating in two </w:t>
      </w:r>
      <w:r w:rsidR="001568C1">
        <w:rPr>
          <w:szCs w:val="24"/>
        </w:rPr>
        <w:t>opportunities designed to expand the availability and quality of interpretation and translation for families</w:t>
      </w:r>
      <w:r w:rsidR="001511A4">
        <w:rPr>
          <w:szCs w:val="24"/>
        </w:rPr>
        <w:t>:</w:t>
      </w:r>
      <w:r w:rsidR="00405677">
        <w:rPr>
          <w:szCs w:val="24"/>
        </w:rPr>
        <w:t xml:space="preserve"> </w:t>
      </w:r>
    </w:p>
    <w:p w14:paraId="782CEA71" w14:textId="77777777" w:rsidR="00F04445" w:rsidRDefault="00F04445" w:rsidP="00AF2E1F">
      <w:pPr>
        <w:rPr>
          <w:szCs w:val="24"/>
        </w:rPr>
      </w:pPr>
    </w:p>
    <w:p w14:paraId="46E9C8E5" w14:textId="4071E641" w:rsidR="00656E10" w:rsidRDefault="00D93DB6" w:rsidP="00656E10">
      <w:pPr>
        <w:pStyle w:val="ListParagraph"/>
        <w:numPr>
          <w:ilvl w:val="0"/>
          <w:numId w:val="19"/>
        </w:numPr>
      </w:pPr>
      <w:r>
        <w:t>T</w:t>
      </w:r>
      <w:r w:rsidR="00656E10">
        <w:t>elephonic interpretation</w:t>
      </w:r>
      <w:r>
        <w:t xml:space="preserve">: </w:t>
      </w:r>
      <w:r w:rsidR="00D875E3">
        <w:t>Through a contract with Lionbridge, Inc.</w:t>
      </w:r>
      <w:r w:rsidR="009948D1">
        <w:t>,</w:t>
      </w:r>
      <w:r w:rsidR="00D875E3">
        <w:t xml:space="preserve"> districts have access to </w:t>
      </w:r>
      <w:r w:rsidR="00134901">
        <w:t>on-demand and as-needed interpretation service</w:t>
      </w:r>
      <w:r w:rsidR="00E25398">
        <w:t xml:space="preserve">s in over 380 languages. </w:t>
      </w:r>
      <w:r w:rsidR="009948D1">
        <w:t>Each p</w:t>
      </w:r>
      <w:r w:rsidR="00711AB6">
        <w:t xml:space="preserve">articipating district </w:t>
      </w:r>
      <w:r w:rsidR="00C35831">
        <w:t>has been</w:t>
      </w:r>
      <w:r w:rsidR="00711AB6">
        <w:t xml:space="preserve"> allocated </w:t>
      </w:r>
      <w:r w:rsidR="009948D1">
        <w:t>a portion of funds to use toward this contract</w:t>
      </w:r>
      <w:r w:rsidR="0097067C">
        <w:t xml:space="preserve"> to support</w:t>
      </w:r>
      <w:r w:rsidR="00C35831">
        <w:t xml:space="preserve"> ongoing engagement with families.</w:t>
      </w:r>
    </w:p>
    <w:p w14:paraId="7F4F6DE9" w14:textId="22BD1325" w:rsidR="00D93DB6" w:rsidRDefault="00200F90" w:rsidP="00656E10">
      <w:pPr>
        <w:pStyle w:val="ListParagraph"/>
        <w:numPr>
          <w:ilvl w:val="0"/>
          <w:numId w:val="19"/>
        </w:numPr>
      </w:pPr>
      <w:r>
        <w:t>Interpreter and Translator in Education Workshop Series</w:t>
      </w:r>
      <w:r w:rsidR="00F04445">
        <w:t>:</w:t>
      </w:r>
      <w:r w:rsidR="0096377A">
        <w:t xml:space="preserve"> </w:t>
      </w:r>
      <w:r w:rsidR="00484D70">
        <w:t xml:space="preserve">Through the Translation Center </w:t>
      </w:r>
      <w:r w:rsidR="004D2264">
        <w:t xml:space="preserve">of the University of Massachusetts Amherst, districts were invited to send up to three bilingual district employees to an Interpreter and Translator in Education Workshop Series. This 7-module </w:t>
      </w:r>
      <w:r w:rsidR="005B0DAB">
        <w:t xml:space="preserve">training course will provide an educational and professional </w:t>
      </w:r>
      <w:r w:rsidR="00FD5A0C">
        <w:t>setting</w:t>
      </w:r>
      <w:r w:rsidR="005B0DAB">
        <w:t xml:space="preserve"> </w:t>
      </w:r>
      <w:r w:rsidR="00FD5A0C">
        <w:t xml:space="preserve">for </w:t>
      </w:r>
      <w:r w:rsidR="005B0DAB">
        <w:t xml:space="preserve">staff </w:t>
      </w:r>
      <w:r w:rsidR="00FD5A0C">
        <w:t>to</w:t>
      </w:r>
      <w:r w:rsidR="005B0DAB">
        <w:t xml:space="preserve"> learn more about the </w:t>
      </w:r>
      <w:r w:rsidR="00FD5A0C">
        <w:t>procedures</w:t>
      </w:r>
      <w:r w:rsidR="005B0DAB">
        <w:t xml:space="preserve"> and </w:t>
      </w:r>
      <w:r w:rsidR="00FD5A0C">
        <w:t>standards</w:t>
      </w:r>
      <w:r w:rsidR="005B0DAB">
        <w:t xml:space="preserve"> of interpretation and translation</w:t>
      </w:r>
      <w:r w:rsidR="00C35831">
        <w:t>.</w:t>
      </w:r>
    </w:p>
    <w:p w14:paraId="176E7F83" w14:textId="77777777" w:rsidR="005D1011" w:rsidRDefault="005D1011" w:rsidP="005D1011"/>
    <w:p w14:paraId="6D2B4213" w14:textId="0BB3CAA2" w:rsidR="00DA6385" w:rsidRDefault="00867C54">
      <w:r>
        <w:t xml:space="preserve">At the Board meeting on October 20, the Department will highlight the </w:t>
      </w:r>
      <w:r w:rsidR="00BF3178">
        <w:t xml:space="preserve">ongoing </w:t>
      </w:r>
      <w:r>
        <w:t xml:space="preserve">work of Holyoke Public Schools </w:t>
      </w:r>
      <w:r w:rsidR="002308C1">
        <w:t xml:space="preserve">(HPS) </w:t>
      </w:r>
      <w:r w:rsidR="00BF3178">
        <w:t xml:space="preserve">to provide interpretation and translation services to LEP families, including </w:t>
      </w:r>
      <w:r w:rsidR="00130317">
        <w:t>HPS’s</w:t>
      </w:r>
      <w:r w:rsidR="00BF3178">
        <w:t xml:space="preserve"> </w:t>
      </w:r>
      <w:r w:rsidR="00CC756F">
        <w:t>participat</w:t>
      </w:r>
      <w:r w:rsidR="00BF3178">
        <w:t>ion</w:t>
      </w:r>
      <w:r w:rsidR="000475B1">
        <w:t xml:space="preserve"> in the Language Interpretation Services Project</w:t>
      </w:r>
      <w:r w:rsidR="00DA1886">
        <w:t xml:space="preserve">. </w:t>
      </w:r>
      <w:r w:rsidR="00620208">
        <w:t xml:space="preserve">Senior Associate Commissioner Russell Johnston and </w:t>
      </w:r>
      <w:r w:rsidR="0035445A">
        <w:t xml:space="preserve">Lauren Woo, </w:t>
      </w:r>
      <w:r w:rsidR="00620208">
        <w:t xml:space="preserve">Director of the Office of Strategic </w:t>
      </w:r>
      <w:r w:rsidR="00620208">
        <w:lastRenderedPageBreak/>
        <w:t>Transformation</w:t>
      </w:r>
      <w:r w:rsidR="0035445A">
        <w:t xml:space="preserve">, will provide a brief summary of the project. </w:t>
      </w:r>
      <w:r w:rsidR="00B84176">
        <w:t xml:space="preserve">They will be joined by </w:t>
      </w:r>
      <w:r w:rsidR="0035445A">
        <w:t>Dr. Alberto Vázquez Matos, Receiver</w:t>
      </w:r>
      <w:r w:rsidR="00130317">
        <w:t>/Superintendent</w:t>
      </w:r>
      <w:r w:rsidR="0035445A">
        <w:t xml:space="preserve"> of </w:t>
      </w:r>
      <w:r w:rsidR="00C81340">
        <w:t>HPS</w:t>
      </w:r>
      <w:r w:rsidR="00481D9E">
        <w:t>, and Nic</w:t>
      </w:r>
      <w:r w:rsidR="00006E03">
        <w:t>holas</w:t>
      </w:r>
      <w:r w:rsidR="00481D9E">
        <w:t xml:space="preserve"> Magnolia,</w:t>
      </w:r>
      <w:r w:rsidR="00C81340">
        <w:t xml:space="preserve"> coordinator of HPS interpretation and translation services</w:t>
      </w:r>
      <w:r w:rsidR="00B84176">
        <w:t>. They will provide reflections</w:t>
      </w:r>
      <w:r w:rsidR="001A3384">
        <w:t xml:space="preserve"> on </w:t>
      </w:r>
      <w:r w:rsidR="006375F6">
        <w:t xml:space="preserve">their experience </w:t>
      </w:r>
      <w:r w:rsidR="0077043F">
        <w:t xml:space="preserve">leveraging the services to </w:t>
      </w:r>
      <w:r w:rsidR="00BF3178">
        <w:t xml:space="preserve">assist the district’s work to </w:t>
      </w:r>
      <w:r w:rsidR="0077043F">
        <w:t xml:space="preserve">foster </w:t>
      </w:r>
      <w:r w:rsidR="00536648">
        <w:t>two-way</w:t>
      </w:r>
      <w:r w:rsidR="00603C4D">
        <w:t xml:space="preserve">, culturally responsive </w:t>
      </w:r>
      <w:r w:rsidR="00536648">
        <w:t xml:space="preserve">communication </w:t>
      </w:r>
      <w:r w:rsidR="00F55CDD">
        <w:t>with families</w:t>
      </w:r>
      <w:r w:rsidR="00603C4D">
        <w:t>.</w:t>
      </w:r>
    </w:p>
    <w:p w14:paraId="04B30AA1" w14:textId="77777777" w:rsidR="001568C1" w:rsidRDefault="001568C1"/>
    <w:p w14:paraId="24A345A3" w14:textId="50795221" w:rsidR="0039533A" w:rsidRDefault="0039533A">
      <w:r>
        <w:t>Districts participating in the Language Interpreter Services Project</w:t>
      </w:r>
      <w:r w:rsidR="008D1C58">
        <w:t xml:space="preserve"> by </w:t>
      </w:r>
      <w:r w:rsidR="001568C1">
        <w:t xml:space="preserve">assistance </w:t>
      </w:r>
      <w:r w:rsidR="007B3EE1">
        <w:t>r</w:t>
      </w:r>
      <w:r w:rsidR="008D1C58">
        <w:t>egion</w:t>
      </w:r>
      <w:r>
        <w:t>:</w:t>
      </w:r>
    </w:p>
    <w:p w14:paraId="69612BF3" w14:textId="77777777" w:rsidR="008D1C58" w:rsidRDefault="008D1C58"/>
    <w:tbl>
      <w:tblPr>
        <w:tblStyle w:val="GridTable6Colorful"/>
        <w:tblW w:w="7195" w:type="dxa"/>
        <w:jc w:val="center"/>
        <w:tblLook w:val="0420" w:firstRow="1" w:lastRow="0" w:firstColumn="0" w:lastColumn="0" w:noHBand="0" w:noVBand="1"/>
      </w:tblPr>
      <w:tblGrid>
        <w:gridCol w:w="3325"/>
        <w:gridCol w:w="1890"/>
        <w:gridCol w:w="1980"/>
      </w:tblGrid>
      <w:tr w:rsidR="008D1C58" w:rsidRPr="008D1C58" w14:paraId="256FFD2B" w14:textId="77777777" w:rsidTr="008D1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jc w:val="center"/>
        </w:trPr>
        <w:tc>
          <w:tcPr>
            <w:tcW w:w="3325" w:type="dxa"/>
            <w:hideMark/>
          </w:tcPr>
          <w:p w14:paraId="106D6C5A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Strategic Transformation</w:t>
            </w:r>
          </w:p>
        </w:tc>
        <w:tc>
          <w:tcPr>
            <w:tcW w:w="1890" w:type="dxa"/>
            <w:hideMark/>
          </w:tcPr>
          <w:p w14:paraId="50E28246" w14:textId="77777777" w:rsidR="008D1C58" w:rsidRPr="008D1C58" w:rsidRDefault="008D1C58" w:rsidP="008D1C58">
            <w:pPr>
              <w:pStyle w:val="xmsolist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West/Central</w:t>
            </w:r>
          </w:p>
        </w:tc>
        <w:tc>
          <w:tcPr>
            <w:tcW w:w="1980" w:type="dxa"/>
            <w:hideMark/>
          </w:tcPr>
          <w:p w14:paraId="1CAC9F82" w14:textId="77777777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Coastal</w:t>
            </w:r>
          </w:p>
        </w:tc>
      </w:tr>
      <w:tr w:rsidR="008D1C58" w:rsidRPr="008D1C58" w14:paraId="2198C61C" w14:textId="77777777" w:rsidTr="008D1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tcW w:w="3325" w:type="dxa"/>
            <w:hideMark/>
          </w:tcPr>
          <w:p w14:paraId="54502446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Holyoke</w:t>
            </w:r>
          </w:p>
        </w:tc>
        <w:tc>
          <w:tcPr>
            <w:tcW w:w="1890" w:type="dxa"/>
            <w:hideMark/>
          </w:tcPr>
          <w:p w14:paraId="218C807A" w14:textId="77777777" w:rsidR="008D1C58" w:rsidRPr="008D1C58" w:rsidRDefault="008D1C58" w:rsidP="008D1C58">
            <w:pPr>
              <w:pStyle w:val="xmsolist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Amherst</w:t>
            </w:r>
          </w:p>
        </w:tc>
        <w:tc>
          <w:tcPr>
            <w:tcW w:w="1980" w:type="dxa"/>
            <w:hideMark/>
          </w:tcPr>
          <w:p w14:paraId="26298324" w14:textId="77777777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Boston</w:t>
            </w:r>
          </w:p>
        </w:tc>
      </w:tr>
      <w:tr w:rsidR="008D1C58" w:rsidRPr="008D1C58" w14:paraId="5080BD70" w14:textId="77777777" w:rsidTr="008D1C58">
        <w:trPr>
          <w:trHeight w:val="198"/>
          <w:jc w:val="center"/>
        </w:trPr>
        <w:tc>
          <w:tcPr>
            <w:tcW w:w="3325" w:type="dxa"/>
            <w:hideMark/>
          </w:tcPr>
          <w:p w14:paraId="7CF4E554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Lawrence</w:t>
            </w:r>
          </w:p>
        </w:tc>
        <w:tc>
          <w:tcPr>
            <w:tcW w:w="1890" w:type="dxa"/>
            <w:hideMark/>
          </w:tcPr>
          <w:p w14:paraId="5A0EBA74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Easthampton</w:t>
            </w:r>
          </w:p>
        </w:tc>
        <w:tc>
          <w:tcPr>
            <w:tcW w:w="1980" w:type="dxa"/>
            <w:hideMark/>
          </w:tcPr>
          <w:p w14:paraId="0213E68F" w14:textId="77777777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Brockton</w:t>
            </w:r>
          </w:p>
        </w:tc>
      </w:tr>
      <w:tr w:rsidR="008D1C58" w:rsidRPr="008D1C58" w14:paraId="12098FFF" w14:textId="77777777" w:rsidTr="008D1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tcW w:w="3325" w:type="dxa"/>
            <w:hideMark/>
          </w:tcPr>
          <w:p w14:paraId="75F04216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Southbridge</w:t>
            </w:r>
          </w:p>
        </w:tc>
        <w:tc>
          <w:tcPr>
            <w:tcW w:w="1890" w:type="dxa"/>
            <w:hideMark/>
          </w:tcPr>
          <w:p w14:paraId="1D243304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Fitchburg</w:t>
            </w:r>
          </w:p>
        </w:tc>
        <w:tc>
          <w:tcPr>
            <w:tcW w:w="1980" w:type="dxa"/>
            <w:hideMark/>
          </w:tcPr>
          <w:p w14:paraId="10C5DF05" w14:textId="77777777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Chelsea</w:t>
            </w:r>
          </w:p>
        </w:tc>
      </w:tr>
      <w:tr w:rsidR="008D1C58" w:rsidRPr="008D1C58" w14:paraId="01069E93" w14:textId="77777777" w:rsidTr="008D1C58">
        <w:trPr>
          <w:trHeight w:val="198"/>
          <w:jc w:val="center"/>
        </w:trPr>
        <w:tc>
          <w:tcPr>
            <w:tcW w:w="3325" w:type="dxa"/>
            <w:hideMark/>
          </w:tcPr>
          <w:p w14:paraId="13E5E090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Springfield Empowerment Zone</w:t>
            </w:r>
          </w:p>
        </w:tc>
        <w:tc>
          <w:tcPr>
            <w:tcW w:w="1890" w:type="dxa"/>
            <w:hideMark/>
          </w:tcPr>
          <w:p w14:paraId="74E4AD41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Gardner</w:t>
            </w:r>
          </w:p>
        </w:tc>
        <w:tc>
          <w:tcPr>
            <w:tcW w:w="1980" w:type="dxa"/>
            <w:hideMark/>
          </w:tcPr>
          <w:p w14:paraId="03D7989E" w14:textId="77777777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Everett</w:t>
            </w:r>
          </w:p>
        </w:tc>
      </w:tr>
      <w:tr w:rsidR="008D1C58" w:rsidRPr="008D1C58" w14:paraId="23B6B993" w14:textId="77777777" w:rsidTr="008D1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tcW w:w="3325" w:type="dxa"/>
            <w:hideMark/>
          </w:tcPr>
          <w:p w14:paraId="75FE1137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14:paraId="2EE76471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Northampton</w:t>
            </w:r>
          </w:p>
        </w:tc>
        <w:tc>
          <w:tcPr>
            <w:tcW w:w="1980" w:type="dxa"/>
            <w:hideMark/>
          </w:tcPr>
          <w:p w14:paraId="7E0512FF" w14:textId="77777777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Fall River</w:t>
            </w:r>
          </w:p>
        </w:tc>
      </w:tr>
      <w:tr w:rsidR="008D1C58" w:rsidRPr="008D1C58" w14:paraId="022544D8" w14:textId="77777777" w:rsidTr="008D1C58">
        <w:trPr>
          <w:trHeight w:val="198"/>
          <w:jc w:val="center"/>
        </w:trPr>
        <w:tc>
          <w:tcPr>
            <w:tcW w:w="3325" w:type="dxa"/>
            <w:hideMark/>
          </w:tcPr>
          <w:p w14:paraId="33F9F679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14:paraId="17715108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Springfield</w:t>
            </w:r>
          </w:p>
        </w:tc>
        <w:tc>
          <w:tcPr>
            <w:tcW w:w="1980" w:type="dxa"/>
            <w:hideMark/>
          </w:tcPr>
          <w:p w14:paraId="713E67E9" w14:textId="77777777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Lowell</w:t>
            </w:r>
          </w:p>
        </w:tc>
      </w:tr>
      <w:tr w:rsidR="008D1C58" w:rsidRPr="008D1C58" w14:paraId="08D01344" w14:textId="77777777" w:rsidTr="008D1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tcW w:w="3325" w:type="dxa"/>
            <w:hideMark/>
          </w:tcPr>
          <w:p w14:paraId="6ACEB4DC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14:paraId="16FD4414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Worcester</w:t>
            </w:r>
          </w:p>
        </w:tc>
        <w:tc>
          <w:tcPr>
            <w:tcW w:w="1980" w:type="dxa"/>
            <w:hideMark/>
          </w:tcPr>
          <w:p w14:paraId="0D2969E4" w14:textId="77777777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Lynn</w:t>
            </w:r>
          </w:p>
        </w:tc>
      </w:tr>
      <w:tr w:rsidR="008D1C58" w:rsidRPr="008D1C58" w14:paraId="680E94F9" w14:textId="77777777" w:rsidTr="008D1C58">
        <w:trPr>
          <w:trHeight w:val="198"/>
          <w:jc w:val="center"/>
        </w:trPr>
        <w:tc>
          <w:tcPr>
            <w:tcW w:w="3325" w:type="dxa"/>
            <w:hideMark/>
          </w:tcPr>
          <w:p w14:paraId="317FDD76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14:paraId="115FD5D5" w14:textId="77777777" w:rsidR="008D1C58" w:rsidRPr="008D1C58" w:rsidRDefault="008D1C58" w:rsidP="008D1C58">
            <w:pPr>
              <w:pStyle w:val="xmso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14:paraId="249AF751" w14:textId="77777777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New Bedford</w:t>
            </w:r>
          </w:p>
        </w:tc>
      </w:tr>
      <w:tr w:rsidR="008D1C58" w:rsidRPr="008D1C58" w14:paraId="590FDB6A" w14:textId="77777777" w:rsidTr="008D1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tcW w:w="3325" w:type="dxa"/>
            <w:hideMark/>
          </w:tcPr>
          <w:p w14:paraId="1275F74A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14:paraId="529C9BC3" w14:textId="77777777" w:rsidR="008D1C58" w:rsidRPr="008D1C58" w:rsidRDefault="008D1C58" w:rsidP="008D1C58">
            <w:pPr>
              <w:pStyle w:val="xmso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14:paraId="5D10656D" w14:textId="77777777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Revere</w:t>
            </w:r>
          </w:p>
        </w:tc>
      </w:tr>
      <w:tr w:rsidR="008D1C58" w:rsidRPr="008D1C58" w14:paraId="103021D5" w14:textId="77777777" w:rsidTr="008D1C58">
        <w:trPr>
          <w:trHeight w:val="198"/>
          <w:jc w:val="center"/>
        </w:trPr>
        <w:tc>
          <w:tcPr>
            <w:tcW w:w="3325" w:type="dxa"/>
          </w:tcPr>
          <w:p w14:paraId="655B32CF" w14:textId="77777777" w:rsidR="008D1C58" w:rsidRPr="008D1C58" w:rsidRDefault="008D1C58" w:rsidP="008D1C58">
            <w:pPr>
              <w:pStyle w:val="xmso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B924B0" w14:textId="77777777" w:rsidR="008D1C58" w:rsidRPr="008D1C58" w:rsidRDefault="008D1C58" w:rsidP="008D1C58">
            <w:pPr>
              <w:pStyle w:val="xmso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C15D96" w14:textId="4A01A683" w:rsidR="008D1C58" w:rsidRPr="008D1C58" w:rsidRDefault="008D1C58" w:rsidP="008D1C58">
            <w:pPr>
              <w:pStyle w:val="xmsolist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8">
              <w:rPr>
                <w:rFonts w:ascii="Times New Roman" w:hAnsi="Times New Roman" w:cs="Times New Roman"/>
                <w:sz w:val="24"/>
                <w:szCs w:val="24"/>
              </w:rPr>
              <w:t>Salem</w:t>
            </w:r>
          </w:p>
        </w:tc>
      </w:tr>
    </w:tbl>
    <w:p w14:paraId="05331FA5" w14:textId="77777777" w:rsidR="0039533A" w:rsidRDefault="0039533A" w:rsidP="0039533A">
      <w:pPr>
        <w:pStyle w:val="xmsolistparagraph"/>
      </w:pPr>
      <w:r>
        <w:t> </w:t>
      </w:r>
    </w:p>
    <w:p w14:paraId="1FA174EB" w14:textId="2EB075E0" w:rsidR="0039533A" w:rsidRDefault="0039533A"/>
    <w:sectPr w:rsidR="0039533A" w:rsidSect="007B3EE1">
      <w:footerReference w:type="default" r:id="rId14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ED2F9" w14:textId="77777777" w:rsidR="006B10CD" w:rsidRDefault="006B10CD">
      <w:r>
        <w:separator/>
      </w:r>
    </w:p>
  </w:endnote>
  <w:endnote w:type="continuationSeparator" w:id="0">
    <w:p w14:paraId="5FB3F7CD" w14:textId="77777777" w:rsidR="006B10CD" w:rsidRDefault="006B10CD">
      <w:r>
        <w:continuationSeparator/>
      </w:r>
    </w:p>
  </w:endnote>
  <w:endnote w:type="continuationNotice" w:id="1">
    <w:p w14:paraId="3E3AB0F9" w14:textId="77777777" w:rsidR="006B10CD" w:rsidRDefault="006B1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FCB70" w14:textId="77777777" w:rsidR="006B10CD" w:rsidRDefault="006B10CD">
      <w:r>
        <w:separator/>
      </w:r>
    </w:p>
  </w:footnote>
  <w:footnote w:type="continuationSeparator" w:id="0">
    <w:p w14:paraId="0282FE06" w14:textId="77777777" w:rsidR="006B10CD" w:rsidRDefault="006B10CD">
      <w:r>
        <w:continuationSeparator/>
      </w:r>
    </w:p>
  </w:footnote>
  <w:footnote w:type="continuationNotice" w:id="1">
    <w:p w14:paraId="23546B68" w14:textId="77777777" w:rsidR="006B10CD" w:rsidRDefault="006B10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05920"/>
    <w:multiLevelType w:val="multilevel"/>
    <w:tmpl w:val="E858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4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9"/>
  </w:num>
  <w:num w:numId="13">
    <w:abstractNumId w:val="18"/>
  </w:num>
  <w:num w:numId="14">
    <w:abstractNumId w:val="11"/>
  </w:num>
  <w:num w:numId="15">
    <w:abstractNumId w:val="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1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85950"/>
    <w:rsid w:val="000A065E"/>
    <w:rsid w:val="000A0D6A"/>
    <w:rsid w:val="000A0F1D"/>
    <w:rsid w:val="000A59A0"/>
    <w:rsid w:val="000B1C0A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258EC"/>
    <w:rsid w:val="00130317"/>
    <w:rsid w:val="00134901"/>
    <w:rsid w:val="00136904"/>
    <w:rsid w:val="001449CB"/>
    <w:rsid w:val="001511A4"/>
    <w:rsid w:val="0015328C"/>
    <w:rsid w:val="001568C1"/>
    <w:rsid w:val="001579CF"/>
    <w:rsid w:val="00164507"/>
    <w:rsid w:val="001652E5"/>
    <w:rsid w:val="00167E8F"/>
    <w:rsid w:val="00170340"/>
    <w:rsid w:val="001710B3"/>
    <w:rsid w:val="00185E9E"/>
    <w:rsid w:val="00190AEB"/>
    <w:rsid w:val="00196311"/>
    <w:rsid w:val="001A3384"/>
    <w:rsid w:val="001C0E08"/>
    <w:rsid w:val="001D2934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308C1"/>
    <w:rsid w:val="002416E7"/>
    <w:rsid w:val="00241A1F"/>
    <w:rsid w:val="00243A55"/>
    <w:rsid w:val="002502CB"/>
    <w:rsid w:val="00261BFC"/>
    <w:rsid w:val="002654B4"/>
    <w:rsid w:val="00271228"/>
    <w:rsid w:val="002713FC"/>
    <w:rsid w:val="00273152"/>
    <w:rsid w:val="002813B0"/>
    <w:rsid w:val="00291F01"/>
    <w:rsid w:val="002A0EF6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4EB8"/>
    <w:rsid w:val="002D6DA3"/>
    <w:rsid w:val="002F3534"/>
    <w:rsid w:val="002F5424"/>
    <w:rsid w:val="00306095"/>
    <w:rsid w:val="00307FDD"/>
    <w:rsid w:val="00315230"/>
    <w:rsid w:val="003166C8"/>
    <w:rsid w:val="00316F05"/>
    <w:rsid w:val="00329642"/>
    <w:rsid w:val="003300A8"/>
    <w:rsid w:val="00330D15"/>
    <w:rsid w:val="00341984"/>
    <w:rsid w:val="0035445A"/>
    <w:rsid w:val="00354C15"/>
    <w:rsid w:val="003550DC"/>
    <w:rsid w:val="00356382"/>
    <w:rsid w:val="00360559"/>
    <w:rsid w:val="00361467"/>
    <w:rsid w:val="00363A77"/>
    <w:rsid w:val="00363EC5"/>
    <w:rsid w:val="00365F2F"/>
    <w:rsid w:val="00381A88"/>
    <w:rsid w:val="0039194F"/>
    <w:rsid w:val="0039533A"/>
    <w:rsid w:val="003953C8"/>
    <w:rsid w:val="003A2F60"/>
    <w:rsid w:val="003B43E3"/>
    <w:rsid w:val="003C4139"/>
    <w:rsid w:val="003D0F91"/>
    <w:rsid w:val="003D25FA"/>
    <w:rsid w:val="003D335F"/>
    <w:rsid w:val="003D6768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4562E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E060F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80DFA"/>
    <w:rsid w:val="0058702A"/>
    <w:rsid w:val="0059178C"/>
    <w:rsid w:val="00596375"/>
    <w:rsid w:val="005A3DFB"/>
    <w:rsid w:val="005A4C11"/>
    <w:rsid w:val="005B0DAB"/>
    <w:rsid w:val="005C1013"/>
    <w:rsid w:val="005D013E"/>
    <w:rsid w:val="005D1011"/>
    <w:rsid w:val="005E3535"/>
    <w:rsid w:val="005E4C60"/>
    <w:rsid w:val="005E5C82"/>
    <w:rsid w:val="005F2DD8"/>
    <w:rsid w:val="005F4333"/>
    <w:rsid w:val="00603C4D"/>
    <w:rsid w:val="00603CA0"/>
    <w:rsid w:val="00607C24"/>
    <w:rsid w:val="00616E24"/>
    <w:rsid w:val="00620208"/>
    <w:rsid w:val="00622645"/>
    <w:rsid w:val="00630B70"/>
    <w:rsid w:val="00632378"/>
    <w:rsid w:val="00634EB6"/>
    <w:rsid w:val="00635070"/>
    <w:rsid w:val="006375F6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91197"/>
    <w:rsid w:val="006925C9"/>
    <w:rsid w:val="006A0F24"/>
    <w:rsid w:val="006A3D35"/>
    <w:rsid w:val="006A5EC7"/>
    <w:rsid w:val="006B10CD"/>
    <w:rsid w:val="006C0F45"/>
    <w:rsid w:val="006C32D4"/>
    <w:rsid w:val="006D4E62"/>
    <w:rsid w:val="006F339C"/>
    <w:rsid w:val="006F5210"/>
    <w:rsid w:val="006F57AE"/>
    <w:rsid w:val="0070548F"/>
    <w:rsid w:val="007072FB"/>
    <w:rsid w:val="00711AB6"/>
    <w:rsid w:val="00714801"/>
    <w:rsid w:val="007155C0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B3EE1"/>
    <w:rsid w:val="007B5827"/>
    <w:rsid w:val="007C6735"/>
    <w:rsid w:val="007D2CAF"/>
    <w:rsid w:val="007E2623"/>
    <w:rsid w:val="007E2E1E"/>
    <w:rsid w:val="007E62A6"/>
    <w:rsid w:val="00803008"/>
    <w:rsid w:val="00807EBF"/>
    <w:rsid w:val="008126E8"/>
    <w:rsid w:val="00814986"/>
    <w:rsid w:val="008163FF"/>
    <w:rsid w:val="00824A61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6EA1"/>
    <w:rsid w:val="00865C47"/>
    <w:rsid w:val="00867C54"/>
    <w:rsid w:val="008862AD"/>
    <w:rsid w:val="0089434C"/>
    <w:rsid w:val="00896E27"/>
    <w:rsid w:val="008A07BF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8E7"/>
    <w:rsid w:val="008F57DA"/>
    <w:rsid w:val="008FD222"/>
    <w:rsid w:val="009005EB"/>
    <w:rsid w:val="00901C88"/>
    <w:rsid w:val="009048AD"/>
    <w:rsid w:val="00917F9D"/>
    <w:rsid w:val="00917FC7"/>
    <w:rsid w:val="00932810"/>
    <w:rsid w:val="00932C66"/>
    <w:rsid w:val="00936F13"/>
    <w:rsid w:val="00937BC3"/>
    <w:rsid w:val="00946156"/>
    <w:rsid w:val="009468E4"/>
    <w:rsid w:val="00947C0C"/>
    <w:rsid w:val="00955888"/>
    <w:rsid w:val="0096377A"/>
    <w:rsid w:val="0097067C"/>
    <w:rsid w:val="00972AD9"/>
    <w:rsid w:val="00976F4C"/>
    <w:rsid w:val="009778D0"/>
    <w:rsid w:val="00986649"/>
    <w:rsid w:val="009948D1"/>
    <w:rsid w:val="00996805"/>
    <w:rsid w:val="009A3F37"/>
    <w:rsid w:val="009A76CD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2608"/>
    <w:rsid w:val="00A20194"/>
    <w:rsid w:val="00A20E29"/>
    <w:rsid w:val="00A327E4"/>
    <w:rsid w:val="00A37BA6"/>
    <w:rsid w:val="00A37CC3"/>
    <w:rsid w:val="00A4251A"/>
    <w:rsid w:val="00A4297E"/>
    <w:rsid w:val="00A464FB"/>
    <w:rsid w:val="00A555FD"/>
    <w:rsid w:val="00A64182"/>
    <w:rsid w:val="00A669F1"/>
    <w:rsid w:val="00A70FE3"/>
    <w:rsid w:val="00A73C30"/>
    <w:rsid w:val="00A76105"/>
    <w:rsid w:val="00A7681B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E40B7"/>
    <w:rsid w:val="00AF0A91"/>
    <w:rsid w:val="00AF2E1F"/>
    <w:rsid w:val="00AF406C"/>
    <w:rsid w:val="00AF6352"/>
    <w:rsid w:val="00B0351F"/>
    <w:rsid w:val="00B10B56"/>
    <w:rsid w:val="00B13D27"/>
    <w:rsid w:val="00B15E7C"/>
    <w:rsid w:val="00B20D7F"/>
    <w:rsid w:val="00B23AD1"/>
    <w:rsid w:val="00B26E87"/>
    <w:rsid w:val="00B34968"/>
    <w:rsid w:val="00B3741A"/>
    <w:rsid w:val="00B37922"/>
    <w:rsid w:val="00B406F4"/>
    <w:rsid w:val="00B46222"/>
    <w:rsid w:val="00B6230A"/>
    <w:rsid w:val="00B775C4"/>
    <w:rsid w:val="00B81971"/>
    <w:rsid w:val="00B836AF"/>
    <w:rsid w:val="00B83F08"/>
    <w:rsid w:val="00B84176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F3178"/>
    <w:rsid w:val="00BF4ECA"/>
    <w:rsid w:val="00BF65B8"/>
    <w:rsid w:val="00C003E1"/>
    <w:rsid w:val="00C106F8"/>
    <w:rsid w:val="00C20A80"/>
    <w:rsid w:val="00C24857"/>
    <w:rsid w:val="00C34091"/>
    <w:rsid w:val="00C35831"/>
    <w:rsid w:val="00C37E40"/>
    <w:rsid w:val="00C41BE1"/>
    <w:rsid w:val="00C46D5F"/>
    <w:rsid w:val="00C57023"/>
    <w:rsid w:val="00C65880"/>
    <w:rsid w:val="00C67032"/>
    <w:rsid w:val="00C7397D"/>
    <w:rsid w:val="00C750B5"/>
    <w:rsid w:val="00C81340"/>
    <w:rsid w:val="00C87116"/>
    <w:rsid w:val="00C8776E"/>
    <w:rsid w:val="00C974A6"/>
    <w:rsid w:val="00CB0D38"/>
    <w:rsid w:val="00CB2A67"/>
    <w:rsid w:val="00CB3E17"/>
    <w:rsid w:val="00CB70FF"/>
    <w:rsid w:val="00CC0D5A"/>
    <w:rsid w:val="00CC62B2"/>
    <w:rsid w:val="00CC66FF"/>
    <w:rsid w:val="00CC6C12"/>
    <w:rsid w:val="00CC756F"/>
    <w:rsid w:val="00CD6BD9"/>
    <w:rsid w:val="00CE5315"/>
    <w:rsid w:val="00CF66F0"/>
    <w:rsid w:val="00D00F0A"/>
    <w:rsid w:val="00D0526F"/>
    <w:rsid w:val="00D135F0"/>
    <w:rsid w:val="00D1782C"/>
    <w:rsid w:val="00D21283"/>
    <w:rsid w:val="00D21D82"/>
    <w:rsid w:val="00D2509D"/>
    <w:rsid w:val="00D456B8"/>
    <w:rsid w:val="00D54AED"/>
    <w:rsid w:val="00D73B50"/>
    <w:rsid w:val="00D73C51"/>
    <w:rsid w:val="00D744BC"/>
    <w:rsid w:val="00D854CB"/>
    <w:rsid w:val="00D875E3"/>
    <w:rsid w:val="00D93DB6"/>
    <w:rsid w:val="00D9488D"/>
    <w:rsid w:val="00DA1886"/>
    <w:rsid w:val="00DA6385"/>
    <w:rsid w:val="00DB4613"/>
    <w:rsid w:val="00DB5DFB"/>
    <w:rsid w:val="00DC10F4"/>
    <w:rsid w:val="00DD1603"/>
    <w:rsid w:val="00DD1E7A"/>
    <w:rsid w:val="00DE73A8"/>
    <w:rsid w:val="00DF544F"/>
    <w:rsid w:val="00E00E93"/>
    <w:rsid w:val="00E01297"/>
    <w:rsid w:val="00E03D02"/>
    <w:rsid w:val="00E06DAC"/>
    <w:rsid w:val="00E11954"/>
    <w:rsid w:val="00E25398"/>
    <w:rsid w:val="00E3387C"/>
    <w:rsid w:val="00E429C8"/>
    <w:rsid w:val="00E43496"/>
    <w:rsid w:val="00E43720"/>
    <w:rsid w:val="00E466AE"/>
    <w:rsid w:val="00E46E18"/>
    <w:rsid w:val="00E47D6B"/>
    <w:rsid w:val="00E520CA"/>
    <w:rsid w:val="00E555C3"/>
    <w:rsid w:val="00E609E5"/>
    <w:rsid w:val="00E730C5"/>
    <w:rsid w:val="00E76581"/>
    <w:rsid w:val="00E77FAD"/>
    <w:rsid w:val="00E91B1E"/>
    <w:rsid w:val="00E93CFB"/>
    <w:rsid w:val="00E95F74"/>
    <w:rsid w:val="00E961C6"/>
    <w:rsid w:val="00EA1367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21E4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A186C"/>
    <w:rsid w:val="00FA4B46"/>
    <w:rsid w:val="00FB0D18"/>
    <w:rsid w:val="00FB1F4A"/>
    <w:rsid w:val="00FB46CC"/>
    <w:rsid w:val="00FB640A"/>
    <w:rsid w:val="00FB7A44"/>
    <w:rsid w:val="00FC4C0A"/>
    <w:rsid w:val="00FD5A0C"/>
    <w:rsid w:val="00FF111F"/>
    <w:rsid w:val="00FF543C"/>
    <w:rsid w:val="00FF6279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B76A14"/>
    <w:rsid w:val="2CE303D2"/>
    <w:rsid w:val="2E3D2DBC"/>
    <w:rsid w:val="2EBA04B8"/>
    <w:rsid w:val="328A067C"/>
    <w:rsid w:val="34161E5B"/>
    <w:rsid w:val="36EB56B1"/>
    <w:rsid w:val="3D5D537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covid19/on-desktop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DESE-231-65220</_dlc_DocId>
    <_dlc_DocIdUrl xmlns="733efe1c-5bbe-4968-87dc-d400e65c879f">
      <Url>https://sharepoint.doemass.org/ese/webteam/cps/_layouts/DocIdRedir.aspx?ID=DESE-231-65220</Url>
      <Description>DESE-231-65220</Description>
    </_dlc_DocIdUrl>
  </documentManagement>
</p:properties>
</file>

<file path=customXml/itemProps1.xml><?xml version="1.0" encoding="utf-8"?>
<ds:datastoreItem xmlns:ds="http://schemas.openxmlformats.org/officeDocument/2006/customXml" ds:itemID="{69286F04-5E3F-473F-AC90-13A5D2BF8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E382A-05D7-4D48-A3A1-86068C884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58987-85FB-41E1-B23D-C1476CAC15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2020 Item 2 memo interpretation services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2020 Item 2 memo: Interpretation Services</dc:title>
  <dc:subject/>
  <dc:creator>DESE</dc:creator>
  <cp:keywords/>
  <cp:lastModifiedBy>Zou, Dong (EOE)</cp:lastModifiedBy>
  <cp:revision>3</cp:revision>
  <cp:lastPrinted>2008-03-05T18:17:00Z</cp:lastPrinted>
  <dcterms:created xsi:type="dcterms:W3CDTF">2020-10-08T16:11:00Z</dcterms:created>
  <dcterms:modified xsi:type="dcterms:W3CDTF">2020-10-14T14:10:00Z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14 2020</vt:lpwstr>
  </property>
</Properties>
</file>