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6FB68" w14:textId="77777777" w:rsidR="00BB215F" w:rsidRDefault="00B66011" w:rsidP="00BB215F">
      <w:pPr>
        <w:spacing w:line="192" w:lineRule="auto"/>
        <w:ind w:left="720"/>
        <w:outlineLvl w:val="0"/>
        <w:rPr>
          <w:rFonts w:ascii="Arial" w:hAnsi="Arial"/>
          <w:b/>
          <w:bCs/>
          <w:i/>
          <w:iCs/>
          <w:sz w:val="40"/>
          <w:szCs w:val="40"/>
        </w:rPr>
      </w:pPr>
      <w:r>
        <w:rPr>
          <w:rFonts w:ascii="Arial" w:hAnsi="Arial"/>
          <w:i/>
          <w:noProof/>
          <w:sz w:val="40"/>
        </w:rPr>
        <w:drawing>
          <wp:anchor distT="0" distB="0" distL="114300" distR="114300" simplePos="0" relativeHeight="251658240" behindDoc="0" locked="0" layoutInCell="1" allowOverlap="1" wp14:anchorId="1789DCC7" wp14:editId="14930F7E">
            <wp:simplePos x="0" y="0"/>
            <wp:positionH relativeFrom="column">
              <wp:posOffset>-434340</wp:posOffset>
            </wp:positionH>
            <wp:positionV relativeFrom="page">
              <wp:posOffset>542925</wp:posOffset>
            </wp:positionV>
            <wp:extent cx="1090934" cy="1371600"/>
            <wp:effectExtent l="0" t="0" r="0" b="0"/>
            <wp:wrapThrough wrapText="right">
              <wp:wrapPolygon edited="0">
                <wp:start x="0" y="0"/>
                <wp:lineTo x="0" y="21300"/>
                <wp:lineTo x="21122" y="21300"/>
                <wp:lineTo x="21122" y="0"/>
                <wp:lineTo x="0" y="0"/>
              </wp:wrapPolygon>
            </wp:wrapThrough>
            <wp:docPr id="1"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18000"/>
                    </a:blip>
                    <a:srcRect/>
                    <a:stretch>
                      <a:fillRect/>
                    </a:stretch>
                  </pic:blipFill>
                  <pic:spPr>
                    <a:xfrm>
                      <a:off x="0" y="0"/>
                      <a:ext cx="1090934" cy="1371600"/>
                    </a:xfrm>
                    <a:prstGeom prst="rect">
                      <a:avLst/>
                    </a:prstGeom>
                    <a:noFill/>
                    <a:ln>
                      <a:noFill/>
                      <a:prstDash/>
                    </a:ln>
                  </pic:spPr>
                </pic:pic>
              </a:graphicData>
            </a:graphic>
          </wp:anchor>
        </w:drawing>
      </w:r>
      <w:r w:rsidR="00BB215F">
        <w:rPr>
          <w:rFonts w:ascii="Arial" w:hAnsi="Arial"/>
          <w:b/>
          <w:bCs/>
          <w:i/>
          <w:iCs/>
          <w:sz w:val="40"/>
          <w:szCs w:val="40"/>
        </w:rPr>
        <w:t xml:space="preserve">     </w:t>
      </w:r>
    </w:p>
    <w:p w14:paraId="51CB8D7C" w14:textId="620142C3" w:rsidR="00DA12E1" w:rsidRDefault="00BB215F" w:rsidP="00BB215F">
      <w:pPr>
        <w:spacing w:line="192" w:lineRule="auto"/>
        <w:ind w:left="720"/>
        <w:outlineLvl w:val="0"/>
      </w:pPr>
      <w:r>
        <w:rPr>
          <w:rFonts w:ascii="Arial" w:hAnsi="Arial"/>
          <w:b/>
          <w:bCs/>
          <w:i/>
          <w:iCs/>
          <w:sz w:val="40"/>
          <w:szCs w:val="40"/>
        </w:rPr>
        <w:t xml:space="preserve">  </w:t>
      </w:r>
      <w:r w:rsidR="00B66011" w:rsidRPr="6768AAAA">
        <w:rPr>
          <w:rFonts w:ascii="Arial" w:hAnsi="Arial"/>
          <w:b/>
          <w:bCs/>
          <w:i/>
          <w:iCs/>
          <w:sz w:val="40"/>
          <w:szCs w:val="40"/>
        </w:rPr>
        <w:t>Massachusetts Department of</w:t>
      </w:r>
    </w:p>
    <w:p w14:paraId="51CB8D7D" w14:textId="6C06F566" w:rsidR="00DA12E1" w:rsidRDefault="00BB215F">
      <w:pPr>
        <w:ind w:left="-180"/>
        <w:outlineLvl w:val="0"/>
      </w:pPr>
      <w:r>
        <w:rPr>
          <w:rFonts w:ascii="Arial" w:hAnsi="Arial"/>
          <w:b/>
          <w:i/>
          <w:sz w:val="40"/>
        </w:rPr>
        <w:t xml:space="preserve"> </w:t>
      </w:r>
      <w:r w:rsidR="00B66011">
        <w:rPr>
          <w:rFonts w:ascii="Arial" w:hAnsi="Arial"/>
          <w:b/>
          <w:i/>
          <w:sz w:val="40"/>
        </w:rPr>
        <w:t>Elementary and Secondary Education</w:t>
      </w:r>
    </w:p>
    <w:p w14:paraId="51CB8D7E" w14:textId="77777777" w:rsidR="00DA12E1" w:rsidRDefault="00B66011">
      <w:r>
        <w:rPr>
          <w:rFonts w:ascii="Arial" w:hAnsi="Arial"/>
          <w:i/>
          <w:noProof/>
        </w:rPr>
        <mc:AlternateContent>
          <mc:Choice Requires="wps">
            <w:drawing>
              <wp:anchor distT="0" distB="0" distL="114300" distR="114300" simplePos="0" relativeHeight="251658241" behindDoc="0" locked="0" layoutInCell="1" allowOverlap="1" wp14:anchorId="63F4A423" wp14:editId="68C60A1F">
                <wp:simplePos x="0" y="0"/>
                <wp:positionH relativeFrom="column">
                  <wp:posOffset>781050</wp:posOffset>
                </wp:positionH>
                <wp:positionV relativeFrom="paragraph">
                  <wp:posOffset>55880</wp:posOffset>
                </wp:positionV>
                <wp:extent cx="4800600" cy="0"/>
                <wp:effectExtent l="0" t="0" r="0" b="0"/>
                <wp:wrapNone/>
                <wp:docPr id="2" name="Lin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00600" cy="0"/>
                        </a:xfrm>
                        <a:prstGeom prst="straightConnector1">
                          <a:avLst/>
                        </a:prstGeom>
                        <a:noFill/>
                        <a:ln w="12701" cap="flat">
                          <a:solidFill>
                            <a:srgbClr val="000000"/>
                          </a:solidFill>
                          <a:prstDash val="solid"/>
                          <a:round/>
                        </a:ln>
                      </wps:spPr>
                      <wps:bodyPr/>
                    </wps:wsp>
                  </a:graphicData>
                </a:graphic>
              </wp:anchor>
            </w:drawing>
          </mc:Choice>
          <mc:Fallback>
            <w:pict>
              <v:shapetype w14:anchorId="09ACAA00" id="_x0000_t32" coordsize="21600,21600" o:spt="32" o:oned="t" path="m,l21600,21600e" filled="f">
                <v:path arrowok="t" fillok="f" o:connecttype="none"/>
                <o:lock v:ext="edit" shapetype="t"/>
              </v:shapetype>
              <v:shape id="Line 3" o:spid="_x0000_s1026" type="#_x0000_t32" style="position:absolute;margin-left:61.5pt;margin-top:4.4pt;width:378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" strokeweight=".35281mm"/>
            </w:pict>
          </mc:Fallback>
        </mc:AlternateContent>
      </w:r>
    </w:p>
    <w:p w14:paraId="51CB8D7F" w14:textId="57DFA997" w:rsidR="00DA12E1" w:rsidRDefault="00B66011" w:rsidP="00BB215F">
      <w:pPr>
        <w:pStyle w:val="Heading3"/>
        <w:tabs>
          <w:tab w:val="right" w:pos="9000"/>
        </w:tabs>
        <w:ind w:left="6480" w:right="360" w:hanging="6480"/>
        <w:rPr>
          <w:sz w:val="16"/>
          <w:szCs w:val="16"/>
        </w:rPr>
      </w:pPr>
      <w:r>
        <w:rPr>
          <w:sz w:val="16"/>
          <w:szCs w:val="16"/>
        </w:rPr>
        <w:t xml:space="preserve">75 Pleasant Street, Malden, Massachusetts 02148-4906 </w:t>
      </w:r>
      <w:r>
        <w:rPr>
          <w:sz w:val="16"/>
          <w:szCs w:val="16"/>
        </w:rPr>
        <w:tab/>
        <w:t xml:space="preserve">     </w:t>
      </w:r>
      <w:r w:rsidR="00BB215F">
        <w:rPr>
          <w:sz w:val="16"/>
          <w:szCs w:val="16"/>
        </w:rPr>
        <w:t xml:space="preserve">                        </w:t>
      </w:r>
      <w:r>
        <w:rPr>
          <w:sz w:val="16"/>
          <w:szCs w:val="16"/>
        </w:rPr>
        <w:t xml:space="preserve">  Telephone: (781) 338-3000                                                                                                                 </w:t>
      </w:r>
      <w:r w:rsidR="00BB215F">
        <w:rPr>
          <w:sz w:val="16"/>
          <w:szCs w:val="16"/>
        </w:rPr>
        <w:t xml:space="preserve">    </w:t>
      </w:r>
      <w:r>
        <w:rPr>
          <w:sz w:val="16"/>
          <w:szCs w:val="16"/>
        </w:rPr>
        <w:t>TTY: N.E.T. Relay 1-800-439-2370</w:t>
      </w:r>
    </w:p>
    <w:p w14:paraId="51CB8D80" w14:textId="77777777" w:rsidR="00DA12E1" w:rsidRDefault="00DA12E1">
      <w:pPr>
        <w:ind w:left="720"/>
        <w:rPr>
          <w:rFonts w:ascii="Arial" w:hAnsi="Arial"/>
          <w:i/>
          <w:sz w:val="16"/>
          <w:szCs w:val="16"/>
        </w:rPr>
      </w:pPr>
    </w:p>
    <w:p w14:paraId="51CB8D81" w14:textId="77777777" w:rsidR="00C23C71" w:rsidRDefault="00C23C71">
      <w:pPr>
        <w:sectPr w:rsidR="00C23C71" w:rsidSect="00BB215F">
          <w:footerReference w:type="default" r:id="rId12"/>
          <w:footerReference w:type="first" r:id="rId13"/>
          <w:endnotePr>
            <w:numFmt w:val="decimal"/>
          </w:endnotePr>
          <w:pgSz w:w="12240" w:h="15840"/>
          <w:pgMar w:top="864" w:right="1080" w:bottom="1440" w:left="1800" w:header="720" w:footer="720" w:gutter="0"/>
          <w:cols w:space="720"/>
          <w:titlePg/>
          <w:docGrid w:linePitch="326"/>
        </w:sectPr>
      </w:pPr>
    </w:p>
    <w:p w14:paraId="51CB8D82" w14:textId="77777777" w:rsidR="00DA12E1" w:rsidRDefault="00DA12E1">
      <w:pPr>
        <w:ind w:left="720"/>
        <w:jc w:val="center"/>
        <w:rPr>
          <w:rFonts w:ascii="Arial" w:hAnsi="Arial"/>
          <w:i/>
          <w:sz w:val="16"/>
          <w:szCs w:val="16"/>
        </w:rPr>
      </w:pPr>
    </w:p>
    <w:tbl>
      <w:tblPr>
        <w:tblW w:w="11376" w:type="dxa"/>
        <w:tblCellMar>
          <w:left w:w="10" w:type="dxa"/>
          <w:right w:w="10" w:type="dxa"/>
        </w:tblCellMar>
        <w:tblLook w:val="04A0" w:firstRow="1" w:lastRow="0" w:firstColumn="1" w:lastColumn="0" w:noHBand="0" w:noVBand="1"/>
      </w:tblPr>
      <w:tblGrid>
        <w:gridCol w:w="2951"/>
        <w:gridCol w:w="8425"/>
      </w:tblGrid>
      <w:tr w:rsidR="00DA12E1" w14:paraId="51CB8D86" w14:textId="77777777">
        <w:tc>
          <w:tcPr>
            <w:tcW w:w="2951" w:type="dxa"/>
            <w:shd w:val="clear" w:color="auto" w:fill="auto"/>
            <w:tcMar>
              <w:top w:w="0" w:type="dxa"/>
              <w:left w:w="108" w:type="dxa"/>
              <w:bottom w:w="0" w:type="dxa"/>
              <w:right w:w="108" w:type="dxa"/>
            </w:tcMar>
          </w:tcPr>
          <w:p w14:paraId="51CB8D83" w14:textId="77777777" w:rsidR="00DA12E1" w:rsidRDefault="00B66011">
            <w:pPr>
              <w:jc w:val="center"/>
              <w:rPr>
                <w:rFonts w:ascii="Arial" w:hAnsi="Arial" w:cs="Arial"/>
                <w:sz w:val="16"/>
                <w:szCs w:val="16"/>
              </w:rPr>
            </w:pPr>
            <w:r>
              <w:rPr>
                <w:rFonts w:ascii="Arial" w:hAnsi="Arial" w:cs="Arial"/>
                <w:sz w:val="16"/>
                <w:szCs w:val="16"/>
              </w:rPr>
              <w:t>Jeffrey C. Riley</w:t>
            </w:r>
          </w:p>
          <w:p w14:paraId="51CB8D84" w14:textId="77777777" w:rsidR="00DA12E1" w:rsidRDefault="00B66011">
            <w:pPr>
              <w:jc w:val="center"/>
              <w:rPr>
                <w:rFonts w:ascii="Arial" w:hAnsi="Arial"/>
                <w:i/>
                <w:sz w:val="16"/>
                <w:szCs w:val="16"/>
              </w:rPr>
            </w:pPr>
            <w:r>
              <w:rPr>
                <w:rFonts w:ascii="Arial" w:hAnsi="Arial"/>
                <w:i/>
                <w:sz w:val="16"/>
                <w:szCs w:val="16"/>
              </w:rPr>
              <w:t>Commissioner</w:t>
            </w:r>
          </w:p>
        </w:tc>
        <w:tc>
          <w:tcPr>
            <w:tcW w:w="8425" w:type="dxa"/>
            <w:shd w:val="clear" w:color="auto" w:fill="auto"/>
            <w:tcMar>
              <w:top w:w="0" w:type="dxa"/>
              <w:left w:w="108" w:type="dxa"/>
              <w:bottom w:w="0" w:type="dxa"/>
              <w:right w:w="108" w:type="dxa"/>
            </w:tcMar>
          </w:tcPr>
          <w:p w14:paraId="51CB8D85" w14:textId="77777777" w:rsidR="00DA12E1" w:rsidRDefault="00DA12E1">
            <w:pPr>
              <w:jc w:val="center"/>
              <w:rPr>
                <w:rFonts w:ascii="Arial" w:hAnsi="Arial"/>
                <w:i/>
                <w:sz w:val="16"/>
                <w:szCs w:val="16"/>
              </w:rPr>
            </w:pPr>
          </w:p>
        </w:tc>
      </w:tr>
    </w:tbl>
    <w:p w14:paraId="51CB8D87" w14:textId="77777777" w:rsidR="00DA12E1" w:rsidRDefault="00DA12E1">
      <w:pPr>
        <w:rPr>
          <w:rFonts w:ascii="Arial" w:hAnsi="Arial"/>
          <w:i/>
          <w:sz w:val="18"/>
        </w:rPr>
      </w:pPr>
    </w:p>
    <w:p w14:paraId="51CB8D88" w14:textId="77777777" w:rsidR="00C23C71" w:rsidRDefault="00C23C71">
      <w:pPr>
        <w:sectPr w:rsidR="00C23C71">
          <w:endnotePr>
            <w:numFmt w:val="decimal"/>
          </w:endnotePr>
          <w:type w:val="continuous"/>
          <w:pgSz w:w="12240" w:h="15840"/>
          <w:pgMar w:top="864" w:right="432" w:bottom="1440" w:left="432" w:header="1440" w:footer="720" w:gutter="0"/>
          <w:cols w:space="720"/>
          <w:titlePg/>
        </w:sectPr>
      </w:pPr>
    </w:p>
    <w:p w14:paraId="51CB8D8A" w14:textId="22932A8D" w:rsidR="00DA12E1" w:rsidRDefault="00B66011" w:rsidP="00BB215F">
      <w:pPr>
        <w:pStyle w:val="Heading1"/>
        <w:tabs>
          <w:tab w:val="clear" w:pos="4680"/>
        </w:tabs>
      </w:pPr>
      <w:r>
        <w:t>MEMORANDUM</w:t>
      </w:r>
    </w:p>
    <w:p w14:paraId="51CB8D8B" w14:textId="77777777" w:rsidR="00DA12E1" w:rsidRDefault="00DA12E1">
      <w:pPr>
        <w:pStyle w:val="Footer"/>
        <w:widowControl w:val="0"/>
        <w:tabs>
          <w:tab w:val="clear" w:pos="4320"/>
          <w:tab w:val="clear" w:pos="8640"/>
        </w:tabs>
        <w:rPr>
          <w:szCs w:val="20"/>
        </w:rPr>
      </w:pPr>
    </w:p>
    <w:tbl>
      <w:tblPr>
        <w:tblW w:w="9495" w:type="dxa"/>
        <w:jc w:val="center"/>
        <w:tblCellMar>
          <w:left w:w="10" w:type="dxa"/>
          <w:right w:w="10" w:type="dxa"/>
        </w:tblCellMar>
        <w:tblLook w:val="04A0" w:firstRow="1" w:lastRow="0" w:firstColumn="1" w:lastColumn="0" w:noHBand="0" w:noVBand="1"/>
      </w:tblPr>
      <w:tblGrid>
        <w:gridCol w:w="1201"/>
        <w:gridCol w:w="8294"/>
      </w:tblGrid>
      <w:tr w:rsidR="00DA12E1" w14:paraId="51CB8D8E" w14:textId="77777777" w:rsidTr="00BB215F">
        <w:trPr>
          <w:trHeight w:val="292"/>
          <w:jc w:val="center"/>
        </w:trPr>
        <w:tc>
          <w:tcPr>
            <w:tcW w:w="1201" w:type="dxa"/>
            <w:shd w:val="clear" w:color="auto" w:fill="auto"/>
            <w:tcMar>
              <w:top w:w="0" w:type="dxa"/>
              <w:left w:w="108" w:type="dxa"/>
              <w:bottom w:w="0" w:type="dxa"/>
              <w:right w:w="108" w:type="dxa"/>
            </w:tcMar>
          </w:tcPr>
          <w:p w14:paraId="51CB8D8C" w14:textId="77777777" w:rsidR="00DA12E1" w:rsidRDefault="00B66011">
            <w:pPr>
              <w:rPr>
                <w:b/>
              </w:rPr>
            </w:pPr>
            <w:r>
              <w:rPr>
                <w:b/>
              </w:rPr>
              <w:t>To:</w:t>
            </w:r>
          </w:p>
        </w:tc>
        <w:tc>
          <w:tcPr>
            <w:tcW w:w="8294" w:type="dxa"/>
            <w:shd w:val="clear" w:color="auto" w:fill="auto"/>
            <w:tcMar>
              <w:top w:w="0" w:type="dxa"/>
              <w:left w:w="108" w:type="dxa"/>
              <w:bottom w:w="0" w:type="dxa"/>
              <w:right w:w="108" w:type="dxa"/>
            </w:tcMar>
          </w:tcPr>
          <w:p w14:paraId="51CB8D8D" w14:textId="77777777" w:rsidR="00DA12E1" w:rsidRDefault="00B66011">
            <w:pPr>
              <w:pStyle w:val="Footer"/>
              <w:widowControl w:val="0"/>
              <w:tabs>
                <w:tab w:val="clear" w:pos="4320"/>
                <w:tab w:val="clear" w:pos="8640"/>
              </w:tabs>
              <w:rPr>
                <w:bCs/>
                <w:szCs w:val="20"/>
              </w:rPr>
            </w:pPr>
            <w:r>
              <w:rPr>
                <w:bCs/>
                <w:szCs w:val="20"/>
              </w:rPr>
              <w:t>Members of the Board of Elementary and Secondary Education</w:t>
            </w:r>
          </w:p>
        </w:tc>
      </w:tr>
      <w:tr w:rsidR="00DA12E1" w14:paraId="51CB8D91" w14:textId="77777777" w:rsidTr="00BB215F">
        <w:trPr>
          <w:trHeight w:val="308"/>
          <w:jc w:val="center"/>
        </w:trPr>
        <w:tc>
          <w:tcPr>
            <w:tcW w:w="1201" w:type="dxa"/>
            <w:shd w:val="clear" w:color="auto" w:fill="auto"/>
            <w:tcMar>
              <w:top w:w="0" w:type="dxa"/>
              <w:left w:w="108" w:type="dxa"/>
              <w:bottom w:w="0" w:type="dxa"/>
              <w:right w:w="108" w:type="dxa"/>
            </w:tcMar>
          </w:tcPr>
          <w:p w14:paraId="51CB8D8F" w14:textId="77777777" w:rsidR="00DA12E1" w:rsidRDefault="00B66011">
            <w:r>
              <w:rPr>
                <w:b/>
              </w:rPr>
              <w:t>From:</w:t>
            </w:r>
            <w:r>
              <w:tab/>
            </w:r>
          </w:p>
        </w:tc>
        <w:tc>
          <w:tcPr>
            <w:tcW w:w="8294" w:type="dxa"/>
            <w:shd w:val="clear" w:color="auto" w:fill="auto"/>
            <w:tcMar>
              <w:top w:w="0" w:type="dxa"/>
              <w:left w:w="108" w:type="dxa"/>
              <w:bottom w:w="0" w:type="dxa"/>
              <w:right w:w="108" w:type="dxa"/>
            </w:tcMar>
          </w:tcPr>
          <w:p w14:paraId="51CB8D90" w14:textId="77777777" w:rsidR="00DA12E1" w:rsidRDefault="00B66011">
            <w:pPr>
              <w:pStyle w:val="Footer"/>
              <w:widowControl w:val="0"/>
              <w:tabs>
                <w:tab w:val="clear" w:pos="4320"/>
                <w:tab w:val="clear" w:pos="8640"/>
              </w:tabs>
              <w:rPr>
                <w:bCs/>
                <w:szCs w:val="20"/>
              </w:rPr>
            </w:pPr>
            <w:r>
              <w:rPr>
                <w:bCs/>
                <w:szCs w:val="20"/>
              </w:rPr>
              <w:t>Jeffrey C. Riley, Commissioner</w:t>
            </w:r>
          </w:p>
        </w:tc>
      </w:tr>
      <w:tr w:rsidR="00DA12E1" w14:paraId="51CB8D94" w14:textId="77777777" w:rsidTr="00BB215F">
        <w:trPr>
          <w:trHeight w:val="292"/>
          <w:jc w:val="center"/>
        </w:trPr>
        <w:tc>
          <w:tcPr>
            <w:tcW w:w="1201" w:type="dxa"/>
            <w:shd w:val="clear" w:color="auto" w:fill="auto"/>
            <w:tcMar>
              <w:top w:w="0" w:type="dxa"/>
              <w:left w:w="108" w:type="dxa"/>
              <w:bottom w:w="0" w:type="dxa"/>
              <w:right w:w="108" w:type="dxa"/>
            </w:tcMar>
          </w:tcPr>
          <w:p w14:paraId="51CB8D92" w14:textId="77777777" w:rsidR="00DA12E1" w:rsidRDefault="00B66011">
            <w:r>
              <w:rPr>
                <w:b/>
              </w:rPr>
              <w:t>Date:</w:t>
            </w:r>
            <w:r>
              <w:tab/>
            </w:r>
          </w:p>
        </w:tc>
        <w:tc>
          <w:tcPr>
            <w:tcW w:w="8294" w:type="dxa"/>
            <w:shd w:val="clear" w:color="auto" w:fill="auto"/>
            <w:tcMar>
              <w:top w:w="0" w:type="dxa"/>
              <w:left w:w="108" w:type="dxa"/>
              <w:bottom w:w="0" w:type="dxa"/>
              <w:right w:w="108" w:type="dxa"/>
            </w:tcMar>
          </w:tcPr>
          <w:p w14:paraId="51CB8D93" w14:textId="2A795A83" w:rsidR="00DA12E1" w:rsidRDefault="00B66011">
            <w:pPr>
              <w:pStyle w:val="Footer"/>
              <w:widowControl w:val="0"/>
              <w:tabs>
                <w:tab w:val="clear" w:pos="4320"/>
                <w:tab w:val="clear" w:pos="8640"/>
              </w:tabs>
              <w:rPr>
                <w:bCs/>
                <w:szCs w:val="20"/>
              </w:rPr>
            </w:pPr>
            <w:r>
              <w:rPr>
                <w:bCs/>
                <w:szCs w:val="20"/>
              </w:rPr>
              <w:t xml:space="preserve">December </w:t>
            </w:r>
            <w:r w:rsidR="000C7C3C">
              <w:rPr>
                <w:bCs/>
                <w:szCs w:val="20"/>
              </w:rPr>
              <w:t>8</w:t>
            </w:r>
            <w:r>
              <w:rPr>
                <w:bCs/>
                <w:szCs w:val="20"/>
              </w:rPr>
              <w:t xml:space="preserve">, 2020 </w:t>
            </w:r>
          </w:p>
        </w:tc>
      </w:tr>
      <w:tr w:rsidR="00DA12E1" w14:paraId="51CB8D97" w14:textId="77777777" w:rsidTr="00BB215F">
        <w:trPr>
          <w:trHeight w:val="308"/>
          <w:jc w:val="center"/>
        </w:trPr>
        <w:tc>
          <w:tcPr>
            <w:tcW w:w="1201" w:type="dxa"/>
            <w:shd w:val="clear" w:color="auto" w:fill="auto"/>
            <w:tcMar>
              <w:top w:w="0" w:type="dxa"/>
              <w:left w:w="108" w:type="dxa"/>
              <w:bottom w:w="0" w:type="dxa"/>
              <w:right w:w="108" w:type="dxa"/>
            </w:tcMar>
          </w:tcPr>
          <w:p w14:paraId="51CB8D95" w14:textId="77777777" w:rsidR="00DA12E1" w:rsidRDefault="00B66011">
            <w:pPr>
              <w:rPr>
                <w:b/>
              </w:rPr>
            </w:pPr>
            <w:r>
              <w:rPr>
                <w:b/>
              </w:rPr>
              <w:t>Subject:</w:t>
            </w:r>
          </w:p>
        </w:tc>
        <w:tc>
          <w:tcPr>
            <w:tcW w:w="8294" w:type="dxa"/>
            <w:shd w:val="clear" w:color="auto" w:fill="auto"/>
            <w:tcMar>
              <w:top w:w="0" w:type="dxa"/>
              <w:left w:w="108" w:type="dxa"/>
              <w:bottom w:w="0" w:type="dxa"/>
              <w:right w:w="108" w:type="dxa"/>
            </w:tcMar>
          </w:tcPr>
          <w:p w14:paraId="51CB8D96" w14:textId="77777777" w:rsidR="00DA12E1" w:rsidRDefault="00B66011">
            <w:pPr>
              <w:pStyle w:val="Footer"/>
              <w:widowControl w:val="0"/>
              <w:tabs>
                <w:tab w:val="clear" w:pos="4320"/>
                <w:tab w:val="clear" w:pos="8640"/>
              </w:tabs>
            </w:pPr>
            <w:r>
              <w:rPr>
                <w:bCs/>
              </w:rPr>
              <w:t>Career/Vocational Technical Education (</w:t>
            </w:r>
            <w:bookmarkStart w:id="0" w:name="_GoBack"/>
            <w:r>
              <w:rPr>
                <w:bCs/>
              </w:rPr>
              <w:t>CVTE) Update</w:t>
            </w:r>
            <w:r>
              <w:rPr>
                <w:bCs/>
                <w:szCs w:val="20"/>
              </w:rPr>
              <w:t xml:space="preserve"> </w:t>
            </w:r>
            <w:bookmarkEnd w:id="0"/>
          </w:p>
        </w:tc>
      </w:tr>
    </w:tbl>
    <w:p w14:paraId="51CB8D98" w14:textId="77777777" w:rsidR="00DA12E1" w:rsidRDefault="00DA12E1">
      <w:pPr>
        <w:pBdr>
          <w:bottom w:val="single" w:sz="4" w:space="1" w:color="000000"/>
        </w:pBdr>
      </w:pPr>
      <w:bookmarkStart w:id="1" w:name="TO"/>
      <w:bookmarkStart w:id="2" w:name="FROM"/>
      <w:bookmarkStart w:id="3" w:name="DATE"/>
      <w:bookmarkStart w:id="4" w:name="RE"/>
      <w:bookmarkEnd w:id="1"/>
      <w:bookmarkEnd w:id="2"/>
      <w:bookmarkEnd w:id="3"/>
      <w:bookmarkEnd w:id="4"/>
    </w:p>
    <w:p w14:paraId="51CB8D99" w14:textId="77777777" w:rsidR="00C23C71" w:rsidRDefault="00C23C71">
      <w:pPr>
        <w:sectPr w:rsidR="00C23C71">
          <w:endnotePr>
            <w:numFmt w:val="decimal"/>
          </w:endnotePr>
          <w:type w:val="continuous"/>
          <w:pgSz w:w="12240" w:h="15840"/>
          <w:pgMar w:top="864" w:right="1440" w:bottom="1440" w:left="1440" w:header="1440" w:footer="720" w:gutter="0"/>
          <w:cols w:space="720"/>
          <w:titlePg/>
        </w:sectPr>
      </w:pPr>
    </w:p>
    <w:p w14:paraId="51CB8D9A" w14:textId="77777777" w:rsidR="00DA12E1" w:rsidRDefault="00DA12E1">
      <w:pPr>
        <w:widowControl/>
        <w:autoSpaceDE w:val="0"/>
      </w:pPr>
    </w:p>
    <w:p w14:paraId="51CB8D9C" w14:textId="41EDAF59" w:rsidR="00DA12E1" w:rsidRDefault="00B66011">
      <w:pPr>
        <w:widowControl/>
      </w:pPr>
      <w:r w:rsidRPr="6768AAAA">
        <w:rPr>
          <w:color w:val="1D2228"/>
        </w:rPr>
        <w:t xml:space="preserve">As part of the continued work regarding Career/Vocational Technical Education (CVTE) regulatory changes, the Department </w:t>
      </w:r>
      <w:r w:rsidR="007D4B50">
        <w:rPr>
          <w:bCs/>
        </w:rPr>
        <w:t>of Elementary and Secondary Education</w:t>
      </w:r>
      <w:r w:rsidR="007D4B50" w:rsidRPr="6768AAAA">
        <w:rPr>
          <w:color w:val="1D2228"/>
        </w:rPr>
        <w:t xml:space="preserve"> </w:t>
      </w:r>
      <w:r w:rsidRPr="6768AAAA">
        <w:rPr>
          <w:color w:val="1D2228"/>
        </w:rPr>
        <w:t xml:space="preserve">has analyzed data, partnered with a research team, and convened stakeholder groups to investigate approaches to increasing equitable access to high-quality vocational technical education in Massachusetts. This memorandum: (1) provides </w:t>
      </w:r>
      <w:r w:rsidR="36285181" w:rsidRPr="6768AAAA">
        <w:rPr>
          <w:color w:val="1D2228"/>
        </w:rPr>
        <w:t xml:space="preserve">background and </w:t>
      </w:r>
      <w:r w:rsidRPr="6768AAAA">
        <w:rPr>
          <w:color w:val="1D2228"/>
        </w:rPr>
        <w:t xml:space="preserve">a proposed timeline for </w:t>
      </w:r>
      <w:r w:rsidR="5D57877C" w:rsidRPr="6768AAAA">
        <w:rPr>
          <w:color w:val="1D2228"/>
        </w:rPr>
        <w:t>amending the vocational</w:t>
      </w:r>
      <w:r w:rsidRPr="6768AAAA">
        <w:rPr>
          <w:color w:val="1D2228"/>
        </w:rPr>
        <w:t xml:space="preserve"> admissions </w:t>
      </w:r>
      <w:r w:rsidR="621DA5A8" w:rsidRPr="6768AAAA">
        <w:rPr>
          <w:color w:val="1D2228"/>
        </w:rPr>
        <w:t>regulations</w:t>
      </w:r>
      <w:r w:rsidRPr="6768AAAA">
        <w:rPr>
          <w:color w:val="1D2228"/>
        </w:rPr>
        <w:t xml:space="preserve">; (2) provides information about available CVTE data and research; and (3) describes additional equity-focused initiatives led by the </w:t>
      </w:r>
      <w:r w:rsidR="76710877" w:rsidRPr="6768AAAA">
        <w:rPr>
          <w:color w:val="1D2228"/>
        </w:rPr>
        <w:t xml:space="preserve">Department’s </w:t>
      </w:r>
      <w:r w:rsidRPr="6768AAAA">
        <w:rPr>
          <w:color w:val="1D2228"/>
        </w:rPr>
        <w:t>Office of College, Career and Technical Education.</w:t>
      </w:r>
    </w:p>
    <w:p w14:paraId="51CB8D9D" w14:textId="77777777" w:rsidR="00DA12E1" w:rsidRDefault="00DA12E1">
      <w:pPr>
        <w:widowControl/>
        <w:rPr>
          <w:b/>
          <w:bCs/>
          <w:color w:val="1D2228"/>
          <w:szCs w:val="24"/>
          <w:u w:val="single"/>
        </w:rPr>
      </w:pPr>
    </w:p>
    <w:p w14:paraId="51CB8D9E" w14:textId="77777777" w:rsidR="00DA12E1" w:rsidRDefault="00B66011">
      <w:pPr>
        <w:widowControl/>
        <w:rPr>
          <w:b/>
          <w:bCs/>
          <w:color w:val="1D2228"/>
          <w:szCs w:val="24"/>
          <w:u w:val="single"/>
        </w:rPr>
      </w:pPr>
      <w:r>
        <w:rPr>
          <w:b/>
          <w:bCs/>
          <w:color w:val="1D2228"/>
          <w:szCs w:val="24"/>
          <w:u w:val="single"/>
        </w:rPr>
        <w:t>1.  CVTE Admissions Regulations – Background, Timeline, and Stakeholder Engagement</w:t>
      </w:r>
    </w:p>
    <w:p w14:paraId="51CB8D9F" w14:textId="77777777" w:rsidR="00DA12E1" w:rsidRDefault="00DA12E1">
      <w:pPr>
        <w:widowControl/>
        <w:rPr>
          <w:color w:val="1D2228"/>
          <w:szCs w:val="24"/>
          <w:u w:val="single"/>
        </w:rPr>
      </w:pPr>
    </w:p>
    <w:p w14:paraId="51CB8DA0" w14:textId="77777777" w:rsidR="00DA12E1" w:rsidRDefault="00B66011">
      <w:pPr>
        <w:widowControl/>
        <w:rPr>
          <w:color w:val="1D2228"/>
          <w:szCs w:val="24"/>
          <w:u w:val="single"/>
        </w:rPr>
      </w:pPr>
      <w:r>
        <w:rPr>
          <w:color w:val="1D2228"/>
          <w:szCs w:val="24"/>
          <w:u w:val="single"/>
        </w:rPr>
        <w:t>Background</w:t>
      </w:r>
    </w:p>
    <w:p w14:paraId="51CB8DA1" w14:textId="77777777" w:rsidR="00DA12E1" w:rsidRDefault="00DA12E1">
      <w:pPr>
        <w:widowControl/>
        <w:rPr>
          <w:color w:val="1D2228"/>
          <w:szCs w:val="24"/>
        </w:rPr>
      </w:pPr>
    </w:p>
    <w:p w14:paraId="0A59DA5E" w14:textId="77777777" w:rsidR="007D4B50" w:rsidRDefault="00B66011" w:rsidP="6768AAAA">
      <w:pPr>
        <w:widowControl/>
        <w:rPr>
          <w:color w:val="1D2228"/>
        </w:rPr>
      </w:pPr>
      <w:r w:rsidRPr="6768AAAA">
        <w:rPr>
          <w:color w:val="1D2228"/>
        </w:rPr>
        <w:t xml:space="preserve">In </w:t>
      </w:r>
      <w:hyperlink r:id="rId14">
        <w:r w:rsidRPr="6768AAAA">
          <w:rPr>
            <w:rStyle w:val="Hyperlink"/>
          </w:rPr>
          <w:t>February 2020</w:t>
        </w:r>
      </w:hyperlink>
      <w:r w:rsidRPr="6768AAAA">
        <w:rPr>
          <w:color w:val="1D2228"/>
        </w:rPr>
        <w:t xml:space="preserve">, the Board of Elementary and Secondary Education approved Phase I of changes to </w:t>
      </w:r>
      <w:r w:rsidR="32EDE9C2" w:rsidRPr="6768AAAA">
        <w:rPr>
          <w:color w:val="1D2228"/>
        </w:rPr>
        <w:t xml:space="preserve">the </w:t>
      </w:r>
      <w:r w:rsidRPr="6768AAAA">
        <w:rPr>
          <w:color w:val="1D2228"/>
        </w:rPr>
        <w:t xml:space="preserve">Vocational Technical Education regulations </w:t>
      </w:r>
      <w:r w:rsidR="6700E918" w:rsidRPr="6768AAAA">
        <w:rPr>
          <w:color w:val="1D2228"/>
        </w:rPr>
        <w:t xml:space="preserve">at </w:t>
      </w:r>
      <w:r w:rsidRPr="6768AAAA">
        <w:rPr>
          <w:color w:val="1D2228"/>
        </w:rPr>
        <w:t>603 CMR 4.00. This comprehensive set of regulatory amendments support</w:t>
      </w:r>
      <w:r w:rsidR="65785F89" w:rsidRPr="6768AAAA">
        <w:rPr>
          <w:color w:val="1D2228"/>
        </w:rPr>
        <w:t>s</w:t>
      </w:r>
      <w:r w:rsidRPr="6768AAAA">
        <w:rPr>
          <w:color w:val="1D2228"/>
        </w:rPr>
        <w:t xml:space="preserve"> the creation of new vocational programs, strengthen</w:t>
      </w:r>
      <w:r w:rsidR="05F761B5" w:rsidRPr="6768AAAA">
        <w:rPr>
          <w:color w:val="1D2228"/>
        </w:rPr>
        <w:t>s</w:t>
      </w:r>
      <w:r w:rsidRPr="6768AAAA">
        <w:rPr>
          <w:color w:val="1D2228"/>
        </w:rPr>
        <w:t xml:space="preserve"> program quality, and streamline</w:t>
      </w:r>
      <w:r w:rsidR="53EE3259" w:rsidRPr="6768AAAA">
        <w:rPr>
          <w:color w:val="1D2228"/>
        </w:rPr>
        <w:t>s</w:t>
      </w:r>
      <w:r w:rsidRPr="6768AAAA">
        <w:rPr>
          <w:color w:val="1D2228"/>
        </w:rPr>
        <w:t xml:space="preserve"> vocational educator licensure. The changes did not address vocational </w:t>
      </w:r>
      <w:hyperlink r:id="rId15">
        <w:r w:rsidRPr="6768AAAA">
          <w:rPr>
            <w:rStyle w:val="Hyperlink"/>
          </w:rPr>
          <w:t>admissions criteria and procedures</w:t>
        </w:r>
      </w:hyperlink>
      <w:r w:rsidRPr="6768AAAA">
        <w:rPr>
          <w:color w:val="000000" w:themeColor="text1"/>
        </w:rPr>
        <w:t xml:space="preserve">, </w:t>
      </w:r>
      <w:r w:rsidRPr="6768AAAA">
        <w:rPr>
          <w:color w:val="1D2228"/>
        </w:rPr>
        <w:t>which the Department determined required further study</w:t>
      </w:r>
      <w:r w:rsidR="7255504F" w:rsidRPr="6768AAAA">
        <w:rPr>
          <w:color w:val="1D2228"/>
        </w:rPr>
        <w:t xml:space="preserve">. </w:t>
      </w:r>
    </w:p>
    <w:p w14:paraId="0A84772E" w14:textId="77777777" w:rsidR="007D4B50" w:rsidRDefault="007D4B50" w:rsidP="6768AAAA">
      <w:pPr>
        <w:widowControl/>
        <w:rPr>
          <w:color w:val="1D2228"/>
        </w:rPr>
      </w:pPr>
    </w:p>
    <w:p w14:paraId="51CB8DA4" w14:textId="6F63DFFE" w:rsidR="00DA12E1" w:rsidRDefault="007D4B50">
      <w:pPr>
        <w:widowControl/>
      </w:pPr>
      <w:r>
        <w:rPr>
          <w:color w:val="1D2228"/>
        </w:rPr>
        <w:t>In our Phase II process since February, the Department has been collecting and analyzing admissions and enrollment data, working with researchers, and engaging with</w:t>
      </w:r>
      <w:r w:rsidR="00B66011" w:rsidRPr="6768AAAA">
        <w:rPr>
          <w:color w:val="1D2228"/>
        </w:rPr>
        <w:t xml:space="preserve"> stakeholder</w:t>
      </w:r>
      <w:r>
        <w:rPr>
          <w:color w:val="1D2228"/>
        </w:rPr>
        <w:t>s.</w:t>
      </w:r>
      <w:r w:rsidR="003E6855" w:rsidDel="003E6855">
        <w:rPr>
          <w:color w:val="1D2228"/>
        </w:rPr>
        <w:t xml:space="preserve"> </w:t>
      </w:r>
      <w:r w:rsidR="008E431B">
        <w:rPr>
          <w:color w:val="1D2228"/>
        </w:rPr>
        <w:t xml:space="preserve">Over the past two months, the Board has heard from various organizations and individuals on this issue. </w:t>
      </w:r>
      <w:r w:rsidR="00B66011" w:rsidRPr="6768AAAA">
        <w:rPr>
          <w:color w:val="000000" w:themeColor="text1"/>
        </w:rPr>
        <w:t>The current vocational regulations permit programs to choose from among three options for admissions: (1) first-come first-served; (2) lottery; (3) selective criteria.  If a program uses selective criteria, th</w:t>
      </w:r>
      <w:r>
        <w:rPr>
          <w:color w:val="000000" w:themeColor="text1"/>
        </w:rPr>
        <w:t>e</w:t>
      </w:r>
      <w:r w:rsidR="00B66011" w:rsidRPr="6768AAAA">
        <w:rPr>
          <w:color w:val="000000" w:themeColor="text1"/>
        </w:rPr>
        <w:t xml:space="preserve"> criteria must “include academic grades, attendance record, discipline/conduct record, recommendations from the sending-school school counselor, and may include a student interview, provided however, that no one criterion exceeds 50% of the total.”  603 CMR 4.03(6)(a)(1).</w:t>
      </w:r>
      <w:r w:rsidR="008E431B">
        <w:rPr>
          <w:color w:val="000000" w:themeColor="text1"/>
        </w:rPr>
        <w:t xml:space="preserve"> (For easy reference, the text of 603 CMR 4.03(6)(a) is attached.)</w:t>
      </w:r>
    </w:p>
    <w:p w14:paraId="51CB8DA5" w14:textId="77777777" w:rsidR="00DA12E1" w:rsidRDefault="00DA12E1">
      <w:pPr>
        <w:widowControl/>
        <w:rPr>
          <w:color w:val="000000"/>
        </w:rPr>
      </w:pPr>
    </w:p>
    <w:p w14:paraId="51CB8DA6" w14:textId="2B3FEDCA" w:rsidR="00DA12E1" w:rsidRDefault="007D4B50" w:rsidP="6768AAAA">
      <w:pPr>
        <w:widowControl/>
        <w:rPr>
          <w:color w:val="1D2228"/>
          <w:u w:val="single"/>
        </w:rPr>
      </w:pPr>
      <w:r>
        <w:rPr>
          <w:color w:val="1D2228"/>
          <w:u w:val="single"/>
        </w:rPr>
        <w:lastRenderedPageBreak/>
        <w:t xml:space="preserve">Timeline for Amending the </w:t>
      </w:r>
      <w:r w:rsidR="45FE0A5C" w:rsidRPr="6768AAAA">
        <w:rPr>
          <w:color w:val="1D2228"/>
          <w:u w:val="single"/>
        </w:rPr>
        <w:t>Vocational Admissions Regulations (603 CMR 4.03(6))</w:t>
      </w:r>
    </w:p>
    <w:p w14:paraId="51CB8DA7" w14:textId="77777777" w:rsidR="00DA12E1" w:rsidRDefault="00DA12E1">
      <w:pPr>
        <w:widowControl/>
        <w:rPr>
          <w:color w:val="1D2228"/>
        </w:rPr>
      </w:pPr>
    </w:p>
    <w:p w14:paraId="51CB8DA8" w14:textId="102BEBD4" w:rsidR="00DA12E1" w:rsidRPr="00352DC2" w:rsidRDefault="00B66011">
      <w:pPr>
        <w:widowControl/>
      </w:pPr>
      <w:r w:rsidRPr="6768AAAA">
        <w:rPr>
          <w:color w:val="1D2228"/>
        </w:rPr>
        <w:t>The Department is exploring several options</w:t>
      </w:r>
      <w:r w:rsidR="008E431B">
        <w:rPr>
          <w:color w:val="1D2228"/>
        </w:rPr>
        <w:t xml:space="preserve"> </w:t>
      </w:r>
      <w:r w:rsidRPr="6768AAAA">
        <w:rPr>
          <w:color w:val="1D2228"/>
        </w:rPr>
        <w:t xml:space="preserve">to determine </w:t>
      </w:r>
      <w:r w:rsidR="008E431B">
        <w:rPr>
          <w:color w:val="1D2228"/>
        </w:rPr>
        <w:t xml:space="preserve">how </w:t>
      </w:r>
      <w:r w:rsidRPr="6768AAAA">
        <w:rPr>
          <w:color w:val="1D2228"/>
        </w:rPr>
        <w:t xml:space="preserve">best </w:t>
      </w:r>
      <w:r w:rsidR="008E431B">
        <w:rPr>
          <w:color w:val="1D2228"/>
        </w:rPr>
        <w:t xml:space="preserve">to </w:t>
      </w:r>
      <w:r w:rsidRPr="6768AAAA">
        <w:rPr>
          <w:color w:val="1D2228"/>
        </w:rPr>
        <w:t>promote equit</w:t>
      </w:r>
      <w:r w:rsidR="002774CC">
        <w:rPr>
          <w:color w:val="1D2228"/>
        </w:rPr>
        <w:t xml:space="preserve">able </w:t>
      </w:r>
      <w:r w:rsidRPr="6768AAAA">
        <w:rPr>
          <w:color w:val="1D2228"/>
        </w:rPr>
        <w:t xml:space="preserve">access to vocational education. </w:t>
      </w:r>
      <w:r w:rsidR="008E431B">
        <w:rPr>
          <w:color w:val="1D2228"/>
        </w:rPr>
        <w:t xml:space="preserve">Barring unforeseen circumstances, </w:t>
      </w:r>
      <w:r w:rsidRPr="6768AAAA">
        <w:rPr>
          <w:color w:val="1D2228"/>
        </w:rPr>
        <w:t xml:space="preserve">I plan to </w:t>
      </w:r>
      <w:r w:rsidR="008E431B">
        <w:rPr>
          <w:color w:val="1D2228"/>
        </w:rPr>
        <w:t xml:space="preserve">present </w:t>
      </w:r>
      <w:r w:rsidRPr="6768AAAA">
        <w:rPr>
          <w:color w:val="1D2228"/>
        </w:rPr>
        <w:t>propose</w:t>
      </w:r>
      <w:r w:rsidR="008E431B">
        <w:rPr>
          <w:color w:val="1D2228"/>
        </w:rPr>
        <w:t>d</w:t>
      </w:r>
      <w:r w:rsidRPr="6768AAAA">
        <w:rPr>
          <w:color w:val="1D2228"/>
        </w:rPr>
        <w:t xml:space="preserve"> </w:t>
      </w:r>
      <w:r w:rsidR="008E431B">
        <w:rPr>
          <w:color w:val="1D2228"/>
        </w:rPr>
        <w:t xml:space="preserve">regulatory amendments </w:t>
      </w:r>
      <w:r w:rsidR="008E431B" w:rsidRPr="00352DC2">
        <w:rPr>
          <w:color w:val="1D2228"/>
        </w:rPr>
        <w:t xml:space="preserve">to the Board in </w:t>
      </w:r>
      <w:r w:rsidR="007F2984">
        <w:rPr>
          <w:color w:val="1D2228"/>
        </w:rPr>
        <w:t>S</w:t>
      </w:r>
      <w:r w:rsidR="008E431B" w:rsidRPr="00352DC2">
        <w:rPr>
          <w:color w:val="1D2228"/>
        </w:rPr>
        <w:t xml:space="preserve">pring 2021, </w:t>
      </w:r>
      <w:r w:rsidR="007F2984">
        <w:rPr>
          <w:color w:val="1D2228"/>
        </w:rPr>
        <w:t>following</w:t>
      </w:r>
      <w:r w:rsidR="008E431B" w:rsidRPr="00352DC2">
        <w:rPr>
          <w:color w:val="1D2228"/>
        </w:rPr>
        <w:t xml:space="preserve"> </w:t>
      </w:r>
      <w:r w:rsidR="003E6855">
        <w:rPr>
          <w:color w:val="1D2228"/>
        </w:rPr>
        <w:t xml:space="preserve">the </w:t>
      </w:r>
      <w:r w:rsidRPr="00352DC2">
        <w:rPr>
          <w:color w:val="1D2228"/>
        </w:rPr>
        <w:t>projected timeline of activities:</w:t>
      </w:r>
    </w:p>
    <w:p w14:paraId="51CB8DA9" w14:textId="77777777" w:rsidR="00DA12E1" w:rsidRPr="00352DC2" w:rsidRDefault="00DA12E1">
      <w:pPr>
        <w:widowControl/>
        <w:rPr>
          <w:color w:val="1D2228"/>
        </w:rPr>
      </w:pPr>
    </w:p>
    <w:p w14:paraId="51CB8DAA" w14:textId="61D147CA" w:rsidR="00DA12E1" w:rsidRPr="00352DC2" w:rsidRDefault="00B66011">
      <w:pPr>
        <w:pStyle w:val="ListParagraph"/>
        <w:numPr>
          <w:ilvl w:val="0"/>
          <w:numId w:val="1"/>
        </w:numPr>
        <w:rPr>
          <w:color w:val="1D2228"/>
        </w:rPr>
      </w:pPr>
      <w:r w:rsidRPr="00352DC2">
        <w:rPr>
          <w:color w:val="1D2228"/>
        </w:rPr>
        <w:t xml:space="preserve">Ongoing: Collect waitlist data from vocational technical education programs </w:t>
      </w:r>
      <w:r w:rsidR="7A8A3CC7" w:rsidRPr="00352DC2">
        <w:rPr>
          <w:color w:val="1D2228"/>
        </w:rPr>
        <w:t>(see below).</w:t>
      </w:r>
    </w:p>
    <w:p w14:paraId="51CB8DAB" w14:textId="0AEFD9E5" w:rsidR="00DA12E1" w:rsidRPr="00352DC2" w:rsidRDefault="00B66011">
      <w:pPr>
        <w:pStyle w:val="ListParagraph"/>
        <w:numPr>
          <w:ilvl w:val="0"/>
          <w:numId w:val="1"/>
        </w:numPr>
      </w:pPr>
      <w:r w:rsidRPr="00352DC2">
        <w:rPr>
          <w:color w:val="1D2228"/>
        </w:rPr>
        <w:t>Ongoing: Conduct stakeholder engagement with student, parent, community, and advocacy groups; educators; statewide associations; the Vocational Technical Education Advisory Council; and other interested parties to inform the proposed regulatory changes.</w:t>
      </w:r>
    </w:p>
    <w:p w14:paraId="51CB8DAC" w14:textId="2C9362A2" w:rsidR="00DA12E1" w:rsidRPr="00352DC2" w:rsidRDefault="4E94E8A0">
      <w:pPr>
        <w:pStyle w:val="ListParagraph"/>
        <w:numPr>
          <w:ilvl w:val="0"/>
          <w:numId w:val="1"/>
        </w:numPr>
      </w:pPr>
      <w:r w:rsidRPr="00352DC2">
        <w:rPr>
          <w:color w:val="1D2228"/>
        </w:rPr>
        <w:t xml:space="preserve">Winter </w:t>
      </w:r>
      <w:r w:rsidR="00B66011" w:rsidRPr="00352DC2">
        <w:rPr>
          <w:color w:val="1D2228"/>
        </w:rPr>
        <w:t>202</w:t>
      </w:r>
      <w:r w:rsidR="08002676" w:rsidRPr="00352DC2">
        <w:rPr>
          <w:color w:val="1D2228"/>
        </w:rPr>
        <w:t>1</w:t>
      </w:r>
      <w:r w:rsidR="00B66011" w:rsidRPr="00352DC2">
        <w:rPr>
          <w:color w:val="1D2228"/>
        </w:rPr>
        <w:t>: Update the Board on waitlist data collection and analysis.</w:t>
      </w:r>
    </w:p>
    <w:p w14:paraId="51CB8DAD" w14:textId="76B4307B" w:rsidR="00DA12E1" w:rsidRPr="00352DC2" w:rsidRDefault="002774CC">
      <w:pPr>
        <w:pStyle w:val="ListParagraph"/>
        <w:numPr>
          <w:ilvl w:val="0"/>
          <w:numId w:val="1"/>
        </w:numPr>
      </w:pPr>
      <w:r w:rsidRPr="00352DC2">
        <w:rPr>
          <w:color w:val="1D2228"/>
        </w:rPr>
        <w:t>Winter/</w:t>
      </w:r>
      <w:r w:rsidR="673C83FF" w:rsidRPr="00352DC2">
        <w:rPr>
          <w:color w:val="1D2228"/>
        </w:rPr>
        <w:t>Spring</w:t>
      </w:r>
      <w:r w:rsidR="00B66011" w:rsidRPr="00352DC2">
        <w:rPr>
          <w:color w:val="1D2228"/>
        </w:rPr>
        <w:t xml:space="preserve"> 202</w:t>
      </w:r>
      <w:r w:rsidR="6FA24C3B" w:rsidRPr="00352DC2">
        <w:rPr>
          <w:color w:val="1D2228"/>
        </w:rPr>
        <w:t>1</w:t>
      </w:r>
      <w:r w:rsidR="00B66011" w:rsidRPr="00352DC2">
        <w:rPr>
          <w:color w:val="1D2228"/>
        </w:rPr>
        <w:t>: Bring propos</w:t>
      </w:r>
      <w:r w:rsidR="008E431B" w:rsidRPr="00352DC2">
        <w:rPr>
          <w:color w:val="1D2228"/>
        </w:rPr>
        <w:t>ed</w:t>
      </w:r>
      <w:r w:rsidR="00B66011" w:rsidRPr="00352DC2">
        <w:rPr>
          <w:color w:val="1D2228"/>
        </w:rPr>
        <w:t xml:space="preserve"> regulatory amendments to the Board for </w:t>
      </w:r>
      <w:r w:rsidR="008E431B" w:rsidRPr="00352DC2">
        <w:rPr>
          <w:color w:val="1D2228"/>
        </w:rPr>
        <w:t xml:space="preserve">initial discussion and </w:t>
      </w:r>
      <w:r w:rsidR="00B66011" w:rsidRPr="00352DC2">
        <w:rPr>
          <w:color w:val="1D2228"/>
        </w:rPr>
        <w:t>a vote to solicit public comment.</w:t>
      </w:r>
    </w:p>
    <w:p w14:paraId="51CB8DAE" w14:textId="0800C797" w:rsidR="00DA12E1" w:rsidRDefault="00B66011">
      <w:pPr>
        <w:pStyle w:val="ListParagraph"/>
        <w:numPr>
          <w:ilvl w:val="0"/>
          <w:numId w:val="1"/>
        </w:numPr>
        <w:spacing w:line="251" w:lineRule="auto"/>
      </w:pPr>
      <w:r w:rsidRPr="6768AAAA">
        <w:rPr>
          <w:color w:val="1D2228"/>
        </w:rPr>
        <w:t>Spring 202</w:t>
      </w:r>
      <w:r w:rsidR="0C7473B2" w:rsidRPr="6768AAAA">
        <w:rPr>
          <w:color w:val="1D2228"/>
        </w:rPr>
        <w:t>1</w:t>
      </w:r>
      <w:r w:rsidRPr="6768AAAA">
        <w:rPr>
          <w:color w:val="1D2228"/>
        </w:rPr>
        <w:t xml:space="preserve">: </w:t>
      </w:r>
      <w:r w:rsidR="008E431B">
        <w:rPr>
          <w:color w:val="1D2228"/>
        </w:rPr>
        <w:t xml:space="preserve">Review </w:t>
      </w:r>
      <w:r w:rsidRPr="6768AAAA">
        <w:rPr>
          <w:color w:val="1D2228"/>
        </w:rPr>
        <w:t>public comments</w:t>
      </w:r>
      <w:r w:rsidR="008E431B">
        <w:rPr>
          <w:color w:val="1D2228"/>
        </w:rPr>
        <w:t xml:space="preserve"> and revise proposed amendments as needed</w:t>
      </w:r>
      <w:r w:rsidRPr="6768AAAA">
        <w:rPr>
          <w:color w:val="1D2228"/>
        </w:rPr>
        <w:t>.</w:t>
      </w:r>
    </w:p>
    <w:p w14:paraId="51CB8DB0" w14:textId="3A6CCE0C" w:rsidR="00DA12E1" w:rsidRDefault="008E431B" w:rsidP="6768AAAA">
      <w:pPr>
        <w:pStyle w:val="ListParagraph"/>
        <w:numPr>
          <w:ilvl w:val="0"/>
          <w:numId w:val="1"/>
        </w:numPr>
      </w:pPr>
      <w:r>
        <w:rPr>
          <w:color w:val="1D2228"/>
        </w:rPr>
        <w:t xml:space="preserve">June or Summer </w:t>
      </w:r>
      <w:r w:rsidR="00B66011" w:rsidRPr="6768AAAA">
        <w:rPr>
          <w:color w:val="1D2228"/>
        </w:rPr>
        <w:t>202</w:t>
      </w:r>
      <w:r w:rsidR="43C4DA33" w:rsidRPr="6768AAAA">
        <w:rPr>
          <w:color w:val="1D2228"/>
        </w:rPr>
        <w:t>1</w:t>
      </w:r>
      <w:r w:rsidR="00B66011" w:rsidRPr="6768AAAA">
        <w:rPr>
          <w:color w:val="1D2228"/>
        </w:rPr>
        <w:t>: Bring final propos</w:t>
      </w:r>
      <w:r>
        <w:rPr>
          <w:color w:val="1D2228"/>
        </w:rPr>
        <w:t>ed</w:t>
      </w:r>
      <w:r w:rsidR="00B66011" w:rsidRPr="6768AAAA">
        <w:rPr>
          <w:color w:val="1D2228"/>
        </w:rPr>
        <w:t xml:space="preserve"> regulatory amendments to the Board for a vote to adopt.</w:t>
      </w:r>
    </w:p>
    <w:p w14:paraId="51CB8DB1" w14:textId="77777777" w:rsidR="00DA12E1" w:rsidRDefault="00DA12E1">
      <w:pPr>
        <w:widowControl/>
        <w:rPr>
          <w:color w:val="000000"/>
          <w:sz w:val="23"/>
          <w:szCs w:val="23"/>
        </w:rPr>
      </w:pPr>
    </w:p>
    <w:p w14:paraId="51CB8DB2" w14:textId="77777777" w:rsidR="00DA12E1" w:rsidRDefault="00B66011">
      <w:pPr>
        <w:widowControl/>
        <w:rPr>
          <w:color w:val="1D2228"/>
          <w:u w:val="single"/>
        </w:rPr>
      </w:pPr>
      <w:r>
        <w:rPr>
          <w:color w:val="1D2228"/>
          <w:u w:val="single"/>
        </w:rPr>
        <w:t>Vocational Technical Education Advisory Council</w:t>
      </w:r>
    </w:p>
    <w:p w14:paraId="51CB8DB3" w14:textId="77777777" w:rsidR="00DA12E1" w:rsidRDefault="00DA12E1">
      <w:pPr>
        <w:widowControl/>
        <w:rPr>
          <w:color w:val="1D2228"/>
        </w:rPr>
      </w:pPr>
    </w:p>
    <w:p w14:paraId="51CB8DB4" w14:textId="524F1B29" w:rsidR="00DA12E1" w:rsidRDefault="00B66011">
      <w:pPr>
        <w:widowControl/>
      </w:pPr>
      <w:r w:rsidRPr="6768AAAA">
        <w:rPr>
          <w:color w:val="1D2228"/>
        </w:rPr>
        <w:t xml:space="preserve">On October 26, 2020 and November 30, 2020, Department staff </w:t>
      </w:r>
      <w:r w:rsidR="008E431B">
        <w:rPr>
          <w:color w:val="1D2228"/>
        </w:rPr>
        <w:t>met (</w:t>
      </w:r>
      <w:r w:rsidRPr="6768AAAA">
        <w:rPr>
          <w:color w:val="1D2228"/>
        </w:rPr>
        <w:t>virtually</w:t>
      </w:r>
      <w:r w:rsidR="008E431B">
        <w:rPr>
          <w:color w:val="1D2228"/>
        </w:rPr>
        <w:t>)</w:t>
      </w:r>
      <w:r w:rsidRPr="6768AAAA">
        <w:rPr>
          <w:color w:val="1D2228"/>
        </w:rPr>
        <w:t xml:space="preserve"> with the Vocational Technical Education (VTE) Advisory Council to </w:t>
      </w:r>
      <w:r w:rsidR="008E431B">
        <w:rPr>
          <w:color w:val="1D2228"/>
        </w:rPr>
        <w:t xml:space="preserve">discuss </w:t>
      </w:r>
      <w:r w:rsidRPr="6768AAAA">
        <w:rPr>
          <w:color w:val="1D2228"/>
        </w:rPr>
        <w:t>vocational admissions. Th</w:t>
      </w:r>
      <w:r w:rsidR="008E431B">
        <w:rPr>
          <w:color w:val="1D2228"/>
        </w:rPr>
        <w:t>e</w:t>
      </w:r>
      <w:r w:rsidRPr="6768AAAA">
        <w:rPr>
          <w:color w:val="1D2228"/>
        </w:rPr>
        <w:t xml:space="preserve"> advisory council is comprised of 20 members </w:t>
      </w:r>
      <w:r w:rsidR="008E431B">
        <w:rPr>
          <w:color w:val="1D2228"/>
        </w:rPr>
        <w:t xml:space="preserve">who </w:t>
      </w:r>
      <w:r w:rsidRPr="6768AAAA">
        <w:rPr>
          <w:color w:val="1D2228"/>
        </w:rPr>
        <w:t xml:space="preserve">represent a </w:t>
      </w:r>
      <w:r w:rsidR="008E431B">
        <w:rPr>
          <w:color w:val="1D2228"/>
        </w:rPr>
        <w:t xml:space="preserve">broad range </w:t>
      </w:r>
      <w:r w:rsidRPr="6768AAAA">
        <w:rPr>
          <w:color w:val="1D2228"/>
        </w:rPr>
        <w:t xml:space="preserve">of interests, industries, and demographics across the Commonwealth. The focus for the VTE Advisory Council this year </w:t>
      </w:r>
      <w:r w:rsidR="008E431B">
        <w:rPr>
          <w:color w:val="1D2228"/>
        </w:rPr>
        <w:t xml:space="preserve">is </w:t>
      </w:r>
      <w:r w:rsidRPr="6768AAAA">
        <w:rPr>
          <w:color w:val="1D2228"/>
        </w:rPr>
        <w:t xml:space="preserve">to provide advice on equitable access to CVTE, the Department’s monitoring and support systems and processes for CVTE programs, as well as program quality and alignment to business and industry. The Advisory Council will continue to meet </w:t>
      </w:r>
      <w:proofErr w:type="gramStart"/>
      <w:r w:rsidRPr="6768AAAA">
        <w:rPr>
          <w:color w:val="1D2228"/>
        </w:rPr>
        <w:t>regularly</w:t>
      </w:r>
      <w:proofErr w:type="gramEnd"/>
      <w:r w:rsidRPr="6768AAAA">
        <w:rPr>
          <w:color w:val="1D2228"/>
        </w:rPr>
        <w:t xml:space="preserve"> </w:t>
      </w:r>
      <w:r w:rsidR="008E431B">
        <w:rPr>
          <w:color w:val="1D2228"/>
        </w:rPr>
        <w:t xml:space="preserve">and its input will be helpful on </w:t>
      </w:r>
      <w:r w:rsidRPr="6768AAAA">
        <w:rPr>
          <w:color w:val="1D2228"/>
        </w:rPr>
        <w:t xml:space="preserve">policy </w:t>
      </w:r>
      <w:r w:rsidR="008E431B">
        <w:rPr>
          <w:color w:val="1D2228"/>
        </w:rPr>
        <w:t xml:space="preserve">recommendations </w:t>
      </w:r>
      <w:r w:rsidRPr="6768AAAA">
        <w:rPr>
          <w:color w:val="1D2228"/>
        </w:rPr>
        <w:t xml:space="preserve">concerning vocational admissions. Information regarding the council membership and meetings can be found at </w:t>
      </w:r>
      <w:hyperlink r:id="rId16">
        <w:r w:rsidRPr="6768AAAA">
          <w:rPr>
            <w:rStyle w:val="Hyperlink"/>
          </w:rPr>
          <w:t>https://www.doe.mass.edu/bese/councils/vte.html</w:t>
        </w:r>
      </w:hyperlink>
      <w:r w:rsidRPr="6768AAAA">
        <w:rPr>
          <w:color w:val="1D2228"/>
        </w:rPr>
        <w:t xml:space="preserve">. </w:t>
      </w:r>
    </w:p>
    <w:p w14:paraId="51CB8DB5" w14:textId="77777777" w:rsidR="00DA12E1" w:rsidRDefault="00DA12E1">
      <w:pPr>
        <w:pStyle w:val="NormalWeb"/>
        <w:shd w:val="clear" w:color="auto" w:fill="FFFFFF"/>
        <w:spacing w:before="0" w:after="0"/>
        <w:rPr>
          <w:color w:val="201F1E"/>
          <w:u w:val="single"/>
        </w:rPr>
      </w:pPr>
    </w:p>
    <w:p w14:paraId="51CB8DB6" w14:textId="77777777" w:rsidR="00DA12E1" w:rsidRDefault="00B66011">
      <w:pPr>
        <w:widowControl/>
        <w:rPr>
          <w:b/>
          <w:bCs/>
          <w:color w:val="1D2228"/>
          <w:szCs w:val="24"/>
          <w:u w:val="single"/>
        </w:rPr>
      </w:pPr>
      <w:r>
        <w:rPr>
          <w:b/>
          <w:bCs/>
          <w:color w:val="1D2228"/>
          <w:szCs w:val="24"/>
          <w:u w:val="single"/>
        </w:rPr>
        <w:t>2.  CVTE Data and Research</w:t>
      </w:r>
    </w:p>
    <w:p w14:paraId="51CB8DB7" w14:textId="77777777" w:rsidR="00DA12E1" w:rsidRDefault="00DA12E1">
      <w:pPr>
        <w:pStyle w:val="NormalWeb"/>
        <w:shd w:val="clear" w:color="auto" w:fill="FFFFFF"/>
        <w:spacing w:before="0" w:after="0"/>
        <w:rPr>
          <w:color w:val="201F1E"/>
          <w:u w:val="single"/>
        </w:rPr>
      </w:pPr>
    </w:p>
    <w:p w14:paraId="51CB8DB8" w14:textId="2DF22936" w:rsidR="00DA12E1" w:rsidRDefault="00B66011" w:rsidP="23029D37">
      <w:pPr>
        <w:pStyle w:val="NormalWeb"/>
        <w:shd w:val="clear" w:color="auto" w:fill="FFFFFF" w:themeFill="background1"/>
        <w:spacing w:before="0" w:after="0"/>
      </w:pPr>
      <w:r w:rsidRPr="23029D37">
        <w:rPr>
          <w:color w:val="201F1E"/>
          <w:u w:val="single"/>
        </w:rPr>
        <w:t xml:space="preserve">Interactive CVTE Enrollment and Performance Data </w:t>
      </w:r>
      <w:r w:rsidR="34BA6120" w:rsidRPr="23029D37">
        <w:rPr>
          <w:color w:val="201F1E"/>
          <w:u w:val="single"/>
        </w:rPr>
        <w:t>Tools</w:t>
      </w:r>
    </w:p>
    <w:p w14:paraId="51CB8DB9" w14:textId="77777777" w:rsidR="00DA12E1" w:rsidRDefault="00B66011">
      <w:pPr>
        <w:pStyle w:val="NormalWeb"/>
        <w:shd w:val="clear" w:color="auto" w:fill="FFFFFF"/>
        <w:spacing w:before="0" w:after="0"/>
      </w:pPr>
      <w:r w:rsidRPr="23029D37">
        <w:rPr>
          <w:color w:val="201F1E"/>
        </w:rPr>
        <w:t> </w:t>
      </w:r>
    </w:p>
    <w:p w14:paraId="51CB8DBA" w14:textId="29896ACA" w:rsidR="00DA12E1" w:rsidRDefault="60E02A1F" w:rsidP="23029D37">
      <w:pPr>
        <w:pStyle w:val="NormalWeb"/>
        <w:spacing w:before="0" w:after="0"/>
      </w:pPr>
      <w:r w:rsidRPr="6768AAAA">
        <w:rPr>
          <w:color w:val="201F1E"/>
        </w:rPr>
        <w:t>To</w:t>
      </w:r>
      <w:r w:rsidR="0A7A0EB0" w:rsidRPr="6768AAAA">
        <w:rPr>
          <w:color w:val="201F1E"/>
        </w:rPr>
        <w:t xml:space="preserve"> continue to improve vocational technical education in Massachusetts and consistent with Perkins V</w:t>
      </w:r>
      <w:r w:rsidR="008E431B">
        <w:rPr>
          <w:color w:val="201F1E"/>
        </w:rPr>
        <w:t xml:space="preserve"> (the federal vocational technical education statute)</w:t>
      </w:r>
      <w:r w:rsidR="0A7A0EB0" w:rsidRPr="6768AAAA">
        <w:rPr>
          <w:color w:val="201F1E"/>
        </w:rPr>
        <w:t xml:space="preserve">, the Department is engaged in ongoing discussions about equitable access to selective vocational technical schools, with particular attention to those schools with the strongest student demand for seats. </w:t>
      </w:r>
      <w:r w:rsidR="69CC8148" w:rsidRPr="6768AAAA">
        <w:rPr>
          <w:color w:val="201F1E"/>
        </w:rPr>
        <w:t>In</w:t>
      </w:r>
      <w:r w:rsidR="00B66011" w:rsidRPr="6768AAAA">
        <w:rPr>
          <w:color w:val="201F1E"/>
        </w:rPr>
        <w:t xml:space="preserve"> </w:t>
      </w:r>
      <w:r w:rsidR="69CC8148" w:rsidRPr="6768AAAA">
        <w:rPr>
          <w:color w:val="201F1E"/>
        </w:rPr>
        <w:t xml:space="preserve">collaboration with researchers at Vanderbilt University, the </w:t>
      </w:r>
      <w:r w:rsidR="00B66011" w:rsidRPr="6768AAAA">
        <w:rPr>
          <w:color w:val="201F1E"/>
        </w:rPr>
        <w:t xml:space="preserve">Department has </w:t>
      </w:r>
      <w:r w:rsidR="60E8109D" w:rsidRPr="6768AAAA">
        <w:rPr>
          <w:color w:val="201F1E"/>
        </w:rPr>
        <w:t xml:space="preserve">developed interactive CVTE data tools </w:t>
      </w:r>
      <w:r w:rsidR="2FF29BE2" w:rsidRPr="6768AAAA">
        <w:rPr>
          <w:color w:val="201F1E"/>
        </w:rPr>
        <w:t>that</w:t>
      </w:r>
      <w:r w:rsidR="00B66011" w:rsidRPr="6768AAAA">
        <w:rPr>
          <w:color w:val="201F1E"/>
        </w:rPr>
        <w:t xml:space="preserve"> </w:t>
      </w:r>
      <w:r w:rsidR="2055CE5F" w:rsidRPr="6768AAAA">
        <w:rPr>
          <w:color w:val="201F1E"/>
        </w:rPr>
        <w:t xml:space="preserve">compare student enrollment </w:t>
      </w:r>
      <w:r w:rsidR="7FA840F7" w:rsidRPr="6768AAAA">
        <w:rPr>
          <w:color w:val="201F1E"/>
        </w:rPr>
        <w:t xml:space="preserve">for several </w:t>
      </w:r>
      <w:r w:rsidR="7FA840F7" w:rsidRPr="003E6855">
        <w:rPr>
          <w:color w:val="201F1E"/>
        </w:rPr>
        <w:t xml:space="preserve">subgroups (including students with disabilities, economically disadvantaged students, students of color, English Learners, and gender) </w:t>
      </w:r>
      <w:r w:rsidR="2055CE5F" w:rsidRPr="003E6855">
        <w:rPr>
          <w:color w:val="201F1E"/>
        </w:rPr>
        <w:t>and performance data</w:t>
      </w:r>
      <w:r w:rsidR="161EC3E9" w:rsidRPr="003E6855">
        <w:rPr>
          <w:color w:val="201F1E"/>
        </w:rPr>
        <w:t xml:space="preserve"> (attendance, discipline, and 8</w:t>
      </w:r>
      <w:r w:rsidR="161EC3E9" w:rsidRPr="003E6855">
        <w:rPr>
          <w:color w:val="201F1E"/>
          <w:vertAlign w:val="superscript"/>
        </w:rPr>
        <w:t>th</w:t>
      </w:r>
      <w:r w:rsidR="161EC3E9" w:rsidRPr="003E6855">
        <w:rPr>
          <w:color w:val="201F1E"/>
        </w:rPr>
        <w:t xml:space="preserve"> grade MCAS score</w:t>
      </w:r>
      <w:r w:rsidR="2055CE5F" w:rsidRPr="003E6855">
        <w:rPr>
          <w:color w:val="201F1E"/>
        </w:rPr>
        <w:t xml:space="preserve"> for incoming student</w:t>
      </w:r>
      <w:r w:rsidR="367F9969" w:rsidRPr="003E6855">
        <w:rPr>
          <w:color w:val="201F1E"/>
        </w:rPr>
        <w:t>s)</w:t>
      </w:r>
      <w:r w:rsidR="00B66011" w:rsidRPr="003E6855">
        <w:rPr>
          <w:color w:val="201F1E"/>
        </w:rPr>
        <w:t xml:space="preserve"> over multiple years to </w:t>
      </w:r>
      <w:r w:rsidR="768B74F6" w:rsidRPr="003E6855">
        <w:rPr>
          <w:color w:val="201F1E"/>
        </w:rPr>
        <w:t xml:space="preserve">examine </w:t>
      </w:r>
      <w:r w:rsidR="00B66011" w:rsidRPr="003E6855">
        <w:rPr>
          <w:color w:val="201F1E"/>
        </w:rPr>
        <w:t>trends.</w:t>
      </w:r>
      <w:r w:rsidR="00F3358F" w:rsidRPr="003E6855">
        <w:rPr>
          <w:color w:val="201F1E"/>
        </w:rPr>
        <w:t xml:space="preserve"> This tool will be available in the next several weeks at </w:t>
      </w:r>
      <w:hyperlink r:id="rId17" w:history="1">
        <w:r w:rsidR="00F3358F" w:rsidRPr="003E6855">
          <w:rPr>
            <w:rStyle w:val="Hyperlink"/>
          </w:rPr>
          <w:t>Career/Vocational Technical Education Reporting &amp; Data Resources</w:t>
        </w:r>
      </w:hyperlink>
      <w:r w:rsidR="00F3358F" w:rsidRPr="003E6855">
        <w:t>.</w:t>
      </w:r>
    </w:p>
    <w:p w14:paraId="51CB8DBB" w14:textId="77777777" w:rsidR="00DA12E1" w:rsidRDefault="00B66011">
      <w:pPr>
        <w:pStyle w:val="NormalWeb"/>
        <w:shd w:val="clear" w:color="auto" w:fill="FFFFFF"/>
        <w:spacing w:before="0" w:after="0"/>
      </w:pPr>
      <w:r>
        <w:rPr>
          <w:color w:val="201F1E"/>
        </w:rPr>
        <w:t> </w:t>
      </w:r>
    </w:p>
    <w:p w14:paraId="51CB8DBC" w14:textId="1CFCAADB" w:rsidR="00DA12E1" w:rsidRDefault="00B66011" w:rsidP="23029D37">
      <w:pPr>
        <w:pStyle w:val="NormalWeb"/>
        <w:shd w:val="clear" w:color="auto" w:fill="FFFFFF" w:themeFill="background1"/>
        <w:spacing w:before="0" w:after="0"/>
      </w:pPr>
      <w:r w:rsidRPr="6768AAAA">
        <w:rPr>
          <w:color w:val="201F1E"/>
        </w:rPr>
        <w:t xml:space="preserve">These comparative enrollment reports </w:t>
      </w:r>
      <w:r w:rsidR="007F2984">
        <w:rPr>
          <w:color w:val="201F1E"/>
        </w:rPr>
        <w:t xml:space="preserve">will </w:t>
      </w:r>
      <w:r w:rsidR="752E6ACA" w:rsidRPr="6768AAAA">
        <w:rPr>
          <w:color w:val="201F1E"/>
        </w:rPr>
        <w:t>provide trend data for</w:t>
      </w:r>
      <w:r w:rsidRPr="6768AAAA">
        <w:rPr>
          <w:color w:val="201F1E"/>
        </w:rPr>
        <w:t xml:space="preserve"> each </w:t>
      </w:r>
      <w:r w:rsidR="3EB623F9" w:rsidRPr="6768AAAA">
        <w:rPr>
          <w:color w:val="201F1E"/>
        </w:rPr>
        <w:t>vocational school</w:t>
      </w:r>
      <w:r w:rsidRPr="6768AAAA">
        <w:rPr>
          <w:color w:val="201F1E"/>
        </w:rPr>
        <w:t xml:space="preserve">, </w:t>
      </w:r>
      <w:r w:rsidR="008E431B">
        <w:rPr>
          <w:color w:val="201F1E"/>
        </w:rPr>
        <w:t>G</w:t>
      </w:r>
      <w:r w:rsidRPr="6768AAAA">
        <w:rPr>
          <w:color w:val="201F1E"/>
        </w:rPr>
        <w:t xml:space="preserve">ateway </w:t>
      </w:r>
      <w:r w:rsidR="008E431B">
        <w:rPr>
          <w:color w:val="201F1E"/>
        </w:rPr>
        <w:t>C</w:t>
      </w:r>
      <w:r w:rsidRPr="6768AAAA">
        <w:rPr>
          <w:color w:val="201F1E"/>
        </w:rPr>
        <w:t xml:space="preserve">ities in aggregate, and statewide, over the last several years for these subgroups. The interactive reports </w:t>
      </w:r>
      <w:r w:rsidR="007F2984">
        <w:rPr>
          <w:color w:val="201F1E"/>
        </w:rPr>
        <w:t xml:space="preserve">will </w:t>
      </w:r>
      <w:r w:rsidRPr="6768AAAA">
        <w:rPr>
          <w:color w:val="201F1E"/>
        </w:rPr>
        <w:t xml:space="preserve">include graphs </w:t>
      </w:r>
      <w:r w:rsidR="007F2984">
        <w:rPr>
          <w:color w:val="201F1E"/>
        </w:rPr>
        <w:t>comparing</w:t>
      </w:r>
      <w:r w:rsidRPr="6768AAAA">
        <w:rPr>
          <w:color w:val="201F1E"/>
        </w:rPr>
        <w:t xml:space="preserve"> incoming and attending students with incoming </w:t>
      </w:r>
      <w:r w:rsidRPr="6768AAAA">
        <w:rPr>
          <w:color w:val="201F1E"/>
        </w:rPr>
        <w:lastRenderedPageBreak/>
        <w:t xml:space="preserve">and attending students in a </w:t>
      </w:r>
      <w:r w:rsidR="0E1C365D" w:rsidRPr="6768AAAA">
        <w:rPr>
          <w:color w:val="201F1E"/>
        </w:rPr>
        <w:t xml:space="preserve">school’s </w:t>
      </w:r>
      <w:r w:rsidRPr="6768AAAA">
        <w:rPr>
          <w:color w:val="201F1E"/>
        </w:rPr>
        <w:t xml:space="preserve">anchor </w:t>
      </w:r>
      <w:r w:rsidR="55DDE78F" w:rsidRPr="6768AAAA">
        <w:rPr>
          <w:color w:val="201F1E"/>
        </w:rPr>
        <w:t>municipalit</w:t>
      </w:r>
      <w:r w:rsidR="2D14C20D" w:rsidRPr="6768AAAA">
        <w:rPr>
          <w:color w:val="201F1E"/>
        </w:rPr>
        <w:t>ies</w:t>
      </w:r>
      <w:r w:rsidR="55DDE78F" w:rsidRPr="6768AAAA">
        <w:rPr>
          <w:color w:val="201F1E"/>
        </w:rPr>
        <w:t xml:space="preserve"> (i.e</w:t>
      </w:r>
      <w:r w:rsidR="72E38E47" w:rsidRPr="6768AAAA">
        <w:rPr>
          <w:color w:val="201F1E"/>
        </w:rPr>
        <w:t>.</w:t>
      </w:r>
      <w:r w:rsidR="4DA7E2F5" w:rsidRPr="6768AAAA">
        <w:rPr>
          <w:color w:val="201F1E"/>
        </w:rPr>
        <w:t>,</w:t>
      </w:r>
      <w:r w:rsidR="55DDE78F" w:rsidRPr="6768AAAA">
        <w:rPr>
          <w:color w:val="201F1E"/>
        </w:rPr>
        <w:t xml:space="preserve"> the municipalities that represent the largest share of enrolled students)</w:t>
      </w:r>
      <w:r w:rsidRPr="6768AAAA">
        <w:rPr>
          <w:color w:val="201F1E"/>
        </w:rPr>
        <w:t>, as well as students in the catchment area or region. Vocational technical school leaders and admission teams may use these reports to establish a common understanding of enrollment trends, inform collaboration with regional stakeholders, enhance recruitment and admission strategies</w:t>
      </w:r>
      <w:r w:rsidR="008E431B">
        <w:rPr>
          <w:color w:val="201F1E"/>
        </w:rPr>
        <w:t>,</w:t>
      </w:r>
      <w:r w:rsidRPr="6768AAAA">
        <w:rPr>
          <w:color w:val="201F1E"/>
        </w:rPr>
        <w:t xml:space="preserve"> and thus better serve students across the Commonwealth.</w:t>
      </w:r>
    </w:p>
    <w:p w14:paraId="51CB8DBD" w14:textId="77777777" w:rsidR="00DA12E1" w:rsidRDefault="00DA12E1">
      <w:pPr>
        <w:widowControl/>
        <w:rPr>
          <w:b/>
          <w:bCs/>
          <w:color w:val="1D2228"/>
          <w:u w:val="single"/>
        </w:rPr>
      </w:pPr>
    </w:p>
    <w:p w14:paraId="51CB8DBE" w14:textId="77777777" w:rsidR="00DA12E1" w:rsidRDefault="00B66011">
      <w:pPr>
        <w:widowControl/>
        <w:rPr>
          <w:color w:val="1D2228"/>
          <w:u w:val="single"/>
        </w:rPr>
      </w:pPr>
      <w:r>
        <w:rPr>
          <w:color w:val="1D2228"/>
          <w:u w:val="single"/>
        </w:rPr>
        <w:t>New Research on CVTE in Massachusetts</w:t>
      </w:r>
    </w:p>
    <w:p w14:paraId="51CB8DBF" w14:textId="77777777" w:rsidR="00DA12E1" w:rsidRDefault="00DA12E1">
      <w:pPr>
        <w:widowControl/>
        <w:rPr>
          <w:color w:val="1D2228"/>
        </w:rPr>
      </w:pPr>
    </w:p>
    <w:p w14:paraId="51CB8DC0" w14:textId="5C97125E" w:rsidR="00DA12E1" w:rsidRPr="003E6855" w:rsidRDefault="00B66011" w:rsidP="6768AAAA">
      <w:pPr>
        <w:widowControl/>
        <w:rPr>
          <w:color w:val="1D2228"/>
          <w:highlight w:val="yellow"/>
        </w:rPr>
      </w:pPr>
      <w:r w:rsidRPr="6768AAAA">
        <w:rPr>
          <w:color w:val="1D2228"/>
        </w:rPr>
        <w:t>In keeping with the Department’s focus on supporting evidence-based strategies and ongoing</w:t>
      </w:r>
      <w:r w:rsidR="24989912" w:rsidRPr="6768AAAA">
        <w:rPr>
          <w:color w:val="1D2228"/>
        </w:rPr>
        <w:t xml:space="preserve"> research</w:t>
      </w:r>
      <w:r w:rsidRPr="6768AAAA">
        <w:rPr>
          <w:color w:val="1D2228"/>
        </w:rPr>
        <w:t xml:space="preserve"> partnerships, the Department partnered with a research team from the American Institutes for Research to study the state’s CVTE system, including </w:t>
      </w:r>
      <w:r>
        <w:t>associations between participation in CVTE programs and student outcomes, associations between CVTE teacher qualifications and student outcomes and student entry into regional vocational schools.</w:t>
      </w:r>
      <w:r w:rsidRPr="6768AAAA">
        <w:rPr>
          <w:color w:val="1D2228"/>
        </w:rPr>
        <w:t xml:space="preserve"> More details can be found in the full report, </w:t>
      </w:r>
      <w:r w:rsidRPr="6768AAAA">
        <w:rPr>
          <w:b/>
          <w:bCs/>
          <w:i/>
          <w:iCs/>
        </w:rPr>
        <w:t>Career and Technical Education and Postsecondary Student Outcomes in Massachusetts: Career Clusters and Student Groups, Teacher Licensure, and Student Entry, October 2020</w:t>
      </w:r>
      <w:r w:rsidR="003E6855">
        <w:rPr>
          <w:i/>
          <w:iCs/>
          <w:color w:val="1D2228"/>
        </w:rPr>
        <w:t xml:space="preserve">, </w:t>
      </w:r>
      <w:r w:rsidR="003E6855" w:rsidRPr="003E6855">
        <w:rPr>
          <w:color w:val="1D2228"/>
        </w:rPr>
        <w:t xml:space="preserve">which will be available at the Department’s </w:t>
      </w:r>
      <w:hyperlink r:id="rId18" w:anchor="pagetop" w:history="1">
        <w:r w:rsidR="003E6855">
          <w:rPr>
            <w:rStyle w:val="Hyperlink"/>
          </w:rPr>
          <w:t>Office of Planning and Research report webpage</w:t>
        </w:r>
      </w:hyperlink>
      <w:r w:rsidR="003E6855" w:rsidRPr="003E6855">
        <w:rPr>
          <w:color w:val="1D2228"/>
        </w:rPr>
        <w:t>.</w:t>
      </w:r>
    </w:p>
    <w:p w14:paraId="51CB8DC2" w14:textId="151C23E1" w:rsidR="00DA12E1" w:rsidRDefault="00DA12E1">
      <w:pPr>
        <w:pStyle w:val="ListParagraph"/>
        <w:ind w:left="1080"/>
        <w:rPr>
          <w:color w:val="1D2228"/>
        </w:rPr>
      </w:pPr>
    </w:p>
    <w:p w14:paraId="51CB8DC3" w14:textId="01A89349" w:rsidR="00DA12E1" w:rsidRDefault="00B66011">
      <w:r w:rsidRPr="23029D37">
        <w:rPr>
          <w:color w:val="1D2228"/>
        </w:rPr>
        <w:t xml:space="preserve">The Department is reviewing the findings of this study in collaboration with the research team.  This work will help shape several aspects of CVTE in the Commonwealth, from proposed regulatory changes regarding </w:t>
      </w:r>
      <w:r w:rsidR="008E431B">
        <w:rPr>
          <w:color w:val="1D2228"/>
        </w:rPr>
        <w:t xml:space="preserve">student </w:t>
      </w:r>
      <w:r w:rsidRPr="23029D37">
        <w:rPr>
          <w:color w:val="1D2228"/>
        </w:rPr>
        <w:t>enrollment</w:t>
      </w:r>
      <w:r w:rsidR="008E431B">
        <w:rPr>
          <w:color w:val="1D2228"/>
        </w:rPr>
        <w:t xml:space="preserve">, </w:t>
      </w:r>
      <w:r w:rsidRPr="23029D37">
        <w:rPr>
          <w:color w:val="1D2228"/>
        </w:rPr>
        <w:t xml:space="preserve">recruitment, </w:t>
      </w:r>
      <w:r w:rsidR="008E431B">
        <w:rPr>
          <w:color w:val="1D2228"/>
        </w:rPr>
        <w:t xml:space="preserve">and </w:t>
      </w:r>
      <w:r w:rsidRPr="23029D37">
        <w:rPr>
          <w:color w:val="1D2228"/>
        </w:rPr>
        <w:t xml:space="preserve">admissions, to recruitment and retention of licensed </w:t>
      </w:r>
      <w:r w:rsidR="008E431B">
        <w:rPr>
          <w:color w:val="1D2228"/>
        </w:rPr>
        <w:t xml:space="preserve">vocational </w:t>
      </w:r>
      <w:r w:rsidRPr="23029D37">
        <w:rPr>
          <w:color w:val="1D2228"/>
        </w:rPr>
        <w:t>teachers.</w:t>
      </w:r>
    </w:p>
    <w:p w14:paraId="51CB8DC4" w14:textId="77777777" w:rsidR="00DA12E1" w:rsidRDefault="00DA12E1">
      <w:pPr>
        <w:widowControl/>
        <w:rPr>
          <w:color w:val="1D2228"/>
        </w:rPr>
      </w:pPr>
    </w:p>
    <w:p w14:paraId="51CB8DC5" w14:textId="3B271749" w:rsidR="00DA12E1" w:rsidRDefault="00B66011">
      <w:pPr>
        <w:widowControl/>
        <w:rPr>
          <w:color w:val="1D2228"/>
          <w:u w:val="single"/>
        </w:rPr>
      </w:pPr>
      <w:r>
        <w:rPr>
          <w:color w:val="1D2228"/>
          <w:u w:val="single"/>
        </w:rPr>
        <w:t>CVTE Program Waitlist Data Collection</w:t>
      </w:r>
    </w:p>
    <w:p w14:paraId="51CB8DC6" w14:textId="77777777" w:rsidR="00DA12E1" w:rsidRDefault="00DA12E1">
      <w:pPr>
        <w:widowControl/>
        <w:rPr>
          <w:color w:val="1D2228"/>
        </w:rPr>
      </w:pPr>
    </w:p>
    <w:p w14:paraId="21E4B36E" w14:textId="54C54986" w:rsidR="008E431B" w:rsidRDefault="00B66011">
      <w:pPr>
        <w:widowControl/>
        <w:rPr>
          <w:color w:val="1D2228"/>
        </w:rPr>
      </w:pPr>
      <w:r w:rsidRPr="6768AAAA">
        <w:rPr>
          <w:color w:val="1D2228"/>
        </w:rPr>
        <w:t>The Department has undertaken its own data collection effort to better understand which students apply, but do not gain admission</w:t>
      </w:r>
      <w:r w:rsidR="008E431B">
        <w:rPr>
          <w:color w:val="1D2228"/>
        </w:rPr>
        <w:t>,</w:t>
      </w:r>
      <w:r w:rsidRPr="6768AAAA">
        <w:rPr>
          <w:color w:val="1D2228"/>
        </w:rPr>
        <w:t xml:space="preserve"> to</w:t>
      </w:r>
      <w:r w:rsidR="002774CC">
        <w:rPr>
          <w:color w:val="1D2228"/>
        </w:rPr>
        <w:t xml:space="preserve"> Chapter 74 CVTE</w:t>
      </w:r>
      <w:r w:rsidRPr="6768AAAA">
        <w:rPr>
          <w:color w:val="1D2228"/>
        </w:rPr>
        <w:t xml:space="preserve"> programs. The amended vocational technical education regulations, approved by the Board in February, included a new requirement that vocational programs report their enrollment data to the Department. </w:t>
      </w:r>
      <w:r w:rsidRPr="6768AAAA">
        <w:rPr>
          <w:i/>
          <w:iCs/>
          <w:color w:val="1D2228"/>
        </w:rPr>
        <w:t>See</w:t>
      </w:r>
      <w:r w:rsidRPr="6768AAAA">
        <w:rPr>
          <w:color w:val="1D2228"/>
        </w:rPr>
        <w:t xml:space="preserve"> 603 CMR 4.03(9) (“Vocational technical secondary schools that have more applicants than available seats shall maintain a waitlist for the current school year for eligible students who do not gain admission to the school, and report such data to the Department.”) </w:t>
      </w:r>
    </w:p>
    <w:p w14:paraId="4C240FF4" w14:textId="77777777" w:rsidR="008E431B" w:rsidRDefault="008E431B">
      <w:pPr>
        <w:widowControl/>
        <w:rPr>
          <w:color w:val="1D2228"/>
        </w:rPr>
      </w:pPr>
    </w:p>
    <w:p w14:paraId="51CB8DC7" w14:textId="688A3AD5" w:rsidR="00DA12E1" w:rsidRDefault="00B66011">
      <w:pPr>
        <w:widowControl/>
      </w:pPr>
      <w:r w:rsidRPr="6768AAAA">
        <w:rPr>
          <w:color w:val="1D2228"/>
        </w:rPr>
        <w:t xml:space="preserve">The Department </w:t>
      </w:r>
      <w:r w:rsidRPr="00352DC2">
        <w:rPr>
          <w:color w:val="1D2228"/>
        </w:rPr>
        <w:t xml:space="preserve">conducted multiple rounds of consultation with vocational </w:t>
      </w:r>
      <w:r w:rsidR="008E431B" w:rsidRPr="00352DC2">
        <w:rPr>
          <w:color w:val="1D2228"/>
        </w:rPr>
        <w:t xml:space="preserve">schools and </w:t>
      </w:r>
      <w:r w:rsidRPr="00352DC2">
        <w:rPr>
          <w:color w:val="1D2228"/>
        </w:rPr>
        <w:t>districts on th</w:t>
      </w:r>
      <w:r w:rsidR="002774CC" w:rsidRPr="00352DC2">
        <w:rPr>
          <w:color w:val="1D2228"/>
        </w:rPr>
        <w:t>is inaugural</w:t>
      </w:r>
      <w:r w:rsidRPr="00352DC2">
        <w:rPr>
          <w:color w:val="1D2228"/>
        </w:rPr>
        <w:t xml:space="preserve"> </w:t>
      </w:r>
      <w:r w:rsidR="008E431B" w:rsidRPr="00352DC2">
        <w:rPr>
          <w:color w:val="1D2228"/>
        </w:rPr>
        <w:t xml:space="preserve">data </w:t>
      </w:r>
      <w:r w:rsidRPr="00352DC2">
        <w:rPr>
          <w:color w:val="1D2228"/>
        </w:rPr>
        <w:t xml:space="preserve">collection effort, </w:t>
      </w:r>
      <w:r w:rsidR="008E431B" w:rsidRPr="00352DC2">
        <w:rPr>
          <w:color w:val="1D2228"/>
        </w:rPr>
        <w:t>to make it as efficient and informative as possible</w:t>
      </w:r>
      <w:r w:rsidR="002774CC" w:rsidRPr="00352DC2">
        <w:rPr>
          <w:color w:val="1D2228"/>
        </w:rPr>
        <w:t xml:space="preserve">, </w:t>
      </w:r>
      <w:r w:rsidRPr="00352DC2">
        <w:rPr>
          <w:color w:val="1D2228"/>
        </w:rPr>
        <w:t xml:space="preserve">particularly given the challenges presented by COVID-19. This resulted in the development of a waitlist data collection template that requests information about who is applying to CVTE programs and who is admitted, including students’ component and overall scores on admissions criteria, applicant eligibility, </w:t>
      </w:r>
      <w:r w:rsidR="008E431B" w:rsidRPr="00352DC2">
        <w:rPr>
          <w:color w:val="1D2228"/>
        </w:rPr>
        <w:t xml:space="preserve">and </w:t>
      </w:r>
      <w:r w:rsidRPr="00352DC2">
        <w:rPr>
          <w:color w:val="1D2228"/>
        </w:rPr>
        <w:t>admissions and waitlist outcomes</w:t>
      </w:r>
      <w:r w:rsidRPr="6768AAAA">
        <w:rPr>
          <w:color w:val="1D2228"/>
        </w:rPr>
        <w:t xml:space="preserve"> for each applicant, if available. The Department required vocational programs and schools to submit this waitlist data by late November and has begun assembling and analyzing the </w:t>
      </w:r>
      <w:r w:rsidR="008E431B">
        <w:rPr>
          <w:color w:val="1D2228"/>
        </w:rPr>
        <w:t>data</w:t>
      </w:r>
      <w:r w:rsidRPr="6768AAAA">
        <w:rPr>
          <w:color w:val="1D2228"/>
        </w:rPr>
        <w:t xml:space="preserve">. I anticipate being able to </w:t>
      </w:r>
      <w:r w:rsidR="008E431B">
        <w:rPr>
          <w:color w:val="1D2228"/>
        </w:rPr>
        <w:t xml:space="preserve">present </w:t>
      </w:r>
      <w:r w:rsidRPr="6768AAAA">
        <w:rPr>
          <w:color w:val="1D2228"/>
        </w:rPr>
        <w:t xml:space="preserve">some initial information from this waitlist data </w:t>
      </w:r>
      <w:r w:rsidR="008E431B">
        <w:rPr>
          <w:color w:val="1D2228"/>
        </w:rPr>
        <w:t xml:space="preserve">to </w:t>
      </w:r>
      <w:r w:rsidRPr="6768AAAA">
        <w:rPr>
          <w:color w:val="1D2228"/>
        </w:rPr>
        <w:t xml:space="preserve">the Board in early 2021. </w:t>
      </w:r>
    </w:p>
    <w:p w14:paraId="51CB8DC8" w14:textId="77777777" w:rsidR="00DA12E1" w:rsidRDefault="00DA12E1">
      <w:pPr>
        <w:widowControl/>
        <w:rPr>
          <w:color w:val="1D2228"/>
        </w:rPr>
      </w:pPr>
    </w:p>
    <w:p w14:paraId="51CB8DC9" w14:textId="22B707DE" w:rsidR="00DA12E1" w:rsidRDefault="00B66011">
      <w:pPr>
        <w:widowControl/>
        <w:rPr>
          <w:color w:val="1D2228"/>
        </w:rPr>
      </w:pPr>
      <w:r w:rsidRPr="6768AAAA">
        <w:rPr>
          <w:color w:val="1D2228"/>
        </w:rPr>
        <w:t xml:space="preserve">The </w:t>
      </w:r>
      <w:r w:rsidR="008E431B">
        <w:rPr>
          <w:color w:val="1D2228"/>
        </w:rPr>
        <w:t xml:space="preserve">waitlist data will help to inform our thinking about possible amendments to the vocational admissions regulations. The </w:t>
      </w:r>
      <w:r w:rsidRPr="6768AAAA">
        <w:rPr>
          <w:color w:val="1D2228"/>
        </w:rPr>
        <w:t xml:space="preserve">Department </w:t>
      </w:r>
      <w:r w:rsidR="008E431B">
        <w:rPr>
          <w:color w:val="1D2228"/>
        </w:rPr>
        <w:t xml:space="preserve">will also </w:t>
      </w:r>
      <w:r w:rsidRPr="6768AAAA">
        <w:rPr>
          <w:color w:val="1D2228"/>
        </w:rPr>
        <w:t>use th</w:t>
      </w:r>
      <w:r w:rsidR="008E431B">
        <w:rPr>
          <w:color w:val="1D2228"/>
        </w:rPr>
        <w:t>e</w:t>
      </w:r>
      <w:r w:rsidRPr="6768AAAA">
        <w:rPr>
          <w:color w:val="1D2228"/>
        </w:rPr>
        <w:t xml:space="preserve"> data to assess the current demand for CVTE programs and make recommendations to the Massachusetts School Building Authority regarding new </w:t>
      </w:r>
      <w:r w:rsidR="008E431B">
        <w:rPr>
          <w:color w:val="1D2228"/>
        </w:rPr>
        <w:t xml:space="preserve">school </w:t>
      </w:r>
      <w:r w:rsidRPr="6768AAAA">
        <w:rPr>
          <w:color w:val="1D2228"/>
        </w:rPr>
        <w:t>construction and renovation projects across the Commonwealth. In addition</w:t>
      </w:r>
      <w:r w:rsidR="3CAD8C9A" w:rsidRPr="6768AAAA">
        <w:rPr>
          <w:color w:val="1D2228"/>
        </w:rPr>
        <w:t>,</w:t>
      </w:r>
      <w:r w:rsidRPr="6768AAAA">
        <w:rPr>
          <w:color w:val="1D2228"/>
        </w:rPr>
        <w:t xml:space="preserve"> </w:t>
      </w:r>
      <w:r w:rsidR="7E7F1C8E" w:rsidRPr="6768AAAA">
        <w:rPr>
          <w:color w:val="1D2228"/>
        </w:rPr>
        <w:t>t</w:t>
      </w:r>
      <w:r w:rsidRPr="6768AAAA">
        <w:rPr>
          <w:color w:val="1D2228"/>
        </w:rPr>
        <w:t xml:space="preserve">he data </w:t>
      </w:r>
      <w:r w:rsidR="008E431B">
        <w:rPr>
          <w:color w:val="1D2228"/>
        </w:rPr>
        <w:t xml:space="preserve">should help identify </w:t>
      </w:r>
      <w:r w:rsidRPr="6768AAAA">
        <w:rPr>
          <w:color w:val="1D2228"/>
        </w:rPr>
        <w:t xml:space="preserve">districts </w:t>
      </w:r>
      <w:r w:rsidR="008E431B">
        <w:rPr>
          <w:color w:val="1D2228"/>
        </w:rPr>
        <w:t xml:space="preserve">that </w:t>
      </w:r>
      <w:r w:rsidRPr="6768AAAA">
        <w:rPr>
          <w:color w:val="1D2228"/>
        </w:rPr>
        <w:t xml:space="preserve">may be </w:t>
      </w:r>
      <w:r w:rsidR="008E431B">
        <w:rPr>
          <w:color w:val="1D2228"/>
        </w:rPr>
        <w:t xml:space="preserve">well </w:t>
      </w:r>
      <w:r w:rsidRPr="6768AAAA">
        <w:rPr>
          <w:color w:val="1D2228"/>
        </w:rPr>
        <w:t xml:space="preserve">positioned to explore new CVTE </w:t>
      </w:r>
      <w:r w:rsidRPr="6768AAAA">
        <w:rPr>
          <w:color w:val="1D2228"/>
        </w:rPr>
        <w:lastRenderedPageBreak/>
        <w:t>programs, including through the Chapter 74 Partnership Program (“After Dark”) approval process</w:t>
      </w:r>
      <w:r w:rsidR="008E431B">
        <w:rPr>
          <w:color w:val="1D2228"/>
        </w:rPr>
        <w:t xml:space="preserve"> that expands use of CVTE facilities beyond regular school hours</w:t>
      </w:r>
      <w:r w:rsidRPr="6768AAAA">
        <w:rPr>
          <w:color w:val="1D2228"/>
        </w:rPr>
        <w:t>.</w:t>
      </w:r>
    </w:p>
    <w:p w14:paraId="51CB8DCA" w14:textId="77777777" w:rsidR="00DA12E1" w:rsidRDefault="00DA12E1">
      <w:pPr>
        <w:widowControl/>
        <w:rPr>
          <w:b/>
          <w:bCs/>
          <w:color w:val="1D2228"/>
          <w:u w:val="single"/>
        </w:rPr>
      </w:pPr>
    </w:p>
    <w:p w14:paraId="51CB8DCB" w14:textId="77777777" w:rsidR="00DA12E1" w:rsidRDefault="00B66011">
      <w:pPr>
        <w:widowControl/>
      </w:pPr>
      <w:r>
        <w:rPr>
          <w:b/>
          <w:bCs/>
          <w:color w:val="1D2228"/>
          <w:u w:val="single"/>
        </w:rPr>
        <w:t>3.  Additional Equity-Focused CVTE Initiatives</w:t>
      </w:r>
    </w:p>
    <w:p w14:paraId="51CB8DCC" w14:textId="77777777" w:rsidR="00DA12E1" w:rsidRDefault="00DA12E1">
      <w:pPr>
        <w:widowControl/>
        <w:rPr>
          <w:b/>
          <w:bCs/>
          <w:color w:val="1D2228"/>
          <w:u w:val="single"/>
        </w:rPr>
      </w:pPr>
    </w:p>
    <w:p w14:paraId="51CB8DCE" w14:textId="045123A5" w:rsidR="00DA12E1" w:rsidRDefault="008E431B">
      <w:pPr>
        <w:widowControl/>
        <w:rPr>
          <w:color w:val="1D2228"/>
        </w:rPr>
      </w:pPr>
      <w:r>
        <w:rPr>
          <w:color w:val="1D2228"/>
        </w:rPr>
        <w:t xml:space="preserve">Through our </w:t>
      </w:r>
      <w:r w:rsidR="00DA12E1" w:rsidRPr="6768AAAA">
        <w:rPr>
          <w:color w:val="1D2228"/>
        </w:rPr>
        <w:t>Office of College, Career and Technical Education</w:t>
      </w:r>
      <w:r w:rsidR="00B66011" w:rsidRPr="6768AAAA">
        <w:rPr>
          <w:color w:val="1D2228"/>
        </w:rPr>
        <w:t xml:space="preserve"> </w:t>
      </w:r>
      <w:r>
        <w:rPr>
          <w:color w:val="1D2228"/>
        </w:rPr>
        <w:t xml:space="preserve">(OCCTE), the Department is leading several other </w:t>
      </w:r>
      <w:proofErr w:type="gramStart"/>
      <w:r>
        <w:rPr>
          <w:color w:val="1D2228"/>
        </w:rPr>
        <w:t>equity-focused</w:t>
      </w:r>
      <w:proofErr w:type="gramEnd"/>
      <w:r>
        <w:rPr>
          <w:color w:val="1D2228"/>
        </w:rPr>
        <w:t xml:space="preserve"> CVTE initiatives:</w:t>
      </w:r>
    </w:p>
    <w:p w14:paraId="51CB8DD5" w14:textId="55D0B896" w:rsidR="00DA12E1" w:rsidRPr="00B66011" w:rsidRDefault="00B66011" w:rsidP="00B66011">
      <w:pPr>
        <w:pStyle w:val="NormalWeb"/>
        <w:rPr>
          <w:rFonts w:ascii="Calibri" w:hAnsi="Calibri" w:cs="Calibri"/>
          <w:color w:val="000000"/>
        </w:rPr>
      </w:pPr>
      <w:r w:rsidRPr="6768AAAA">
        <w:rPr>
          <w:color w:val="1D2228"/>
          <w:u w:val="single"/>
        </w:rPr>
        <w:t>CVTE Partnership “After Dark” programs</w:t>
      </w:r>
      <w:r w:rsidRPr="6768AAAA">
        <w:rPr>
          <w:color w:val="1D2228"/>
        </w:rPr>
        <w:t xml:space="preserve">. “After Dark” programs are unique collaborations between vocational schools with </w:t>
      </w:r>
      <w:r w:rsidR="008E431B">
        <w:rPr>
          <w:color w:val="1D2228"/>
        </w:rPr>
        <w:t xml:space="preserve">approved </w:t>
      </w:r>
      <w:r w:rsidRPr="6768AAAA">
        <w:rPr>
          <w:color w:val="1D2228"/>
        </w:rPr>
        <w:t>vocational programs and traditional high schools</w:t>
      </w:r>
      <w:r w:rsidR="42015259" w:rsidRPr="6768AAAA">
        <w:rPr>
          <w:color w:val="1D2228"/>
        </w:rPr>
        <w:t>,</w:t>
      </w:r>
      <w:r w:rsidRPr="6768AAAA">
        <w:rPr>
          <w:color w:val="1D2228"/>
        </w:rPr>
        <w:t xml:space="preserve"> which allow traditional high </w:t>
      </w:r>
      <w:r w:rsidR="0FB7048D" w:rsidRPr="6768AAAA">
        <w:rPr>
          <w:color w:val="1D2228"/>
        </w:rPr>
        <w:t xml:space="preserve">school </w:t>
      </w:r>
      <w:r w:rsidRPr="6768AAAA">
        <w:rPr>
          <w:color w:val="1D2228"/>
        </w:rPr>
        <w:t xml:space="preserve">students access to CVTE training in nearby vocational facilities through creative scheduling. </w:t>
      </w:r>
      <w:r w:rsidR="6B6C65CF" w:rsidRPr="6768AAAA">
        <w:rPr>
          <w:color w:val="1D2228"/>
        </w:rPr>
        <w:t>The s</w:t>
      </w:r>
      <w:r w:rsidRPr="6768AAAA">
        <w:rPr>
          <w:color w:val="1D2228"/>
        </w:rPr>
        <w:t xml:space="preserve">tudents </w:t>
      </w:r>
      <w:r w:rsidR="66BC7449" w:rsidRPr="6768AAAA">
        <w:rPr>
          <w:color w:val="1D2228"/>
        </w:rPr>
        <w:t xml:space="preserve">who </w:t>
      </w:r>
      <w:r w:rsidRPr="6768AAAA">
        <w:rPr>
          <w:color w:val="1D2228"/>
        </w:rPr>
        <w:t xml:space="preserve">enroll in After Dark programs typically could not access regular CVTE programs due to limited space, or because they decide to pursue vocational training later in their high school career. The pilot </w:t>
      </w:r>
      <w:r w:rsidR="22669597" w:rsidRPr="6768AAAA">
        <w:rPr>
          <w:color w:val="1D2228"/>
        </w:rPr>
        <w:t>After Dark programs began</w:t>
      </w:r>
      <w:r w:rsidR="002774CC">
        <w:rPr>
          <w:color w:val="1D2228"/>
        </w:rPr>
        <w:t xml:space="preserve"> in fall 2018</w:t>
      </w:r>
      <w:r w:rsidR="22669597" w:rsidRPr="6768AAAA">
        <w:rPr>
          <w:color w:val="1D2228"/>
        </w:rPr>
        <w:t xml:space="preserve"> with </w:t>
      </w:r>
      <w:r w:rsidRPr="6768AAAA">
        <w:rPr>
          <w:color w:val="1D2228"/>
        </w:rPr>
        <w:t>two at Greater Lawrence Technical School in Advanced Manufacturing and Heating, Ventilation</w:t>
      </w:r>
      <w:r w:rsidRPr="6768AAAA">
        <w:rPr>
          <w:color w:val="000000" w:themeColor="text1"/>
        </w:rPr>
        <w:t xml:space="preserve">, and Air Conditioning (HVAC) and two at Essex North Shore Agricultural and Vocational Technical School in Advanced Manufacturing and Construction Craft Laborers. </w:t>
      </w:r>
      <w:r w:rsidR="66EDDF0A" w:rsidRPr="6768AAAA">
        <w:rPr>
          <w:color w:val="000000" w:themeColor="text1"/>
        </w:rPr>
        <w:t xml:space="preserve">The Department </w:t>
      </w:r>
      <w:r w:rsidR="008E431B">
        <w:rPr>
          <w:color w:val="000000" w:themeColor="text1"/>
        </w:rPr>
        <w:t xml:space="preserve">has </w:t>
      </w:r>
      <w:r w:rsidR="66EDDF0A" w:rsidRPr="6768AAAA">
        <w:rPr>
          <w:color w:val="000000" w:themeColor="text1"/>
        </w:rPr>
        <w:t>approved s</w:t>
      </w:r>
      <w:r w:rsidRPr="6768AAAA">
        <w:rPr>
          <w:color w:val="000000" w:themeColor="text1"/>
        </w:rPr>
        <w:t xml:space="preserve">ix additional districts to launch 24 new programs in high demand sectors this school year. </w:t>
      </w:r>
      <w:r w:rsidR="003E6855" w:rsidRPr="00B77262">
        <w:rPr>
          <w:color w:val="000000" w:themeColor="text1"/>
        </w:rPr>
        <w:t xml:space="preserve">These programs are creating new CVTE opportunities for several hundred additional students. </w:t>
      </w:r>
      <w:r w:rsidR="008E431B">
        <w:rPr>
          <w:color w:val="000000" w:themeColor="text1"/>
        </w:rPr>
        <w:t>T</w:t>
      </w:r>
      <w:r w:rsidRPr="6768AAAA">
        <w:rPr>
          <w:color w:val="000000" w:themeColor="text1"/>
        </w:rPr>
        <w:t xml:space="preserve">hrough the use </w:t>
      </w:r>
      <w:r w:rsidR="008E431B">
        <w:rPr>
          <w:color w:val="000000" w:themeColor="text1"/>
        </w:rPr>
        <w:t xml:space="preserve">of </w:t>
      </w:r>
      <w:r w:rsidRPr="6768AAAA">
        <w:rPr>
          <w:color w:val="000000" w:themeColor="text1"/>
        </w:rPr>
        <w:t>federal Perkins and state career-technical partnership grant funds</w:t>
      </w:r>
      <w:r w:rsidR="008E431B">
        <w:rPr>
          <w:color w:val="000000" w:themeColor="text1"/>
        </w:rPr>
        <w:t xml:space="preserve">, the Department will </w:t>
      </w:r>
      <w:r w:rsidR="008E431B" w:rsidRPr="6768AAAA">
        <w:rPr>
          <w:color w:val="000000" w:themeColor="text1"/>
        </w:rPr>
        <w:t>continue to support the development of these partnerships to expand access to CVTE</w:t>
      </w:r>
      <w:r w:rsidRPr="6768AAAA">
        <w:rPr>
          <w:color w:val="000000" w:themeColor="text1"/>
        </w:rPr>
        <w:t>.</w:t>
      </w:r>
    </w:p>
    <w:p w14:paraId="65AE6BA1" w14:textId="77777777" w:rsidR="009B0285" w:rsidRDefault="008E431B">
      <w:pPr>
        <w:widowControl/>
        <w:rPr>
          <w:color w:val="1D2228"/>
          <w:u w:val="single"/>
        </w:rPr>
      </w:pPr>
      <w:r w:rsidRPr="008E431B">
        <w:rPr>
          <w:u w:val="single"/>
        </w:rPr>
        <w:t xml:space="preserve">Streamlined </w:t>
      </w:r>
      <w:r>
        <w:rPr>
          <w:u w:val="single"/>
        </w:rPr>
        <w:t xml:space="preserve">and </w:t>
      </w:r>
      <w:r w:rsidRPr="008E431B">
        <w:rPr>
          <w:u w:val="single"/>
        </w:rPr>
        <w:t>Consolidated Monitoring</w:t>
      </w:r>
      <w:r>
        <w:rPr>
          <w:u w:val="single"/>
        </w:rPr>
        <w:t xml:space="preserve">. </w:t>
      </w:r>
      <w:r w:rsidR="00B66011">
        <w:t xml:space="preserve">In early 2020, the U.S. Department of Education’s Office </w:t>
      </w:r>
      <w:r>
        <w:t xml:space="preserve">for </w:t>
      </w:r>
      <w:r w:rsidR="00B66011">
        <w:t xml:space="preserve">Civil Rights (OCR) rescinded guidance that required </w:t>
      </w:r>
      <w:r>
        <w:t xml:space="preserve">states to conduct </w:t>
      </w:r>
      <w:r w:rsidR="00B66011">
        <w:t xml:space="preserve">civil rights reviews for vocational programs separately from other federally-required monitoring under the Strengthening Career and Technical Education for the 21st Century Act (also known as Perkins V). OCR required all states to submit revised </w:t>
      </w:r>
      <w:r>
        <w:t xml:space="preserve">monitoring </w:t>
      </w:r>
      <w:r w:rsidR="00B66011">
        <w:t xml:space="preserve">plans </w:t>
      </w:r>
      <w:r>
        <w:t xml:space="preserve">(known as Methods of Administration, or MOA) </w:t>
      </w:r>
      <w:r w:rsidR="00B66011">
        <w:t xml:space="preserve">for approval. </w:t>
      </w:r>
      <w:r>
        <w:t xml:space="preserve">Our </w:t>
      </w:r>
      <w:r w:rsidR="00B66011">
        <w:t xml:space="preserve">OCCTE staff </w:t>
      </w:r>
      <w:r>
        <w:t xml:space="preserve">devised a </w:t>
      </w:r>
      <w:r w:rsidR="00B66011">
        <w:t>review</w:t>
      </w:r>
      <w:r>
        <w:t xml:space="preserve"> process that covers the requirements </w:t>
      </w:r>
      <w:r w:rsidR="00B66011">
        <w:t>while enhancing efficiencies and streamlining the process for the field</w:t>
      </w:r>
      <w:r>
        <w:t xml:space="preserve">. The </w:t>
      </w:r>
      <w:r w:rsidR="00B66011">
        <w:t xml:space="preserve">new merged process </w:t>
      </w:r>
      <w:r>
        <w:t xml:space="preserve">is </w:t>
      </w:r>
      <w:r w:rsidR="00B66011">
        <w:t xml:space="preserve">to be implemented in the 2021-2022 school year. OCR </w:t>
      </w:r>
      <w:r>
        <w:t xml:space="preserve">has </w:t>
      </w:r>
      <w:r w:rsidR="00B66011">
        <w:t xml:space="preserve">approved our streamlined </w:t>
      </w:r>
      <w:r>
        <w:t xml:space="preserve">monitoring </w:t>
      </w:r>
      <w:r w:rsidR="00B66011">
        <w:t>plan, which will be a key part of the Department’s system to support districts in promoting equitable access to CVTE programs.</w:t>
      </w:r>
      <w:r w:rsidR="00B66011">
        <w:br/>
      </w:r>
    </w:p>
    <w:p w14:paraId="51CB8DD7" w14:textId="3A764128" w:rsidR="00DA12E1" w:rsidRDefault="00B66011">
      <w:pPr>
        <w:widowControl/>
      </w:pPr>
      <w:r w:rsidRPr="23029D37">
        <w:rPr>
          <w:color w:val="1D2228"/>
          <w:u w:val="single"/>
        </w:rPr>
        <w:t>CVTE COVID-Related Reopening Guidelines</w:t>
      </w:r>
      <w:r w:rsidRPr="23029D37">
        <w:rPr>
          <w:color w:val="1D2228"/>
        </w:rPr>
        <w:t xml:space="preserve">: The Department worked with the </w:t>
      </w:r>
      <w:r>
        <w:t xml:space="preserve">CVTE Reopening Guidance Group in partnership with </w:t>
      </w:r>
      <w:r w:rsidRPr="23029D37">
        <w:rPr>
          <w:color w:val="1D2228"/>
        </w:rPr>
        <w:t xml:space="preserve">the Massachusetts Association of Vocational Administrators to develop </w:t>
      </w:r>
      <w:hyperlink r:id="rId19">
        <w:r w:rsidRPr="23029D37">
          <w:rPr>
            <w:rStyle w:val="Hyperlink"/>
          </w:rPr>
          <w:t>CVTE-specific reopening guidelines</w:t>
        </w:r>
      </w:hyperlink>
      <w:r w:rsidRPr="23029D37">
        <w:rPr>
          <w:color w:val="1D2228"/>
        </w:rPr>
        <w:t xml:space="preserve"> for operating vocational programs safely during the pandemic</w:t>
      </w:r>
      <w:r w:rsidR="008E431B">
        <w:rPr>
          <w:color w:val="1D2228"/>
        </w:rPr>
        <w:t xml:space="preserve">. The </w:t>
      </w:r>
      <w:r w:rsidRPr="23029D37">
        <w:rPr>
          <w:color w:val="1D2228"/>
        </w:rPr>
        <w:t xml:space="preserve">Department released </w:t>
      </w:r>
      <w:r w:rsidR="008E431B">
        <w:rPr>
          <w:color w:val="1D2228"/>
        </w:rPr>
        <w:t xml:space="preserve">the guidelines </w:t>
      </w:r>
      <w:r w:rsidRPr="23029D37">
        <w:rPr>
          <w:color w:val="1D2228"/>
        </w:rPr>
        <w:t xml:space="preserve">on July 29, 2020 </w:t>
      </w:r>
      <w:r w:rsidR="008E431B">
        <w:rPr>
          <w:color w:val="1D2228"/>
        </w:rPr>
        <w:t xml:space="preserve">and </w:t>
      </w:r>
      <w:r w:rsidRPr="23029D37">
        <w:rPr>
          <w:color w:val="1D2228"/>
        </w:rPr>
        <w:t xml:space="preserve">updated </w:t>
      </w:r>
      <w:r w:rsidR="008E431B">
        <w:rPr>
          <w:color w:val="1D2228"/>
        </w:rPr>
        <w:t xml:space="preserve">them on </w:t>
      </w:r>
      <w:r w:rsidRPr="23029D37">
        <w:rPr>
          <w:color w:val="1D2228"/>
        </w:rPr>
        <w:t>August 31, 2020.</w:t>
      </w:r>
      <w:r w:rsidR="008E431B">
        <w:rPr>
          <w:color w:val="1D2228"/>
        </w:rPr>
        <w:t xml:space="preserve"> Our staff are continuing to work with school and district leaders to address issues as they arise.</w:t>
      </w:r>
    </w:p>
    <w:p w14:paraId="51CB8DD8" w14:textId="77777777" w:rsidR="00DA12E1" w:rsidRDefault="00DA12E1">
      <w:pPr>
        <w:widowControl/>
        <w:rPr>
          <w:color w:val="1D2228"/>
        </w:rPr>
      </w:pPr>
    </w:p>
    <w:p w14:paraId="51CB8DD9" w14:textId="12A2302E" w:rsidR="00DA12E1" w:rsidRDefault="00B66011">
      <w:pPr>
        <w:widowControl/>
      </w:pPr>
      <w:r>
        <w:rPr>
          <w:color w:val="1D2228"/>
          <w:u w:val="single"/>
        </w:rPr>
        <w:t>CVTE Emergency Admissions Guidance</w:t>
      </w:r>
      <w:r>
        <w:rPr>
          <w:color w:val="1D2228"/>
        </w:rPr>
        <w:t xml:space="preserve">: </w:t>
      </w:r>
      <w:r w:rsidR="008E431B">
        <w:rPr>
          <w:color w:val="1D2228"/>
        </w:rPr>
        <w:t xml:space="preserve">The pandemic prompted a </w:t>
      </w:r>
      <w:r>
        <w:rPr>
          <w:color w:val="1D2228"/>
        </w:rPr>
        <w:t>need for innovative approaches to student recruitment, the application process, and admissions procedures</w:t>
      </w:r>
      <w:r w:rsidR="008E431B">
        <w:rPr>
          <w:color w:val="1D2228"/>
        </w:rPr>
        <w:t xml:space="preserve"> for the 2020-2021 school year. T</w:t>
      </w:r>
      <w:r>
        <w:rPr>
          <w:color w:val="1D2228"/>
        </w:rPr>
        <w:t>he Department collaborated with stakeholders (students, parents, and guidance and admissions staff) to develop guidance and offer best practices from across the Commonwealth</w:t>
      </w:r>
      <w:r w:rsidR="008E431B">
        <w:rPr>
          <w:color w:val="1D2228"/>
        </w:rPr>
        <w:t>,</w:t>
      </w:r>
      <w:r>
        <w:rPr>
          <w:color w:val="1D2228"/>
        </w:rPr>
        <w:t xml:space="preserve"> and published the </w:t>
      </w:r>
      <w:hyperlink r:id="rId20" w:history="1">
        <w:r>
          <w:rPr>
            <w:rStyle w:val="Hyperlink"/>
          </w:rPr>
          <w:t>Chapter 74 CVTE Emergency Admissions Guidance</w:t>
        </w:r>
      </w:hyperlink>
      <w:r>
        <w:rPr>
          <w:color w:val="1D2228"/>
        </w:rPr>
        <w:t xml:space="preserve"> on October 7, 2020. The Department is using the input received through the process of drafting this guidance as a springboard for issues that may need to be addressed through the regulatory change process.</w:t>
      </w:r>
    </w:p>
    <w:p w14:paraId="51CB8DDB" w14:textId="77777777" w:rsidR="00DA12E1" w:rsidRDefault="00DA12E1">
      <w:pPr>
        <w:widowControl/>
        <w:rPr>
          <w:color w:val="1D2228"/>
        </w:rPr>
      </w:pPr>
    </w:p>
    <w:p w14:paraId="51CB8DDC" w14:textId="52015195" w:rsidR="00DA12E1" w:rsidRDefault="00B66011">
      <w:pPr>
        <w:widowControl/>
        <w:rPr>
          <w:color w:val="1D2228"/>
        </w:rPr>
      </w:pPr>
      <w:r>
        <w:rPr>
          <w:color w:val="1D2228"/>
        </w:rPr>
        <w:lastRenderedPageBreak/>
        <w:t>Department staff, including Senior Associate Commissioner Cliff Chuang, Associate Commissioner Elizabeth Bennett, and Timothy Moriarty, a Harvard Graduate School of Education doctoral resident with OCCTE, will be at the December meeting to address the Board and answer questions.</w:t>
      </w:r>
    </w:p>
    <w:p w14:paraId="17A39175" w14:textId="743E41C6" w:rsidR="008E431B" w:rsidRDefault="008E431B">
      <w:pPr>
        <w:widowControl/>
        <w:rPr>
          <w:color w:val="1D2228"/>
        </w:rPr>
      </w:pPr>
    </w:p>
    <w:p w14:paraId="5707765A" w14:textId="77777777" w:rsidR="008E431B" w:rsidRDefault="008E431B">
      <w:pPr>
        <w:widowControl/>
        <w:rPr>
          <w:color w:val="1D2228"/>
        </w:rPr>
      </w:pPr>
    </w:p>
    <w:p w14:paraId="136E3534" w14:textId="237B94C8" w:rsidR="008E431B" w:rsidRPr="008E431B" w:rsidRDefault="008E431B">
      <w:pPr>
        <w:widowControl/>
      </w:pPr>
      <w:r w:rsidRPr="002A7488">
        <w:rPr>
          <w:b/>
          <w:bCs/>
          <w:color w:val="1D2228"/>
        </w:rPr>
        <w:t>Attachment:</w:t>
      </w:r>
      <w:r>
        <w:rPr>
          <w:color w:val="1D2228"/>
        </w:rPr>
        <w:t xml:space="preserve"> 603 </w:t>
      </w:r>
      <w:r w:rsidRPr="008E431B">
        <w:rPr>
          <w:color w:val="1D2228"/>
        </w:rPr>
        <w:t xml:space="preserve">CMR </w:t>
      </w:r>
      <w:r w:rsidRPr="002A7488">
        <w:t>4.03(6)(a) – Current MA Regulation on Vocational Admissions</w:t>
      </w:r>
    </w:p>
    <w:p w14:paraId="32B6ED3A" w14:textId="77777777" w:rsidR="00B66011" w:rsidRDefault="00B66011">
      <w:pPr>
        <w:widowControl/>
        <w:rPr>
          <w:color w:val="1D2228"/>
          <w:szCs w:val="24"/>
        </w:rPr>
      </w:pPr>
    </w:p>
    <w:p w14:paraId="51CB8DE0" w14:textId="3E811AC6" w:rsidR="008E431B" w:rsidRDefault="008E431B">
      <w:pPr>
        <w:widowControl/>
        <w:suppressAutoHyphens w:val="0"/>
        <w:rPr>
          <w:rFonts w:eastAsia="Calibri"/>
          <w:szCs w:val="24"/>
        </w:rPr>
      </w:pPr>
      <w:r>
        <w:br w:type="page"/>
      </w:r>
    </w:p>
    <w:p w14:paraId="29608760" w14:textId="52BE91C7" w:rsidR="008E431B" w:rsidRDefault="008E431B" w:rsidP="008E431B">
      <w:pPr>
        <w:pStyle w:val="ListParagraph"/>
        <w:jc w:val="center"/>
        <w:rPr>
          <w:b/>
          <w:bCs/>
        </w:rPr>
      </w:pPr>
      <w:r w:rsidRPr="002A7488">
        <w:rPr>
          <w:b/>
          <w:bCs/>
        </w:rPr>
        <w:lastRenderedPageBreak/>
        <w:t>A</w:t>
      </w:r>
      <w:r>
        <w:rPr>
          <w:b/>
          <w:bCs/>
        </w:rPr>
        <w:t>TTACHMENT</w:t>
      </w:r>
      <w:r w:rsidRPr="002A7488">
        <w:rPr>
          <w:b/>
          <w:bCs/>
        </w:rPr>
        <w:t xml:space="preserve"> A </w:t>
      </w:r>
    </w:p>
    <w:p w14:paraId="79ECFD76" w14:textId="7664A06E" w:rsidR="00DA12E1" w:rsidRDefault="008E431B" w:rsidP="002A7488">
      <w:pPr>
        <w:pStyle w:val="ListParagraph"/>
        <w:jc w:val="center"/>
        <w:rPr>
          <w:b/>
          <w:bCs/>
        </w:rPr>
      </w:pPr>
      <w:r w:rsidRPr="002A7488">
        <w:rPr>
          <w:b/>
          <w:bCs/>
        </w:rPr>
        <w:t>603 CMR 4.03(6)(a)</w:t>
      </w:r>
      <w:r>
        <w:rPr>
          <w:b/>
          <w:bCs/>
        </w:rPr>
        <w:t xml:space="preserve"> – Current MA Regulation on Vocational Admissions </w:t>
      </w:r>
    </w:p>
    <w:p w14:paraId="619A8AB7" w14:textId="00C88818" w:rsidR="008E431B" w:rsidRDefault="008E431B" w:rsidP="23029D37">
      <w:pPr>
        <w:pStyle w:val="ListParagraph"/>
        <w:rPr>
          <w:b/>
          <w:bCs/>
        </w:rPr>
      </w:pPr>
    </w:p>
    <w:p w14:paraId="71407EB0" w14:textId="77777777" w:rsidR="008E431B" w:rsidRPr="002A7488" w:rsidRDefault="008E431B" w:rsidP="008E431B">
      <w:pPr>
        <w:widowControl/>
        <w:suppressAutoHyphens w:val="0"/>
        <w:autoSpaceDN/>
        <w:spacing w:after="150"/>
        <w:textAlignment w:val="auto"/>
        <w:rPr>
          <w:color w:val="333333"/>
          <w:szCs w:val="24"/>
        </w:rPr>
      </w:pPr>
      <w:r w:rsidRPr="002A7488">
        <w:rPr>
          <w:color w:val="333333"/>
          <w:szCs w:val="24"/>
        </w:rPr>
        <w:t>(6) </w:t>
      </w:r>
      <w:r w:rsidRPr="002A7488">
        <w:rPr>
          <w:b/>
          <w:bCs/>
          <w:color w:val="333333"/>
          <w:szCs w:val="24"/>
        </w:rPr>
        <w:t>Admission of Students</w:t>
      </w:r>
    </w:p>
    <w:p w14:paraId="52491DBF" w14:textId="77777777" w:rsidR="008E431B" w:rsidRPr="002A7488" w:rsidRDefault="008E431B" w:rsidP="008E431B">
      <w:pPr>
        <w:widowControl/>
        <w:suppressAutoHyphens w:val="0"/>
        <w:autoSpaceDN/>
        <w:spacing w:after="150"/>
        <w:ind w:left="720"/>
        <w:textAlignment w:val="auto"/>
        <w:rPr>
          <w:color w:val="333333"/>
          <w:szCs w:val="24"/>
        </w:rPr>
      </w:pPr>
      <w:r w:rsidRPr="002A7488">
        <w:rPr>
          <w:color w:val="333333"/>
          <w:szCs w:val="24"/>
        </w:rPr>
        <w:t>(a) Each vocational technical school and comprehensive school which is selective in terms of admission to its secondary vocational technical programs shall develop and implement an admission policy that is consistent with the Department's "</w:t>
      </w:r>
      <w:r w:rsidRPr="002A7488">
        <w:rPr>
          <w:i/>
          <w:iCs/>
          <w:color w:val="333333"/>
          <w:szCs w:val="24"/>
        </w:rPr>
        <w:t>Guidelines for Admission Policies of Vocational Technical Secondary Schools and Comprehensive Secondary Schools</w:t>
      </w:r>
      <w:r w:rsidRPr="002A7488">
        <w:rPr>
          <w:color w:val="333333"/>
          <w:szCs w:val="24"/>
        </w:rPr>
        <w:t>"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following:</w:t>
      </w:r>
    </w:p>
    <w:p w14:paraId="5A07134F" w14:textId="77777777" w:rsidR="008E431B" w:rsidRPr="002A7488" w:rsidRDefault="008E431B" w:rsidP="008E431B">
      <w:pPr>
        <w:widowControl/>
        <w:numPr>
          <w:ilvl w:val="0"/>
          <w:numId w:val="3"/>
        </w:numPr>
        <w:suppressAutoHyphens w:val="0"/>
        <w:autoSpaceDN/>
        <w:spacing w:after="150"/>
        <w:ind w:left="1440"/>
        <w:textAlignment w:val="auto"/>
        <w:rPr>
          <w:color w:val="333333"/>
          <w:szCs w:val="24"/>
        </w:rPr>
      </w:pPr>
      <w:r w:rsidRPr="002A7488">
        <w:rPr>
          <w:color w:val="333333"/>
          <w:szCs w:val="24"/>
        </w:rPr>
        <w:t xml:space="preserve">The criteria to be used in selecting students and the process for application and admission to the school. Each selective vocational technical secondary school in Massachusetts shall use a combination of selection criteria to determine which applicants have an ability to benefit, and therefore be admitted to the school unless the school opts to use first come-first served or a lottery for admissions. The criteria used shall include academic grades, attendance record, discipline/conduct record, recommendations from the sending-school school counselor, and may include a student interview, provided however, that no one criterion exceeds 50% of the total. Resident students who meet the minimum requirements for admission shall be admitted prior to acceptance of any non-resident students seeking the same course of study. Schools shall condition admission on a student having been promoted to the grade that they have been admitted </w:t>
      </w:r>
      <w:proofErr w:type="gramStart"/>
      <w:r w:rsidRPr="002A7488">
        <w:rPr>
          <w:color w:val="333333"/>
          <w:szCs w:val="24"/>
        </w:rPr>
        <w:t>to enter</w:t>
      </w:r>
      <w:proofErr w:type="gramEnd"/>
      <w:r w:rsidRPr="002A7488">
        <w:rPr>
          <w:color w:val="333333"/>
          <w:szCs w:val="24"/>
        </w:rPr>
        <w:t>. Schools may condition admission on a student having passed courses in English Language Arts or its equivalent and mathematics for the school year immediately preceding their enrollment in a selective vocational technical school or program;</w:t>
      </w:r>
    </w:p>
    <w:p w14:paraId="5C7C9F41" w14:textId="77777777" w:rsidR="008E431B" w:rsidRPr="002A7488" w:rsidRDefault="008E431B" w:rsidP="008E431B">
      <w:pPr>
        <w:widowControl/>
        <w:numPr>
          <w:ilvl w:val="0"/>
          <w:numId w:val="3"/>
        </w:numPr>
        <w:suppressAutoHyphens w:val="0"/>
        <w:autoSpaceDN/>
        <w:spacing w:after="150"/>
        <w:ind w:left="1440"/>
        <w:textAlignment w:val="auto"/>
        <w:rPr>
          <w:color w:val="333333"/>
          <w:szCs w:val="24"/>
        </w:rPr>
      </w:pPr>
      <w:r w:rsidRPr="002A7488">
        <w:rPr>
          <w:color w:val="333333"/>
          <w:szCs w:val="24"/>
        </w:rPr>
        <w:t>A description of the Exploratory Program;</w:t>
      </w:r>
    </w:p>
    <w:p w14:paraId="33F66D7C" w14:textId="77777777" w:rsidR="008E431B" w:rsidRPr="002A7488" w:rsidRDefault="008E431B" w:rsidP="008E431B">
      <w:pPr>
        <w:widowControl/>
        <w:numPr>
          <w:ilvl w:val="0"/>
          <w:numId w:val="3"/>
        </w:numPr>
        <w:suppressAutoHyphens w:val="0"/>
        <w:autoSpaceDN/>
        <w:spacing w:after="150"/>
        <w:ind w:left="1440"/>
        <w:textAlignment w:val="auto"/>
        <w:rPr>
          <w:color w:val="333333"/>
          <w:szCs w:val="24"/>
        </w:rPr>
      </w:pPr>
      <w:r w:rsidRPr="002A7488">
        <w:rPr>
          <w:color w:val="333333"/>
          <w:szCs w:val="24"/>
        </w:rPr>
        <w:t>The criteria and process to be used in selecting students for admission to particular vocational technical education programs commonly referred to as vocational technical majors within the selective vocational technical secondary school or comprehensive secondary school; and</w:t>
      </w:r>
    </w:p>
    <w:p w14:paraId="0FD304F8" w14:textId="77777777" w:rsidR="008E431B" w:rsidRPr="002A7488" w:rsidRDefault="008E431B" w:rsidP="008E431B">
      <w:pPr>
        <w:widowControl/>
        <w:numPr>
          <w:ilvl w:val="0"/>
          <w:numId w:val="3"/>
        </w:numPr>
        <w:suppressAutoHyphens w:val="0"/>
        <w:autoSpaceDN/>
        <w:spacing w:after="150"/>
        <w:ind w:left="1440"/>
        <w:textAlignment w:val="auto"/>
        <w:rPr>
          <w:color w:val="333333"/>
          <w:szCs w:val="24"/>
        </w:rPr>
      </w:pPr>
      <w:r w:rsidRPr="002A7488">
        <w:rPr>
          <w:b/>
          <w:bCs/>
          <w:color w:val="333333"/>
          <w:szCs w:val="24"/>
        </w:rPr>
        <w:t>A Review Process and an Appeal Process.</w:t>
      </w:r>
      <w:r w:rsidRPr="002A7488">
        <w:rPr>
          <w:color w:val="333333"/>
          <w:szCs w:val="24"/>
        </w:rPr>
        <w:t> A process at the school district level for students and parents/guardians to review and appeal the decision to deny the student admission to the school or program shall be included. The district shall maintain documentation as to the specific admission requirements that were not met, and must provide such documentation to the Department or to the student's parent/guardian upon request.</w:t>
      </w:r>
    </w:p>
    <w:p w14:paraId="2819ACA1" w14:textId="77777777" w:rsidR="008E431B" w:rsidRPr="008E431B" w:rsidRDefault="008E431B" w:rsidP="23029D37">
      <w:pPr>
        <w:pStyle w:val="ListParagraph"/>
      </w:pPr>
    </w:p>
    <w:p w14:paraId="53D0C3AF" w14:textId="0AEFE360" w:rsidR="008E431B" w:rsidRDefault="008E431B" w:rsidP="23029D37">
      <w:pPr>
        <w:pStyle w:val="ListParagraph"/>
      </w:pPr>
    </w:p>
    <w:p w14:paraId="2FF28256" w14:textId="77777777" w:rsidR="008E431B" w:rsidRDefault="008E431B" w:rsidP="23029D37">
      <w:pPr>
        <w:pStyle w:val="ListParagraph"/>
      </w:pPr>
    </w:p>
    <w:sectPr w:rsidR="008E431B">
      <w:endnotePr>
        <w:numFmt w:val="decimal"/>
      </w:endnotePr>
      <w:type w:val="continuous"/>
      <w:pgSz w:w="12240" w:h="15840"/>
      <w:pgMar w:top="864" w:right="1440" w:bottom="1440"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76E36" w14:textId="77777777" w:rsidR="005B7E99" w:rsidRDefault="005B7E99">
      <w:r>
        <w:separator/>
      </w:r>
    </w:p>
  </w:endnote>
  <w:endnote w:type="continuationSeparator" w:id="0">
    <w:p w14:paraId="782700B8" w14:textId="77777777" w:rsidR="005B7E99" w:rsidRDefault="005B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B8D8E" w14:textId="77777777" w:rsidR="00B75F51" w:rsidRDefault="00B66011">
    <w:pPr>
      <w:pStyle w:val="Footer"/>
      <w:jc w:val="right"/>
    </w:pPr>
    <w:r>
      <w:fldChar w:fldCharType="begin"/>
    </w:r>
    <w:r>
      <w:instrText xml:space="preserve"> PAGE </w:instrText>
    </w:r>
    <w:r>
      <w:fldChar w:fldCharType="separate"/>
    </w:r>
    <w:r>
      <w:t>2</w:t>
    </w:r>
    <w:r>
      <w:fldChar w:fldCharType="end"/>
    </w:r>
  </w:p>
  <w:p w14:paraId="51CB8D8F" w14:textId="77777777" w:rsidR="00B75F51" w:rsidRDefault="005B7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F904" w14:textId="2F2DE6C1" w:rsidR="00BB215F" w:rsidRDefault="00BB215F">
    <w:pPr>
      <w:pStyle w:val="Footer"/>
      <w:jc w:val="right"/>
    </w:pPr>
  </w:p>
  <w:p w14:paraId="51CB8D98" w14:textId="77777777" w:rsidR="00B75F51" w:rsidRDefault="005B7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710D4" w14:textId="77777777" w:rsidR="005B7E99" w:rsidRDefault="005B7E99">
      <w:r>
        <w:rPr>
          <w:color w:val="000000"/>
        </w:rPr>
        <w:separator/>
      </w:r>
    </w:p>
  </w:footnote>
  <w:footnote w:type="continuationSeparator" w:id="0">
    <w:p w14:paraId="75CBCBEC" w14:textId="77777777" w:rsidR="005B7E99" w:rsidRDefault="005B7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67AE"/>
    <w:multiLevelType w:val="multilevel"/>
    <w:tmpl w:val="7E2E3F8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454705D5"/>
    <w:multiLevelType w:val="multilevel"/>
    <w:tmpl w:val="D5083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6172FD"/>
    <w:multiLevelType w:val="multilevel"/>
    <w:tmpl w:val="333E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2E1"/>
    <w:rsid w:val="000C3ADA"/>
    <w:rsid w:val="000C7C3C"/>
    <w:rsid w:val="0014FD73"/>
    <w:rsid w:val="00193BCA"/>
    <w:rsid w:val="002138C6"/>
    <w:rsid w:val="002265E2"/>
    <w:rsid w:val="00252A00"/>
    <w:rsid w:val="002774CC"/>
    <w:rsid w:val="002A7488"/>
    <w:rsid w:val="00352DC2"/>
    <w:rsid w:val="003E6855"/>
    <w:rsid w:val="003F0A6A"/>
    <w:rsid w:val="00443B65"/>
    <w:rsid w:val="004C0826"/>
    <w:rsid w:val="00515755"/>
    <w:rsid w:val="005B7E99"/>
    <w:rsid w:val="006E20C5"/>
    <w:rsid w:val="007442A7"/>
    <w:rsid w:val="007D4B50"/>
    <w:rsid w:val="007F2984"/>
    <w:rsid w:val="008E431B"/>
    <w:rsid w:val="009B0285"/>
    <w:rsid w:val="00B52786"/>
    <w:rsid w:val="00B66011"/>
    <w:rsid w:val="00BB215F"/>
    <w:rsid w:val="00C23C71"/>
    <w:rsid w:val="00DA12E1"/>
    <w:rsid w:val="00E05D6F"/>
    <w:rsid w:val="00E120EC"/>
    <w:rsid w:val="00EC2660"/>
    <w:rsid w:val="00F3358F"/>
    <w:rsid w:val="00F53AFF"/>
    <w:rsid w:val="05F761B5"/>
    <w:rsid w:val="0698426F"/>
    <w:rsid w:val="08002676"/>
    <w:rsid w:val="08796E66"/>
    <w:rsid w:val="09FC166A"/>
    <w:rsid w:val="0A153EC7"/>
    <w:rsid w:val="0A7A0EB0"/>
    <w:rsid w:val="0A8A6B79"/>
    <w:rsid w:val="0B538ECA"/>
    <w:rsid w:val="0C7473B2"/>
    <w:rsid w:val="0E1C365D"/>
    <w:rsid w:val="0FB7048D"/>
    <w:rsid w:val="12C48E7D"/>
    <w:rsid w:val="12EC796D"/>
    <w:rsid w:val="15D50BA6"/>
    <w:rsid w:val="161EC3E9"/>
    <w:rsid w:val="170FC85E"/>
    <w:rsid w:val="1BB5F81B"/>
    <w:rsid w:val="1C2B24CD"/>
    <w:rsid w:val="1D4356A7"/>
    <w:rsid w:val="1D51C87C"/>
    <w:rsid w:val="1DC6F52E"/>
    <w:rsid w:val="1E33BC58"/>
    <w:rsid w:val="1E652FA6"/>
    <w:rsid w:val="2055CE5F"/>
    <w:rsid w:val="2239B7C8"/>
    <w:rsid w:val="22669597"/>
    <w:rsid w:val="22B38EAE"/>
    <w:rsid w:val="23029D37"/>
    <w:rsid w:val="240773C3"/>
    <w:rsid w:val="24989912"/>
    <w:rsid w:val="25D20713"/>
    <w:rsid w:val="265F4EF0"/>
    <w:rsid w:val="27BCE5FD"/>
    <w:rsid w:val="28EC5193"/>
    <w:rsid w:val="293B05F9"/>
    <w:rsid w:val="2954779F"/>
    <w:rsid w:val="2AF486BF"/>
    <w:rsid w:val="2D14C20D"/>
    <w:rsid w:val="2D92901B"/>
    <w:rsid w:val="2FF29BE2"/>
    <w:rsid w:val="31896E6A"/>
    <w:rsid w:val="32EDE9C2"/>
    <w:rsid w:val="34544802"/>
    <w:rsid w:val="34A3568B"/>
    <w:rsid w:val="34BA6120"/>
    <w:rsid w:val="36285181"/>
    <w:rsid w:val="367F9969"/>
    <w:rsid w:val="38D3BFB7"/>
    <w:rsid w:val="3927B925"/>
    <w:rsid w:val="39853983"/>
    <w:rsid w:val="399E61E0"/>
    <w:rsid w:val="3A629D1B"/>
    <w:rsid w:val="3AF851EB"/>
    <w:rsid w:val="3B12980F"/>
    <w:rsid w:val="3B836A43"/>
    <w:rsid w:val="3CAD8C9A"/>
    <w:rsid w:val="3EB623F9"/>
    <w:rsid w:val="3F448013"/>
    <w:rsid w:val="42015259"/>
    <w:rsid w:val="43C4DA33"/>
    <w:rsid w:val="45CFBD8E"/>
    <w:rsid w:val="45FE0A5C"/>
    <w:rsid w:val="477D2E68"/>
    <w:rsid w:val="4BE5950B"/>
    <w:rsid w:val="4DA7E2F5"/>
    <w:rsid w:val="4E94E8A0"/>
    <w:rsid w:val="527297F3"/>
    <w:rsid w:val="53776E7F"/>
    <w:rsid w:val="53EE3259"/>
    <w:rsid w:val="541CDA29"/>
    <w:rsid w:val="54DC1BE9"/>
    <w:rsid w:val="55B8AA8A"/>
    <w:rsid w:val="55DDE78F"/>
    <w:rsid w:val="58F04B4C"/>
    <w:rsid w:val="59DF8383"/>
    <w:rsid w:val="5C5D1062"/>
    <w:rsid w:val="5CAE1A96"/>
    <w:rsid w:val="5D57877C"/>
    <w:rsid w:val="5FE36935"/>
    <w:rsid w:val="60E02A1F"/>
    <w:rsid w:val="60E8109D"/>
    <w:rsid w:val="6214CF0E"/>
    <w:rsid w:val="621DA5A8"/>
    <w:rsid w:val="6576B21C"/>
    <w:rsid w:val="65785F89"/>
    <w:rsid w:val="66BC7449"/>
    <w:rsid w:val="66EDDF0A"/>
    <w:rsid w:val="6700E918"/>
    <w:rsid w:val="673C83FF"/>
    <w:rsid w:val="6768AAAA"/>
    <w:rsid w:val="679350D7"/>
    <w:rsid w:val="69047B0B"/>
    <w:rsid w:val="69CC8148"/>
    <w:rsid w:val="6B6C65CF"/>
    <w:rsid w:val="6C45FD5E"/>
    <w:rsid w:val="6D808ABB"/>
    <w:rsid w:val="6E56FA71"/>
    <w:rsid w:val="6F73BC8F"/>
    <w:rsid w:val="6FA24C3B"/>
    <w:rsid w:val="6FF2CAD2"/>
    <w:rsid w:val="7041D95B"/>
    <w:rsid w:val="7255504F"/>
    <w:rsid w:val="72E38E47"/>
    <w:rsid w:val="752E6ACA"/>
    <w:rsid w:val="758E5BB1"/>
    <w:rsid w:val="76710877"/>
    <w:rsid w:val="768B74F6"/>
    <w:rsid w:val="797F5219"/>
    <w:rsid w:val="7A8A3CC7"/>
    <w:rsid w:val="7C8630C8"/>
    <w:rsid w:val="7E750BC1"/>
    <w:rsid w:val="7E7F1C8E"/>
    <w:rsid w:val="7EB79F52"/>
    <w:rsid w:val="7EC41A4A"/>
    <w:rsid w:val="7FA840F7"/>
    <w:rsid w:val="7FAFC8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8D7C"/>
  <w15:docId w15:val="{74EF91B7-723A-4CB9-8E38-57E7C9F3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Normal"/>
    <w:next w:val="Normal"/>
    <w:uiPriority w:val="9"/>
    <w:qFormat/>
    <w:pPr>
      <w:keepNext/>
      <w:tabs>
        <w:tab w:val="center" w:pos="4680"/>
      </w:tabs>
      <w:jc w:val="center"/>
      <w:outlineLvl w:val="0"/>
    </w:pPr>
    <w:rPr>
      <w:b/>
    </w:rPr>
  </w:style>
  <w:style w:type="paragraph" w:styleId="Heading2">
    <w:name w:val="heading 2"/>
    <w:basedOn w:val="Normal"/>
    <w:next w:val="Normal"/>
    <w:uiPriority w:val="9"/>
    <w:unhideWhenUsed/>
    <w:qFormat/>
    <w:pPr>
      <w:keepNext/>
      <w:ind w:left="720"/>
      <w:jc w:val="right"/>
      <w:outlineLvl w:val="1"/>
    </w:pPr>
    <w:rPr>
      <w:rFonts w:ascii="Arial" w:hAnsi="Arial"/>
      <w:i/>
      <w:sz w:val="18"/>
    </w:rPr>
  </w:style>
  <w:style w:type="paragraph" w:styleId="Heading3">
    <w:name w:val="heading 3"/>
    <w:basedOn w:val="Normal"/>
    <w:next w:val="Normal"/>
    <w:uiPriority w:val="9"/>
    <w:unhideWhenUsed/>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Footer">
    <w:name w:val="footer"/>
    <w:basedOn w:val="Normal"/>
    <w:uiPriority w:val="99"/>
    <w:pPr>
      <w:widowControl/>
      <w:tabs>
        <w:tab w:val="center" w:pos="4320"/>
        <w:tab w:val="right" w:pos="8640"/>
      </w:tabs>
    </w:pPr>
    <w:rPr>
      <w:szCs w:val="24"/>
    </w:rPr>
  </w:style>
  <w:style w:type="character" w:customStyle="1" w:styleId="FooterChar">
    <w:name w:val="Footer Char"/>
    <w:basedOn w:val="DefaultParagraphFont"/>
    <w:uiPriority w:val="99"/>
    <w:rPr>
      <w:sz w:val="24"/>
      <w:szCs w:val="24"/>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rPr>
  </w:style>
  <w:style w:type="character" w:styleId="Hyperlink">
    <w:name w:val="Hyperlink"/>
    <w:basedOn w:val="DefaultParagraphFont"/>
    <w:rPr>
      <w:color w:val="0000FF"/>
      <w:u w:val="single"/>
    </w:rPr>
  </w:style>
  <w:style w:type="paragraph" w:styleId="NoSpacing">
    <w:name w:val="No Spacing"/>
    <w:pPr>
      <w:suppressAutoHyphens/>
    </w:pPr>
    <w:rPr>
      <w:rFonts w:ascii="Calibri" w:eastAsia="Calibri" w:hAnsi="Calibri" w:cs="Arial"/>
      <w:sz w:val="22"/>
      <w:szCs w:val="22"/>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widowControl/>
      <w:ind w:left="720"/>
    </w:pPr>
    <w:rPr>
      <w:rFonts w:eastAsia="Calibri"/>
      <w:szCs w:val="24"/>
    </w:rPr>
  </w:style>
  <w:style w:type="character" w:customStyle="1" w:styleId="ListParagraphChar">
    <w:name w:val="List Paragraph Char"/>
    <w:basedOn w:val="DefaultParagraphFont"/>
    <w:rPr>
      <w:rFonts w:eastAsia="Calibri"/>
      <w:sz w:val="24"/>
      <w:szCs w:val="24"/>
    </w:rPr>
  </w:style>
  <w:style w:type="character" w:styleId="Strong">
    <w:name w:val="Strong"/>
    <w:basedOn w:val="DefaultParagraphFont"/>
    <w:rPr>
      <w:b/>
      <w:bCs/>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styleId="FollowedHyperlink">
    <w:name w:val="FollowedHyperlink"/>
    <w:basedOn w:val="DefaultParagraphFont"/>
    <w:rPr>
      <w:color w:val="800080"/>
      <w:u w:val="single"/>
    </w:rPr>
  </w:style>
  <w:style w:type="paragraph" w:styleId="FootnoteText">
    <w:name w:val="footnote text"/>
    <w:basedOn w:val="Normal"/>
    <w:rPr>
      <w:sz w:val="20"/>
    </w:rPr>
  </w:style>
  <w:style w:type="character" w:customStyle="1" w:styleId="FootnoteTextChar">
    <w:name w:val="Footnote Text Char"/>
    <w:basedOn w:val="DefaultParagraphFont"/>
  </w:style>
  <w:style w:type="paragraph" w:styleId="NormalWeb">
    <w:name w:val="Normal (Web)"/>
    <w:basedOn w:val="Normal"/>
    <w:uiPriority w:val="99"/>
    <w:pPr>
      <w:widowControl/>
      <w:spacing w:before="100" w:after="100"/>
    </w:pPr>
    <w:rPr>
      <w:szCs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pple-converted-space">
    <w:name w:val="apple-converted-space"/>
    <w:basedOn w:val="DefaultParagraphFont"/>
    <w:rsid w:val="008E4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748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oe.mass.edu/research/reports/topic.aspx?topic=College,%20Career,%20and%20Technical%20Educ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ccte/cvte/data/" TargetMode="External"/><Relationship Id="rId2" Type="http://schemas.openxmlformats.org/officeDocument/2006/relationships/customXml" Target="../customXml/item2.xml"/><Relationship Id="rId16" Type="http://schemas.openxmlformats.org/officeDocument/2006/relationships/hyperlink" Target="https://www.doe.mass.edu/bese/councils/vte.html" TargetMode="External"/><Relationship Id="rId20" Type="http://schemas.openxmlformats.org/officeDocument/2006/relationships/hyperlink" Target="https://www.doe.mass.edu/covid19/ccte/cvte-emergency-admissions-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lawsregs/603cmr4.html?section=03" TargetMode="External"/><Relationship Id="rId10" Type="http://schemas.openxmlformats.org/officeDocument/2006/relationships/endnotes" Target="endnotes.xml"/><Relationship Id="rId19" Type="http://schemas.openxmlformats.org/officeDocument/2006/relationships/hyperlink" Target="https://www.doe.mass.edu/covid19/ccte/cvte-reopening-guid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20/2020-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DESE-231-66586</_dlc_DocId>
    <_dlc_DocIdUrl xmlns="733efe1c-5bbe-4968-87dc-d400e65c879f">
      <Url>https://sharepoint.doemass.org/ese/webteam/cps/_layouts/DocIdRedir.aspx?ID=DESE-231-66586</Url>
      <Description>DESE-231-66586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9982449-78A9-4EFC-8680-42DDB6419DC4}">
  <ds:schemaRefs>
    <ds:schemaRef ds:uri="http://schemas.microsoft.com/sharepoint/events"/>
  </ds:schemaRefs>
</ds:datastoreItem>
</file>

<file path=customXml/itemProps2.xml><?xml version="1.0" encoding="utf-8"?>
<ds:datastoreItem xmlns:ds="http://schemas.openxmlformats.org/officeDocument/2006/customXml" ds:itemID="{B8707E38-B53B-4BA6-B022-23AA5EC4D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83884-D7A6-4915-B24D-3819A54F221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C2FDCBE-5310-4CFC-8A8A-89BE36310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BESE December Item 3 Memo CVTE Update 120820_FINAL formatted</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2020 Item 3 Memo: CVTE Update</dc:title>
  <dc:creator>DESE</dc:creator>
  <cp:lastModifiedBy>Zou, Dong (EOE)</cp:lastModifiedBy>
  <cp:revision>4</cp:revision>
  <cp:lastPrinted>2008-03-05T18:17:00Z</cp:lastPrinted>
  <dcterms:created xsi:type="dcterms:W3CDTF">2020-12-08T18:55:00Z</dcterms:created>
  <dcterms:modified xsi:type="dcterms:W3CDTF">2020-12-09T16:44:00Z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2020</vt:lpwstr>
  </property>
</Properties>
</file>