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2D4CAC82" wp14:editId="79650B5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4054343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4AF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70787408" w14:textId="77777777" w:rsidTr="00D07151">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07151">
        <w:tc>
          <w:tcPr>
            <w:tcW w:w="1188" w:type="dxa"/>
          </w:tcPr>
          <w:p w14:paraId="58083D68" w14:textId="77777777" w:rsidR="0059178C" w:rsidRDefault="0059178C" w:rsidP="00DE25EB">
            <w:pPr>
              <w:rPr>
                <w:b/>
              </w:rPr>
            </w:pPr>
            <w:r>
              <w:rPr>
                <w:b/>
              </w:rPr>
              <w:t>From:</w:t>
            </w:r>
            <w:r>
              <w:tab/>
            </w:r>
          </w:p>
        </w:tc>
        <w:tc>
          <w:tcPr>
            <w:tcW w:w="8388" w:type="dxa"/>
          </w:tcPr>
          <w:p w14:paraId="4F28AB34"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07151">
        <w:tc>
          <w:tcPr>
            <w:tcW w:w="1188" w:type="dxa"/>
          </w:tcPr>
          <w:p w14:paraId="43395999" w14:textId="77777777" w:rsidR="0059178C" w:rsidRDefault="0059178C" w:rsidP="00DE25EB">
            <w:pPr>
              <w:rPr>
                <w:b/>
              </w:rPr>
            </w:pPr>
            <w:r>
              <w:rPr>
                <w:b/>
              </w:rPr>
              <w:t>Date:</w:t>
            </w:r>
            <w:r>
              <w:tab/>
            </w:r>
          </w:p>
        </w:tc>
        <w:tc>
          <w:tcPr>
            <w:tcW w:w="8388" w:type="dxa"/>
          </w:tcPr>
          <w:p w14:paraId="0A2F20FF" w14:textId="62FCC056" w:rsidR="0059178C" w:rsidRDefault="00A67E01" w:rsidP="00051208">
            <w:pPr>
              <w:pStyle w:val="Footer"/>
              <w:widowControl w:val="0"/>
              <w:tabs>
                <w:tab w:val="clear" w:pos="4320"/>
                <w:tab w:val="clear" w:pos="8640"/>
              </w:tabs>
              <w:rPr>
                <w:bCs/>
                <w:snapToGrid w:val="0"/>
                <w:szCs w:val="20"/>
              </w:rPr>
            </w:pPr>
            <w:r>
              <w:rPr>
                <w:bCs/>
                <w:snapToGrid w:val="0"/>
              </w:rPr>
              <w:t>January 15</w:t>
            </w:r>
            <w:r w:rsidR="00B3512A">
              <w:rPr>
                <w:bCs/>
                <w:snapToGrid w:val="0"/>
              </w:rPr>
              <w:t>, 202</w:t>
            </w:r>
            <w:r>
              <w:rPr>
                <w:bCs/>
                <w:snapToGrid w:val="0"/>
              </w:rPr>
              <w:t>1</w:t>
            </w:r>
            <w:r w:rsidR="00CC7968">
              <w:rPr>
                <w:bCs/>
                <w:snapToGrid w:val="0"/>
              </w:rPr>
              <w:t xml:space="preserve"> </w:t>
            </w:r>
          </w:p>
        </w:tc>
      </w:tr>
      <w:tr w:rsidR="0059178C" w14:paraId="5D0D4861" w14:textId="77777777" w:rsidTr="00D07151">
        <w:tc>
          <w:tcPr>
            <w:tcW w:w="1188" w:type="dxa"/>
          </w:tcPr>
          <w:p w14:paraId="3428D501" w14:textId="77777777" w:rsidR="0059178C" w:rsidRDefault="0059178C" w:rsidP="00DE25EB">
            <w:pPr>
              <w:rPr>
                <w:b/>
              </w:rPr>
            </w:pPr>
            <w:r>
              <w:rPr>
                <w:b/>
              </w:rPr>
              <w:t>Subject:</w:t>
            </w:r>
          </w:p>
        </w:tc>
        <w:tc>
          <w:tcPr>
            <w:tcW w:w="8388" w:type="dxa"/>
          </w:tcPr>
          <w:p w14:paraId="1D804615" w14:textId="57EB3FFC" w:rsidR="0059178C" w:rsidRPr="007A22FF" w:rsidRDefault="00BC0B4A" w:rsidP="0036239B">
            <w:pPr>
              <w:pStyle w:val="Footer"/>
              <w:widowControl w:val="0"/>
              <w:tabs>
                <w:tab w:val="clear" w:pos="4320"/>
                <w:tab w:val="clear" w:pos="8640"/>
              </w:tabs>
              <w:rPr>
                <w:bCs/>
                <w:snapToGrid w:val="0"/>
                <w:szCs w:val="20"/>
              </w:rPr>
            </w:pPr>
            <w:bookmarkStart w:id="0" w:name="_GoBack"/>
            <w:r w:rsidRPr="008562BE">
              <w:rPr>
                <w:bCs/>
                <w:snapToGrid w:val="0"/>
              </w:rPr>
              <w:t>Briefing</w:t>
            </w:r>
            <w:bookmarkEnd w:id="0"/>
            <w:r w:rsidRPr="008562BE">
              <w:rPr>
                <w:bCs/>
                <w:snapToGrid w:val="0"/>
              </w:rPr>
              <w:t xml:space="preserve"> for the</w:t>
            </w:r>
            <w:r w:rsidR="001B7307">
              <w:rPr>
                <w:bCs/>
                <w:snapToGrid w:val="0"/>
              </w:rPr>
              <w:t xml:space="preserve"> </w:t>
            </w:r>
            <w:r w:rsidR="00A67E01">
              <w:rPr>
                <w:bCs/>
                <w:snapToGrid w:val="0"/>
              </w:rPr>
              <w:t xml:space="preserve">January 26, 2021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35B75511" w:rsidR="00BC0B4A" w:rsidRDefault="00BC0B4A" w:rsidP="00B1455F">
      <w:pPr>
        <w:rPr>
          <w:szCs w:val="24"/>
        </w:rPr>
      </w:pPr>
      <w:r>
        <w:t xml:space="preserve">The next regular meeting of the Board of Elementary and Secondary Education will be on </w:t>
      </w:r>
      <w:r w:rsidR="00F869D6">
        <w:rPr>
          <w:b/>
        </w:rPr>
        <w:t>Tuesday</w:t>
      </w:r>
      <w:r w:rsidR="00F869D6" w:rsidRPr="00E31740">
        <w:rPr>
          <w:b/>
        </w:rPr>
        <w:t>,</w:t>
      </w:r>
      <w:r w:rsidR="00E31740" w:rsidRPr="00E31740">
        <w:rPr>
          <w:b/>
        </w:rPr>
        <w:t xml:space="preserve"> </w:t>
      </w:r>
      <w:r w:rsidR="00A67E01">
        <w:rPr>
          <w:b/>
        </w:rPr>
        <w:t>January 26</w:t>
      </w:r>
      <w:r w:rsidR="00E31740" w:rsidRPr="00E31740">
        <w:rPr>
          <w:b/>
        </w:rPr>
        <w:t>, 202</w:t>
      </w:r>
      <w:r w:rsidR="00A67E01">
        <w:rPr>
          <w:b/>
        </w:rPr>
        <w:t>1</w:t>
      </w:r>
      <w:r w:rsidR="00E31740" w:rsidRPr="00E31740">
        <w:rPr>
          <w:bCs/>
        </w:rPr>
        <w:t xml:space="preserve">, </w:t>
      </w:r>
      <w:r w:rsidR="00E31740">
        <w:rPr>
          <w:bCs/>
        </w:rPr>
        <w:t>a</w:t>
      </w:r>
      <w:r w:rsidR="00E31740" w:rsidRPr="00E31740">
        <w:rPr>
          <w:bCs/>
        </w:rPr>
        <w:t>t the Department of</w:t>
      </w:r>
      <w:r w:rsidR="00E31740">
        <w:rPr>
          <w:b/>
        </w:rPr>
        <w:t xml:space="preserve"> </w:t>
      </w:r>
      <w:r w:rsidR="00E31740">
        <w:rPr>
          <w:bCs/>
        </w:rPr>
        <w:t xml:space="preserve">Elementary and Secondary Education’s office in Malden. </w:t>
      </w:r>
      <w:r w:rsidR="0094752D" w:rsidRPr="002E78E2">
        <w:rPr>
          <w:szCs w:val="24"/>
        </w:rPr>
        <w:t xml:space="preserve">The meeting will start at </w:t>
      </w:r>
      <w:r w:rsidR="00C00296" w:rsidRPr="00E455B4">
        <w:rPr>
          <w:b/>
          <w:bCs/>
          <w:szCs w:val="24"/>
        </w:rPr>
        <w:t>9</w:t>
      </w:r>
      <w:r w:rsidR="0094752D" w:rsidRPr="00E455B4">
        <w:rPr>
          <w:b/>
          <w:bCs/>
          <w:szCs w:val="24"/>
        </w:rPr>
        <w:t>:00 a.m.</w:t>
      </w:r>
      <w:r w:rsidR="0094752D" w:rsidRPr="00E455B4">
        <w:rPr>
          <w:szCs w:val="24"/>
        </w:rPr>
        <w:t xml:space="preserve"> and should adjourn by</w:t>
      </w:r>
      <w:r w:rsidR="0094752D" w:rsidRPr="00E455B4">
        <w:rPr>
          <w:b/>
          <w:bCs/>
          <w:szCs w:val="24"/>
        </w:rPr>
        <w:t xml:space="preserve"> 1</w:t>
      </w:r>
      <w:r w:rsidR="002921D9" w:rsidRPr="00E455B4">
        <w:rPr>
          <w:b/>
          <w:bCs/>
          <w:szCs w:val="24"/>
        </w:rPr>
        <w:t>:</w:t>
      </w:r>
      <w:r w:rsidR="00C00296" w:rsidRPr="00E455B4">
        <w:rPr>
          <w:b/>
          <w:bCs/>
          <w:szCs w:val="24"/>
        </w:rPr>
        <w:t>0</w:t>
      </w:r>
      <w:r w:rsidR="002921D9" w:rsidRPr="00E455B4">
        <w:rPr>
          <w:b/>
          <w:bCs/>
          <w:szCs w:val="24"/>
        </w:rPr>
        <w:t>0 p.m</w:t>
      </w:r>
      <w:r w:rsidR="0094752D" w:rsidRPr="00E455B4">
        <w:rPr>
          <w:b/>
          <w:bCs/>
          <w:szCs w:val="24"/>
        </w:rPr>
        <w:t>.</w:t>
      </w:r>
      <w:r w:rsidR="0094752D" w:rsidRPr="00E455B4">
        <w:rPr>
          <w:szCs w:val="24"/>
        </w:rPr>
        <w:t xml:space="preserve"> </w:t>
      </w:r>
      <w:r w:rsidR="00804C35" w:rsidRPr="00E455B4">
        <w:rPr>
          <w:bCs/>
        </w:rPr>
        <w:t>As</w:t>
      </w:r>
      <w:r w:rsidR="00804C35">
        <w:rPr>
          <w:bCs/>
        </w:rPr>
        <w:t xml:space="preserve"> in </w:t>
      </w:r>
      <w:r w:rsidR="00A67E01">
        <w:rPr>
          <w:bCs/>
        </w:rPr>
        <w:t xml:space="preserve">recent </w:t>
      </w:r>
      <w:r w:rsidR="00C00296">
        <w:rPr>
          <w:bCs/>
        </w:rPr>
        <w:t>months</w:t>
      </w:r>
      <w:r w:rsidR="00804C35">
        <w:rPr>
          <w:bCs/>
        </w:rPr>
        <w:t xml:space="preserve">, the Board will meet in person, following </w:t>
      </w:r>
      <w:r w:rsidR="0094752D">
        <w:rPr>
          <w:bCs/>
        </w:rPr>
        <w:t>the Commonwealth’s health and safety guidelines, including limiting the number of people in our meeting room</w:t>
      </w:r>
      <w:r w:rsidR="00C00296">
        <w:rPr>
          <w:bCs/>
        </w:rPr>
        <w:t xml:space="preserve">, and </w:t>
      </w:r>
      <w:r w:rsidR="0094752D">
        <w:rPr>
          <w:bCs/>
        </w:rPr>
        <w:t xml:space="preserve">the meeting will be live-streamed. </w:t>
      </w:r>
      <w:r w:rsidRPr="002E78E2">
        <w:rPr>
          <w:szCs w:val="24"/>
        </w:rPr>
        <w:t xml:space="preserve">Helene Bettencourt </w:t>
      </w:r>
      <w:r w:rsidR="00B3512A">
        <w:rPr>
          <w:szCs w:val="24"/>
        </w:rPr>
        <w:t>and Courtney Sullivan will assist with all arrangements; please email or call them if you have any questions.</w:t>
      </w:r>
    </w:p>
    <w:p w14:paraId="440FDCB6" w14:textId="2F9303CA" w:rsidR="007F3035" w:rsidRDefault="007F3035" w:rsidP="00B1455F">
      <w:pPr>
        <w:rPr>
          <w:szCs w:val="24"/>
        </w:rPr>
      </w:pP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7DDE26EF" w:rsidR="00530966" w:rsidRDefault="00E31740" w:rsidP="00E730AC">
      <w:pPr>
        <w:widowControl/>
        <w:autoSpaceDE w:val="0"/>
        <w:autoSpaceDN w:val="0"/>
        <w:adjustRightInd w:val="0"/>
        <w:rPr>
          <w:szCs w:val="24"/>
        </w:rPr>
      </w:pPr>
      <w:r>
        <w:rPr>
          <w:szCs w:val="24"/>
        </w:rPr>
        <w:t>Our business agenda leads off with</w:t>
      </w:r>
      <w:r w:rsidR="001B7307">
        <w:rPr>
          <w:szCs w:val="24"/>
        </w:rPr>
        <w:t xml:space="preserve"> </w:t>
      </w:r>
      <w:r w:rsidR="0035327D">
        <w:rPr>
          <w:szCs w:val="24"/>
        </w:rPr>
        <w:t>a report</w:t>
      </w:r>
      <w:r w:rsidR="008B7138">
        <w:rPr>
          <w:szCs w:val="24"/>
        </w:rPr>
        <w:t xml:space="preserve"> on the Department’s recent actions to support s</w:t>
      </w:r>
      <w:r w:rsidR="008B7138" w:rsidRPr="008B7138">
        <w:t xml:space="preserve">chools, </w:t>
      </w:r>
      <w:r w:rsidR="008B7138">
        <w:t>s</w:t>
      </w:r>
      <w:r w:rsidR="008B7138" w:rsidRPr="008B7138">
        <w:t xml:space="preserve">tudents, and </w:t>
      </w:r>
      <w:r w:rsidR="008B7138">
        <w:t>f</w:t>
      </w:r>
      <w:r w:rsidR="008B7138" w:rsidRPr="008B7138">
        <w:t>amilies</w:t>
      </w:r>
      <w:r w:rsidR="008B7138">
        <w:t xml:space="preserve"> during the COVID-19 pandemic</w:t>
      </w:r>
      <w:r w:rsidR="0035327D" w:rsidRPr="0035327D">
        <w:t xml:space="preserve">, </w:t>
      </w:r>
      <w:r w:rsidR="00644FE1">
        <w:rPr>
          <w:szCs w:val="24"/>
        </w:rPr>
        <w:t>followed by</w:t>
      </w:r>
      <w:r w:rsidR="00A67E01">
        <w:rPr>
          <w:szCs w:val="24"/>
        </w:rPr>
        <w:t xml:space="preserve"> </w:t>
      </w:r>
      <w:r w:rsidR="00E60612">
        <w:rPr>
          <w:szCs w:val="24"/>
        </w:rPr>
        <w:t xml:space="preserve">a discussion and vote on proposed modifications to the competency determination (CD) requirement for members of the class of 2021 who have not yet earned the CD. The Board will receive updates on college access data for the class of 2021 and on our </w:t>
      </w:r>
      <w:r w:rsidR="00E60612" w:rsidRPr="00E60612">
        <w:rPr>
          <w:szCs w:val="24"/>
        </w:rPr>
        <w:t>ongoing educator diversity initiatives</w:t>
      </w:r>
      <w:r w:rsidR="008B7138" w:rsidRPr="00E60612">
        <w:rPr>
          <w:snapToGrid/>
          <w:color w:val="000000"/>
          <w:szCs w:val="24"/>
        </w:rPr>
        <w:t xml:space="preserve">. </w:t>
      </w:r>
      <w:r w:rsidR="008B7138" w:rsidRPr="00E60612">
        <w:rPr>
          <w:color w:val="1D2228"/>
        </w:rPr>
        <w:t xml:space="preserve">We will conclude </w:t>
      </w:r>
      <w:r w:rsidR="00CB47C9" w:rsidRPr="00E60612">
        <w:rPr>
          <w:szCs w:val="24"/>
        </w:rPr>
        <w:t>with a</w:t>
      </w:r>
      <w:r w:rsidR="008B7138" w:rsidRPr="00E60612">
        <w:rPr>
          <w:szCs w:val="24"/>
        </w:rPr>
        <w:t xml:space="preserve"> review of current </w:t>
      </w:r>
      <w:r w:rsidR="00A33D9E" w:rsidRPr="00E60612">
        <w:t>education budget</w:t>
      </w:r>
      <w:r w:rsidR="00CB47C9" w:rsidRPr="00E60612">
        <w:t xml:space="preserve"> matters.</w:t>
      </w:r>
      <w:r w:rsidR="00CB47C9">
        <w:t xml:space="preserve"> </w:t>
      </w:r>
    </w:p>
    <w:p w14:paraId="7CBA3932" w14:textId="77777777" w:rsidR="00A043CC" w:rsidRDefault="00A043CC"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73439FEE" w14:textId="77777777" w:rsidR="001139C8" w:rsidRDefault="001139C8"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1446980B"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5EB02522" w14:textId="36C716A4" w:rsidR="002921D9" w:rsidRDefault="002921D9" w:rsidP="005C491D">
      <w:pPr>
        <w:widowControl/>
        <w:rPr>
          <w:szCs w:val="24"/>
        </w:rPr>
      </w:pPr>
    </w:p>
    <w:p w14:paraId="107FDA6B" w14:textId="77777777" w:rsidR="00E05841" w:rsidRDefault="001630F9" w:rsidP="00E05841">
      <w:pPr>
        <w:widowControl/>
        <w:rPr>
          <w:szCs w:val="24"/>
        </w:rPr>
      </w:pPr>
      <w:r>
        <w:rPr>
          <w:szCs w:val="24"/>
        </w:rPr>
        <w:t>Chair Craven will brief the Board on current issues and activities</w:t>
      </w:r>
      <w:r w:rsidR="00E9344C">
        <w:rPr>
          <w:szCs w:val="24"/>
        </w:rPr>
        <w:t xml:space="preserve">. </w:t>
      </w:r>
    </w:p>
    <w:p w14:paraId="38140F01" w14:textId="77777777" w:rsidR="00E05841" w:rsidRDefault="00E05841" w:rsidP="00E05841">
      <w:pPr>
        <w:widowControl/>
        <w:rPr>
          <w:szCs w:val="24"/>
        </w:rPr>
      </w:pPr>
    </w:p>
    <w:p w14:paraId="5F3C18F7" w14:textId="0B97D292" w:rsidR="00E9344C" w:rsidRDefault="00E9344C" w:rsidP="00E05841">
      <w:pPr>
        <w:widowControl/>
        <w:rPr>
          <w:color w:val="000000"/>
          <w:szCs w:val="24"/>
        </w:rPr>
      </w:pPr>
      <w:r>
        <w:rPr>
          <w:szCs w:val="24"/>
        </w:rPr>
        <w:t>Also</w:t>
      </w:r>
      <w:r w:rsidR="00E05841">
        <w:rPr>
          <w:szCs w:val="24"/>
        </w:rPr>
        <w:t>,</w:t>
      </w:r>
      <w:r>
        <w:rPr>
          <w:szCs w:val="24"/>
        </w:rPr>
        <w:t xml:space="preserve"> </w:t>
      </w:r>
      <w:r w:rsidR="00E05841">
        <w:rPr>
          <w:szCs w:val="24"/>
        </w:rPr>
        <w:t xml:space="preserve">as a reminder and update on evidence-based policy making: In </w:t>
      </w:r>
      <w:r>
        <w:rPr>
          <w:color w:val="000000"/>
          <w:szCs w:val="24"/>
        </w:rPr>
        <w:t xml:space="preserve">January 2020, our Board and the Board of Higher Education (BHE) each adopted a resolution affirming our broad-based commitment to collect, review, and act on high-quality evidence to inform ongoing and new initiatives intended to strengthen education in Massachusetts. Chair Craven designated member Marty West to take the lead in working on these matters at the board level. For your information, </w:t>
      </w:r>
      <w:r>
        <w:rPr>
          <w:color w:val="000000"/>
          <w:szCs w:val="24"/>
        </w:rPr>
        <w:lastRenderedPageBreak/>
        <w:t xml:space="preserve">the BHE recently set up a task force on evidence-based policy making and the task force will hold a meeting on February 1. Marty West, Mike Moriarty, and Paymon Rouhanifard, as well as Matt Deninger, DESE’s </w:t>
      </w:r>
      <w:r w:rsidRPr="0065309E">
        <w:t>Chief Strategy and Research Officer</w:t>
      </w:r>
      <w:r>
        <w:t xml:space="preserve">, will attend the BHE task force meeting as invitees. Marty will update our Board at our February meeting. </w:t>
      </w:r>
    </w:p>
    <w:p w14:paraId="31593AC6" w14:textId="77777777" w:rsidR="001630F9" w:rsidRDefault="001630F9" w:rsidP="005C491D">
      <w:pPr>
        <w:widowControl/>
        <w:rPr>
          <w:b/>
          <w:bCs/>
          <w:szCs w:val="24"/>
        </w:rPr>
      </w:pPr>
    </w:p>
    <w:p w14:paraId="168CD1DE" w14:textId="217F8CBB" w:rsidR="005C491D" w:rsidRDefault="005C491D" w:rsidP="005C491D">
      <w:pPr>
        <w:widowControl/>
        <w:rPr>
          <w:b/>
          <w:bCs/>
          <w:szCs w:val="24"/>
        </w:rPr>
      </w:pPr>
      <w:r w:rsidRPr="008562BE">
        <w:rPr>
          <w:b/>
          <w:bCs/>
          <w:szCs w:val="24"/>
        </w:rPr>
        <w:t>Comments from the Commissioner</w:t>
      </w:r>
    </w:p>
    <w:p w14:paraId="7FF52E7A" w14:textId="0C510371" w:rsidR="00CB47C9" w:rsidRDefault="00CB47C9" w:rsidP="005C491D">
      <w:pPr>
        <w:widowControl/>
        <w:rPr>
          <w:szCs w:val="24"/>
        </w:rPr>
      </w:pPr>
    </w:p>
    <w:p w14:paraId="7DD02DCE" w14:textId="505E1A17" w:rsidR="007C329C" w:rsidRDefault="00A67E01" w:rsidP="00A67E01">
      <w:pPr>
        <w:rPr>
          <w:color w:val="000000"/>
          <w:szCs w:val="24"/>
        </w:rPr>
      </w:pPr>
      <w:r w:rsidRPr="00A67E01">
        <w:rPr>
          <w:b/>
          <w:bCs/>
          <w:color w:val="202020"/>
          <w:szCs w:val="24"/>
        </w:rPr>
        <w:t xml:space="preserve">Student Opportunity Act: District Plans. </w:t>
      </w:r>
      <w:r>
        <w:rPr>
          <w:color w:val="202020"/>
          <w:szCs w:val="24"/>
        </w:rPr>
        <w:t xml:space="preserve">In winter 2020, the Department sent guidance and templates to districts to </w:t>
      </w:r>
      <w:r w:rsidR="009A0296">
        <w:rPr>
          <w:color w:val="202020"/>
          <w:szCs w:val="24"/>
        </w:rPr>
        <w:t xml:space="preserve">help </w:t>
      </w:r>
      <w:r>
        <w:rPr>
          <w:color w:val="202020"/>
          <w:szCs w:val="24"/>
        </w:rPr>
        <w:t>the</w:t>
      </w:r>
      <w:r w:rsidR="0059621E">
        <w:rPr>
          <w:color w:val="202020"/>
          <w:szCs w:val="24"/>
        </w:rPr>
        <w:t xml:space="preserve">m develop </w:t>
      </w:r>
      <w:r>
        <w:rPr>
          <w:color w:val="000000"/>
          <w:szCs w:val="24"/>
        </w:rPr>
        <w:t>the three-year evidence-based district plans required under the Student Opportunity Act</w:t>
      </w:r>
      <w:r w:rsidR="0059621E">
        <w:rPr>
          <w:color w:val="000000"/>
          <w:szCs w:val="24"/>
        </w:rPr>
        <w:t xml:space="preserve"> (SOA)</w:t>
      </w:r>
      <w:r>
        <w:rPr>
          <w:color w:val="000000"/>
          <w:szCs w:val="24"/>
        </w:rPr>
        <w:t xml:space="preserve">. </w:t>
      </w:r>
      <w:r w:rsidR="0059621E">
        <w:rPr>
          <w:color w:val="000000"/>
          <w:szCs w:val="24"/>
        </w:rPr>
        <w:t>D</w:t>
      </w:r>
      <w:r>
        <w:rPr>
          <w:color w:val="000000"/>
          <w:szCs w:val="24"/>
        </w:rPr>
        <w:t xml:space="preserve">istricts </w:t>
      </w:r>
      <w:r w:rsidR="00DD2612">
        <w:rPr>
          <w:color w:val="000000"/>
          <w:szCs w:val="24"/>
        </w:rPr>
        <w:t xml:space="preserve">must </w:t>
      </w:r>
      <w:r>
        <w:rPr>
          <w:color w:val="000000"/>
          <w:szCs w:val="24"/>
        </w:rPr>
        <w:t xml:space="preserve">identify </w:t>
      </w:r>
      <w:r w:rsidR="0059621E">
        <w:rPr>
          <w:color w:val="000000"/>
          <w:szCs w:val="24"/>
        </w:rPr>
        <w:t xml:space="preserve">in their plans </w:t>
      </w:r>
      <w:r>
        <w:rPr>
          <w:color w:val="000000"/>
          <w:szCs w:val="24"/>
        </w:rPr>
        <w:t>which student groups are least well served. Based on the evidence-based program categories outlined in the S</w:t>
      </w:r>
      <w:r w:rsidR="0059621E">
        <w:rPr>
          <w:color w:val="000000"/>
          <w:szCs w:val="24"/>
        </w:rPr>
        <w:t>OA</w:t>
      </w:r>
      <w:r>
        <w:rPr>
          <w:color w:val="000000"/>
          <w:szCs w:val="24"/>
        </w:rPr>
        <w:t xml:space="preserve">, the Department identified 17 examples of high-quality programs </w:t>
      </w:r>
      <w:r w:rsidR="00DD2612">
        <w:rPr>
          <w:color w:val="000000"/>
          <w:szCs w:val="24"/>
        </w:rPr>
        <w:t xml:space="preserve">for </w:t>
      </w:r>
      <w:r>
        <w:rPr>
          <w:color w:val="000000"/>
          <w:szCs w:val="24"/>
        </w:rPr>
        <w:t xml:space="preserve">districts to consider </w:t>
      </w:r>
      <w:r w:rsidR="0059621E">
        <w:rPr>
          <w:color w:val="000000"/>
          <w:szCs w:val="24"/>
        </w:rPr>
        <w:t xml:space="preserve">using </w:t>
      </w:r>
      <w:r>
        <w:rPr>
          <w:color w:val="000000"/>
          <w:szCs w:val="24"/>
        </w:rPr>
        <w:t xml:space="preserve">to </w:t>
      </w:r>
      <w:r w:rsidR="00DD2612">
        <w:rPr>
          <w:color w:val="000000"/>
          <w:szCs w:val="24"/>
        </w:rPr>
        <w:t xml:space="preserve">address </w:t>
      </w:r>
      <w:r w:rsidR="0059621E">
        <w:rPr>
          <w:color w:val="000000"/>
          <w:szCs w:val="24"/>
        </w:rPr>
        <w:t xml:space="preserve">their identified </w:t>
      </w:r>
      <w:r>
        <w:rPr>
          <w:color w:val="000000"/>
          <w:szCs w:val="24"/>
        </w:rPr>
        <w:t xml:space="preserve">gaps. </w:t>
      </w:r>
    </w:p>
    <w:p w14:paraId="0B8DB4E5" w14:textId="77777777" w:rsidR="007C329C" w:rsidRDefault="007C329C" w:rsidP="00A67E01">
      <w:pPr>
        <w:rPr>
          <w:color w:val="000000"/>
          <w:szCs w:val="24"/>
        </w:rPr>
      </w:pPr>
    </w:p>
    <w:p w14:paraId="631C8B89" w14:textId="44C0DDDB" w:rsidR="00A67E01" w:rsidRDefault="00DD2612" w:rsidP="008B7138">
      <w:pPr>
        <w:rPr>
          <w:color w:val="000000"/>
          <w:szCs w:val="24"/>
        </w:rPr>
      </w:pPr>
      <w:r>
        <w:rPr>
          <w:color w:val="000000"/>
          <w:szCs w:val="24"/>
        </w:rPr>
        <w:t xml:space="preserve">In light of the pandemic, </w:t>
      </w:r>
      <w:r w:rsidR="007C329C">
        <w:rPr>
          <w:color w:val="000000"/>
          <w:szCs w:val="24"/>
        </w:rPr>
        <w:t>we</w:t>
      </w:r>
      <w:r>
        <w:rPr>
          <w:color w:val="000000"/>
          <w:szCs w:val="24"/>
        </w:rPr>
        <w:t xml:space="preserve"> </w:t>
      </w:r>
      <w:r w:rsidR="009A0296">
        <w:rPr>
          <w:color w:val="000000"/>
          <w:szCs w:val="24"/>
        </w:rPr>
        <w:t>set January 15, 2021 as the deadline for districts to submit their SOA</w:t>
      </w:r>
      <w:r>
        <w:rPr>
          <w:color w:val="000000"/>
          <w:szCs w:val="24"/>
        </w:rPr>
        <w:t xml:space="preserve"> plan</w:t>
      </w:r>
      <w:r w:rsidR="009A0296">
        <w:rPr>
          <w:color w:val="000000"/>
          <w:szCs w:val="24"/>
        </w:rPr>
        <w:t xml:space="preserve">s. </w:t>
      </w:r>
      <w:r w:rsidR="00A67E01">
        <w:rPr>
          <w:color w:val="000000"/>
          <w:szCs w:val="24"/>
        </w:rPr>
        <w:t xml:space="preserve">As of January </w:t>
      </w:r>
      <w:r w:rsidR="005F57F3">
        <w:rPr>
          <w:color w:val="000000"/>
          <w:szCs w:val="24"/>
        </w:rPr>
        <w:t>1</w:t>
      </w:r>
      <w:r w:rsidR="004A30B1">
        <w:rPr>
          <w:color w:val="000000"/>
          <w:szCs w:val="24"/>
        </w:rPr>
        <w:t>4</w:t>
      </w:r>
      <w:r w:rsidR="00A67E01">
        <w:rPr>
          <w:color w:val="000000"/>
          <w:szCs w:val="24"/>
        </w:rPr>
        <w:t>, the Department ha</w:t>
      </w:r>
      <w:r>
        <w:rPr>
          <w:color w:val="000000"/>
          <w:szCs w:val="24"/>
        </w:rPr>
        <w:t>s</w:t>
      </w:r>
      <w:r w:rsidR="00A67E01">
        <w:rPr>
          <w:color w:val="000000"/>
          <w:szCs w:val="24"/>
        </w:rPr>
        <w:t xml:space="preserve"> received </w:t>
      </w:r>
      <w:r w:rsidR="004A30B1">
        <w:rPr>
          <w:color w:val="000000"/>
          <w:szCs w:val="24"/>
        </w:rPr>
        <w:t xml:space="preserve">247 plans, or 78% </w:t>
      </w:r>
      <w:r w:rsidR="00A67E01">
        <w:rPr>
          <w:color w:val="000000"/>
          <w:szCs w:val="24"/>
        </w:rPr>
        <w:t xml:space="preserve">of the </w:t>
      </w:r>
      <w:r w:rsidR="009A0296">
        <w:rPr>
          <w:color w:val="000000"/>
          <w:szCs w:val="24"/>
        </w:rPr>
        <w:t xml:space="preserve">318 </w:t>
      </w:r>
      <w:r w:rsidR="00A67E01">
        <w:rPr>
          <w:color w:val="000000"/>
          <w:szCs w:val="24"/>
        </w:rPr>
        <w:t>expected. </w:t>
      </w:r>
      <w:r w:rsidR="009A0296">
        <w:rPr>
          <w:color w:val="000000"/>
          <w:szCs w:val="24"/>
        </w:rPr>
        <w:t>The plans in</w:t>
      </w:r>
      <w:r w:rsidR="00A67E01">
        <w:rPr>
          <w:color w:val="000000"/>
          <w:szCs w:val="24"/>
        </w:rPr>
        <w:t xml:space="preserve">clude a range of the approved programs, with districts describing their priorities and </w:t>
      </w:r>
      <w:r w:rsidR="007C329C">
        <w:rPr>
          <w:color w:val="000000"/>
          <w:szCs w:val="24"/>
        </w:rPr>
        <w:t xml:space="preserve">the </w:t>
      </w:r>
      <w:r w:rsidR="00A67E01">
        <w:rPr>
          <w:color w:val="000000"/>
          <w:szCs w:val="24"/>
        </w:rPr>
        <w:t xml:space="preserve">resources </w:t>
      </w:r>
      <w:r w:rsidR="007C329C">
        <w:rPr>
          <w:color w:val="000000"/>
          <w:szCs w:val="24"/>
        </w:rPr>
        <w:t>they expect to</w:t>
      </w:r>
      <w:r w:rsidR="002613CC">
        <w:rPr>
          <w:color w:val="000000"/>
          <w:szCs w:val="24"/>
        </w:rPr>
        <w:t xml:space="preserve"> use</w:t>
      </w:r>
      <w:r w:rsidR="00A67E01">
        <w:rPr>
          <w:color w:val="000000"/>
          <w:szCs w:val="24"/>
        </w:rPr>
        <w:t xml:space="preserve">. </w:t>
      </w:r>
      <w:r w:rsidR="008A62DD">
        <w:rPr>
          <w:color w:val="000000"/>
          <w:szCs w:val="24"/>
        </w:rPr>
        <w:t xml:space="preserve">I will update the Board on January 26. </w:t>
      </w:r>
    </w:p>
    <w:p w14:paraId="0DB8CD8E" w14:textId="6312999C" w:rsidR="004A296C" w:rsidRDefault="004A296C" w:rsidP="008B7138">
      <w:pPr>
        <w:rPr>
          <w:color w:val="000000"/>
          <w:szCs w:val="24"/>
        </w:rPr>
      </w:pPr>
    </w:p>
    <w:p w14:paraId="4376DB09" w14:textId="749D95A0" w:rsidR="005F57F3" w:rsidRPr="005F57F3" w:rsidRDefault="004A296C" w:rsidP="005F57F3">
      <w:pPr>
        <w:rPr>
          <w:b/>
          <w:bCs/>
          <w:color w:val="000000"/>
          <w:szCs w:val="24"/>
        </w:rPr>
      </w:pPr>
      <w:r w:rsidRPr="005F57F3">
        <w:rPr>
          <w:b/>
          <w:bCs/>
          <w:color w:val="000000"/>
          <w:szCs w:val="24"/>
        </w:rPr>
        <w:t xml:space="preserve">Dyslexia </w:t>
      </w:r>
      <w:r w:rsidR="00E60612">
        <w:rPr>
          <w:b/>
          <w:bCs/>
          <w:color w:val="000000"/>
          <w:szCs w:val="24"/>
        </w:rPr>
        <w:t>G</w:t>
      </w:r>
      <w:r w:rsidRPr="005F57F3">
        <w:rPr>
          <w:b/>
          <w:bCs/>
          <w:color w:val="000000"/>
          <w:szCs w:val="24"/>
        </w:rPr>
        <w:t>uidelines.</w:t>
      </w:r>
      <w:r w:rsidR="005F57F3">
        <w:rPr>
          <w:b/>
          <w:bCs/>
          <w:color w:val="000000"/>
          <w:szCs w:val="24"/>
        </w:rPr>
        <w:t xml:space="preserve"> </w:t>
      </w:r>
      <w:r w:rsidR="005F57F3">
        <w:t xml:space="preserve">The Department is continuing to </w:t>
      </w:r>
      <w:r w:rsidR="00820C10">
        <w:t xml:space="preserve">implement </w:t>
      </w:r>
      <w:r w:rsidR="005F57F3">
        <w:t xml:space="preserve">An Act Relative to Students with Dyslexia, </w:t>
      </w:r>
      <w:hyperlink r:id="rId12" w:history="1">
        <w:r w:rsidR="005F57F3">
          <w:rPr>
            <w:rStyle w:val="Hyperlink"/>
          </w:rPr>
          <w:t>Chapter 272 of the Acts of 2018</w:t>
        </w:r>
      </w:hyperlink>
      <w:r w:rsidR="005F57F3">
        <w:t xml:space="preserve">, </w:t>
      </w:r>
      <w:r w:rsidR="00820C10">
        <w:t xml:space="preserve">and </w:t>
      </w:r>
      <w:r w:rsidR="005F57F3">
        <w:t>support</w:t>
      </w:r>
      <w:r w:rsidR="00820C10">
        <w:t>ing</w:t>
      </w:r>
      <w:r w:rsidR="005F57F3">
        <w:t xml:space="preserve"> district</w:t>
      </w:r>
      <w:r w:rsidR="00820C10">
        <w:t xml:space="preserve">s in </w:t>
      </w:r>
      <w:r w:rsidR="005F57F3">
        <w:t>develop</w:t>
      </w:r>
      <w:r w:rsidR="00820C10">
        <w:t xml:space="preserve">ing and using </w:t>
      </w:r>
      <w:r w:rsidR="005F57F3">
        <w:t xml:space="preserve">screening procedures for students demonstrating one or more potential signs of a neurological learning disability including, but not limited to, dyslexia (see </w:t>
      </w:r>
      <w:hyperlink r:id="rId13" w:history="1">
        <w:r w:rsidR="005F57F3">
          <w:rPr>
            <w:rStyle w:val="Hyperlink"/>
          </w:rPr>
          <w:t>M.G.L. Chapter 71, Section 57A</w:t>
        </w:r>
      </w:hyperlink>
      <w:r w:rsidR="005F57F3">
        <w:t>).</w:t>
      </w:r>
      <w:r w:rsidR="00820C10">
        <w:t xml:space="preserve"> Among other activities</w:t>
      </w:r>
      <w:r w:rsidR="005F57F3">
        <w:t xml:space="preserve">, the Department </w:t>
      </w:r>
      <w:r w:rsidR="00820C10">
        <w:t xml:space="preserve">is producing </w:t>
      </w:r>
      <w:r w:rsidR="005F57F3">
        <w:t xml:space="preserve">Dyslexia Guidelines in consultation with the Department of Early Education and Care. We released four chapters in December 2020 and the remaining five chapters will be released in </w:t>
      </w:r>
      <w:r w:rsidR="00820C10">
        <w:t>the coming weeks.</w:t>
      </w:r>
      <w:r w:rsidR="005F57F3">
        <w:t xml:space="preserve"> Meetings with stakeholders, including literacy specialists, district literacy and special education leaders, advocates, family organizations, and dyslexia specialists</w:t>
      </w:r>
      <w:r w:rsidR="00820C10">
        <w:t>,</w:t>
      </w:r>
      <w:r w:rsidR="005F57F3">
        <w:t xml:space="preserve"> will occur in January and February. The Department expects </w:t>
      </w:r>
      <w:r w:rsidR="00820C10">
        <w:t xml:space="preserve">to post </w:t>
      </w:r>
      <w:r w:rsidR="005F57F3">
        <w:t xml:space="preserve">the final version </w:t>
      </w:r>
      <w:r w:rsidR="00820C10">
        <w:t xml:space="preserve">of the guidelines </w:t>
      </w:r>
      <w:r w:rsidR="005F57F3">
        <w:t>in March 2021.</w:t>
      </w:r>
    </w:p>
    <w:p w14:paraId="1C878811" w14:textId="167BA375" w:rsidR="004A296C" w:rsidRDefault="004A296C" w:rsidP="008B7138">
      <w:pPr>
        <w:rPr>
          <w:color w:val="000000"/>
          <w:szCs w:val="24"/>
        </w:rPr>
      </w:pPr>
    </w:p>
    <w:p w14:paraId="32E81798" w14:textId="01430878" w:rsidR="00E93E89" w:rsidRDefault="00E60612" w:rsidP="008B7138">
      <w:pPr>
        <w:rPr>
          <w:color w:val="000000"/>
          <w:szCs w:val="24"/>
        </w:rPr>
      </w:pPr>
      <w:r w:rsidRPr="00E60612">
        <w:rPr>
          <w:b/>
          <w:bCs/>
          <w:color w:val="000000"/>
          <w:szCs w:val="24"/>
        </w:rPr>
        <w:t>High</w:t>
      </w:r>
      <w:r w:rsidR="00A861A6">
        <w:rPr>
          <w:b/>
          <w:bCs/>
          <w:color w:val="000000"/>
          <w:szCs w:val="24"/>
        </w:rPr>
        <w:t xml:space="preserve"> S</w:t>
      </w:r>
      <w:r w:rsidRPr="00E60612">
        <w:rPr>
          <w:b/>
          <w:bCs/>
          <w:color w:val="000000"/>
          <w:szCs w:val="24"/>
        </w:rPr>
        <w:t xml:space="preserve">chool </w:t>
      </w:r>
      <w:r>
        <w:rPr>
          <w:b/>
          <w:bCs/>
          <w:color w:val="000000"/>
          <w:szCs w:val="24"/>
        </w:rPr>
        <w:t>S</w:t>
      </w:r>
      <w:r w:rsidRPr="00E60612">
        <w:rPr>
          <w:b/>
          <w:bCs/>
          <w:color w:val="000000"/>
          <w:szCs w:val="24"/>
        </w:rPr>
        <w:t xml:space="preserve">enior </w:t>
      </w:r>
      <w:r>
        <w:rPr>
          <w:b/>
          <w:bCs/>
          <w:color w:val="000000"/>
          <w:szCs w:val="24"/>
        </w:rPr>
        <w:t>I</w:t>
      </w:r>
      <w:r w:rsidRPr="00E60612">
        <w:rPr>
          <w:b/>
          <w:bCs/>
          <w:color w:val="000000"/>
          <w:szCs w:val="24"/>
        </w:rPr>
        <w:t xml:space="preserve">nternship in </w:t>
      </w:r>
      <w:r>
        <w:rPr>
          <w:b/>
          <w:bCs/>
          <w:color w:val="000000"/>
          <w:szCs w:val="24"/>
        </w:rPr>
        <w:t>E</w:t>
      </w:r>
      <w:r w:rsidRPr="00E60612">
        <w:rPr>
          <w:b/>
          <w:bCs/>
          <w:color w:val="000000"/>
          <w:szCs w:val="24"/>
        </w:rPr>
        <w:t>ducation</w:t>
      </w:r>
      <w:r w:rsidR="00A861A6">
        <w:rPr>
          <w:b/>
          <w:bCs/>
          <w:color w:val="000000"/>
          <w:szCs w:val="24"/>
        </w:rPr>
        <w:t xml:space="preserve"> Program</w:t>
      </w:r>
      <w:r w:rsidRPr="00E60612">
        <w:rPr>
          <w:b/>
          <w:bCs/>
          <w:color w:val="000000"/>
          <w:szCs w:val="24"/>
        </w:rPr>
        <w:t>.</w:t>
      </w:r>
      <w:r>
        <w:rPr>
          <w:b/>
          <w:bCs/>
          <w:color w:val="000000"/>
          <w:szCs w:val="24"/>
        </w:rPr>
        <w:t xml:space="preserve"> </w:t>
      </w:r>
      <w:r w:rsidR="00A861A6" w:rsidRPr="00E93E89">
        <w:rPr>
          <w:color w:val="000000"/>
          <w:szCs w:val="24"/>
        </w:rPr>
        <w:t xml:space="preserve">As we have discussed previously, DESE is launching this </w:t>
      </w:r>
      <w:r w:rsidR="00E93E89" w:rsidRPr="00E93E89">
        <w:rPr>
          <w:color w:val="000000"/>
          <w:szCs w:val="24"/>
        </w:rPr>
        <w:t xml:space="preserve">new internship </w:t>
      </w:r>
      <w:r w:rsidR="00A861A6" w:rsidRPr="00E93E89">
        <w:rPr>
          <w:color w:val="000000"/>
          <w:szCs w:val="24"/>
        </w:rPr>
        <w:t xml:space="preserve">program to provide work-based learning experiences in the field of education to highly motivated high school seniors in good academic standing, while supporting schools and </w:t>
      </w:r>
      <w:r w:rsidR="00E93E89" w:rsidRPr="00E93E89">
        <w:rPr>
          <w:color w:val="000000"/>
          <w:szCs w:val="24"/>
        </w:rPr>
        <w:t xml:space="preserve">community-based partners. </w:t>
      </w:r>
      <w:r w:rsidR="00E93E89">
        <w:rPr>
          <w:color w:val="000000"/>
          <w:szCs w:val="24"/>
        </w:rPr>
        <w:t>Here is an update on recent developments:</w:t>
      </w:r>
    </w:p>
    <w:p w14:paraId="03A8A47D" w14:textId="59978C96" w:rsidR="00E05841" w:rsidRDefault="00E05841" w:rsidP="00E05841">
      <w:pPr>
        <w:pStyle w:val="ListParagraph"/>
        <w:numPr>
          <w:ilvl w:val="0"/>
          <w:numId w:val="18"/>
        </w:numPr>
        <w:rPr>
          <w:color w:val="000000"/>
        </w:rPr>
      </w:pPr>
      <w:r>
        <w:rPr>
          <w:color w:val="000000"/>
        </w:rPr>
        <w:t>As of January 14, 2021, the Department has received 172 inquiries from districts interested in participating.</w:t>
      </w:r>
    </w:p>
    <w:p w14:paraId="25F93B59" w14:textId="3618A1B7" w:rsidR="00E05841" w:rsidRDefault="00E05841" w:rsidP="00E05841">
      <w:pPr>
        <w:pStyle w:val="ListParagraph"/>
        <w:numPr>
          <w:ilvl w:val="0"/>
          <w:numId w:val="18"/>
        </w:numPr>
        <w:rPr>
          <w:color w:val="000000"/>
        </w:rPr>
      </w:pPr>
      <w:r>
        <w:rPr>
          <w:color w:val="000000"/>
        </w:rPr>
        <w:t xml:space="preserve">The leaders of Connecting Activities at the regional </w:t>
      </w:r>
      <w:proofErr w:type="spellStart"/>
      <w:r>
        <w:rPr>
          <w:color w:val="000000"/>
        </w:rPr>
        <w:t>MassHire</w:t>
      </w:r>
      <w:proofErr w:type="spellEnd"/>
      <w:r>
        <w:rPr>
          <w:color w:val="000000"/>
        </w:rPr>
        <w:t xml:space="preserve"> Workforce Boards are reaching out to districts and learning pods that have shown initial interest. Districts have been asked to send student names and contact information to the Connecting Activities leads by January 19.</w:t>
      </w:r>
    </w:p>
    <w:p w14:paraId="6A00BE72" w14:textId="025ABCC0" w:rsidR="00E05841" w:rsidRPr="00E05841" w:rsidRDefault="00E05841" w:rsidP="00E05841">
      <w:pPr>
        <w:pStyle w:val="ListParagraph"/>
        <w:numPr>
          <w:ilvl w:val="0"/>
          <w:numId w:val="18"/>
        </w:numPr>
        <w:rPr>
          <w:color w:val="000000"/>
        </w:rPr>
      </w:pPr>
      <w:r>
        <w:rPr>
          <w:color w:val="000000"/>
        </w:rPr>
        <w:t xml:space="preserve">The Department has contracted with a career and technical skills organization called Educators Rising to </w:t>
      </w:r>
      <w:r w:rsidR="00B8627D">
        <w:rPr>
          <w:color w:val="000000"/>
        </w:rPr>
        <w:t>provide training and skill development to the students.</w:t>
      </w:r>
    </w:p>
    <w:p w14:paraId="046AC44F" w14:textId="77777777" w:rsidR="00E85A97" w:rsidRDefault="00E85A97" w:rsidP="00E93E89">
      <w:pPr>
        <w:widowControl/>
        <w:spacing w:after="240"/>
        <w:ind w:right="720"/>
        <w:textAlignment w:val="baseline"/>
        <w:rPr>
          <w:color w:val="030303"/>
          <w:szCs w:val="24"/>
          <w:shd w:val="clear" w:color="auto" w:fill="F9F9F9"/>
        </w:rPr>
      </w:pPr>
    </w:p>
    <w:p w14:paraId="7FA8992F" w14:textId="216D97F1" w:rsidR="00E93E89" w:rsidRPr="00E93E89" w:rsidRDefault="00E93E89" w:rsidP="00E93E89">
      <w:pPr>
        <w:widowControl/>
        <w:spacing w:after="240"/>
        <w:ind w:right="720"/>
        <w:textAlignment w:val="baseline"/>
        <w:rPr>
          <w:color w:val="030303"/>
          <w:szCs w:val="24"/>
        </w:rPr>
      </w:pPr>
      <w:r>
        <w:rPr>
          <w:color w:val="030303"/>
          <w:szCs w:val="24"/>
          <w:shd w:val="clear" w:color="auto" w:fill="F9F9F9"/>
        </w:rPr>
        <w:lastRenderedPageBreak/>
        <w:t xml:space="preserve">I will </w:t>
      </w:r>
      <w:r w:rsidR="00464CA9">
        <w:rPr>
          <w:color w:val="030303"/>
          <w:szCs w:val="24"/>
          <w:shd w:val="clear" w:color="auto" w:fill="F9F9F9"/>
        </w:rPr>
        <w:t xml:space="preserve">continue to update the Board </w:t>
      </w:r>
      <w:r>
        <w:rPr>
          <w:color w:val="030303"/>
          <w:szCs w:val="24"/>
          <w:shd w:val="clear" w:color="auto" w:fill="F9F9F9"/>
        </w:rPr>
        <w:t xml:space="preserve">as this </w:t>
      </w:r>
      <w:r w:rsidR="00E05841">
        <w:rPr>
          <w:color w:val="030303"/>
          <w:szCs w:val="24"/>
          <w:shd w:val="clear" w:color="auto" w:fill="F9F9F9"/>
        </w:rPr>
        <w:t xml:space="preserve">internship program </w:t>
      </w:r>
      <w:r>
        <w:rPr>
          <w:color w:val="030303"/>
          <w:szCs w:val="24"/>
          <w:shd w:val="clear" w:color="auto" w:fill="F9F9F9"/>
        </w:rPr>
        <w:t>proceeds.</w:t>
      </w:r>
    </w:p>
    <w:p w14:paraId="7292A74C" w14:textId="539AF0A3" w:rsidR="008A62DD" w:rsidRPr="002A371C" w:rsidRDefault="00A861A6" w:rsidP="008A62DD">
      <w:pPr>
        <w:rPr>
          <w:snapToGrid/>
          <w:sz w:val="22"/>
        </w:rPr>
      </w:pPr>
      <w:r w:rsidRPr="00A861A6">
        <w:rPr>
          <w:rFonts w:eastAsia="Calibri"/>
          <w:b/>
          <w:bCs/>
        </w:rPr>
        <w:t xml:space="preserve">STEM </w:t>
      </w:r>
      <w:r w:rsidR="008A62DD">
        <w:rPr>
          <w:rFonts w:eastAsia="Calibri"/>
          <w:b/>
          <w:bCs/>
        </w:rPr>
        <w:t xml:space="preserve">Advanced Placement Access </w:t>
      </w:r>
      <w:r w:rsidR="00175252" w:rsidRPr="00A861A6">
        <w:rPr>
          <w:rFonts w:eastAsia="Calibri"/>
          <w:b/>
          <w:bCs/>
        </w:rPr>
        <w:t>Expansion</w:t>
      </w:r>
      <w:r w:rsidR="00175252">
        <w:rPr>
          <w:rFonts w:eastAsia="Calibri"/>
          <w:b/>
          <w:bCs/>
        </w:rPr>
        <w:t xml:space="preserve"> </w:t>
      </w:r>
      <w:r w:rsidR="008A62DD">
        <w:rPr>
          <w:rFonts w:eastAsia="Calibri"/>
          <w:b/>
          <w:bCs/>
        </w:rPr>
        <w:t>Opportunity</w:t>
      </w:r>
      <w:r w:rsidRPr="00A861A6">
        <w:rPr>
          <w:rFonts w:eastAsia="Calibri"/>
          <w:b/>
          <w:bCs/>
        </w:rPr>
        <w:t>.</w:t>
      </w:r>
      <w:r>
        <w:rPr>
          <w:rFonts w:eastAsia="Calibri"/>
        </w:rPr>
        <w:t xml:space="preserve"> </w:t>
      </w:r>
      <w:r w:rsidR="00175252">
        <w:t xml:space="preserve">As I informed the Board in the late fall of 2020, the Department applied for and has received a federal grant to expand opportunities for </w:t>
      </w:r>
      <w:r w:rsidR="008A62DD" w:rsidRPr="002A371C">
        <w:t xml:space="preserve">students in Massachusetts </w:t>
      </w:r>
      <w:r w:rsidR="00175252">
        <w:t xml:space="preserve">who lack </w:t>
      </w:r>
      <w:r w:rsidR="008A62DD" w:rsidRPr="002A371C">
        <w:t xml:space="preserve">access to Advanced Placement (AP) coursework in Science, Technology, Engineering, and Mathematics (STEM). </w:t>
      </w:r>
      <w:r w:rsidR="00175252">
        <w:t xml:space="preserve">The gaps are particularly acute for </w:t>
      </w:r>
      <w:r w:rsidR="008A62DD" w:rsidRPr="002A371C">
        <w:t xml:space="preserve">students of color, English learners, and students with disabilities. With </w:t>
      </w:r>
      <w:r w:rsidR="00175252">
        <w:t xml:space="preserve">the </w:t>
      </w:r>
      <w:r w:rsidR="008A62DD" w:rsidRPr="002A371C">
        <w:t xml:space="preserve">federal grant, and via a partnership with an online course provider, we are establishing a statewide platform to generate greater equity and access in AP STEM course-taking. The STEM Advanced Placement Access Expansion Opportunity (SAPAO) initiative </w:t>
      </w:r>
      <w:r w:rsidR="00175252">
        <w:t xml:space="preserve">is </w:t>
      </w:r>
      <w:r w:rsidR="008A62DD" w:rsidRPr="002A371C">
        <w:t>designed to increase the capacity of schools to offer this advanced coursework that will equip students with skills and competencies they need to pursue postsecondary education and, ultimately, go on to STEM professions vital to the Massachusetts economy. Eligible schools are those with above</w:t>
      </w:r>
      <w:r w:rsidR="00175252">
        <w:t>-state-average</w:t>
      </w:r>
      <w:r w:rsidR="008A62DD" w:rsidRPr="002A371C">
        <w:t xml:space="preserve"> rates (33%) of Black, Latino, and/or Economically Disadvantaged student enrollment. </w:t>
      </w:r>
      <w:r w:rsidR="00175252">
        <w:t xml:space="preserve">The program also aims to </w:t>
      </w:r>
      <w:r w:rsidR="008A62DD" w:rsidRPr="002A371C">
        <w:t xml:space="preserve">serve schools in which low numbers of students engage in STEM AP courses despite demonstrating the skills to participate in this advanced coursework. </w:t>
      </w:r>
      <w:r w:rsidR="00175252">
        <w:t>Later this month the Department will notify s</w:t>
      </w:r>
      <w:r w:rsidR="008A62DD" w:rsidRPr="002A371C">
        <w:t>chools identified as potential participants in SAPAO and invite</w:t>
      </w:r>
      <w:r w:rsidR="00175252">
        <w:t xml:space="preserve"> them</w:t>
      </w:r>
      <w:r w:rsidR="008A62DD" w:rsidRPr="002A371C">
        <w:t xml:space="preserve"> to participate in an information session. </w:t>
      </w:r>
      <w:r w:rsidR="00175252">
        <w:t xml:space="preserve">I will report to the Board periodically on our progress. </w:t>
      </w:r>
    </w:p>
    <w:p w14:paraId="3E005F3E" w14:textId="0D7DA30B" w:rsidR="00A861A6" w:rsidRPr="001630F9" w:rsidRDefault="008A62DD" w:rsidP="001630F9">
      <w:pPr>
        <w:rPr>
          <w:rFonts w:eastAsia="Calibri"/>
        </w:rPr>
      </w:pPr>
      <w:r w:rsidRPr="00A861A6" w:rsidDel="008A62DD">
        <w:rPr>
          <w:rFonts w:eastAsia="Calibri"/>
          <w:highlight w:val="yellow"/>
        </w:rPr>
        <w:t xml:space="preserve"> </w:t>
      </w:r>
    </w:p>
    <w:p w14:paraId="6AADA90C" w14:textId="77F5D46F" w:rsidR="005C491D" w:rsidRDefault="005C491D" w:rsidP="005C491D">
      <w:pPr>
        <w:rPr>
          <w:b/>
          <w:bCs/>
          <w:szCs w:val="24"/>
        </w:rPr>
      </w:pPr>
      <w:r w:rsidRPr="008562BE">
        <w:rPr>
          <w:b/>
          <w:bCs/>
          <w:szCs w:val="24"/>
        </w:rPr>
        <w:t>Comments from the Secretary</w:t>
      </w:r>
    </w:p>
    <w:p w14:paraId="2CE3A75A" w14:textId="45494469" w:rsidR="003C3411" w:rsidRDefault="003C3411" w:rsidP="005C491D">
      <w:pPr>
        <w:rPr>
          <w:b/>
          <w:bCs/>
          <w:szCs w:val="24"/>
        </w:rPr>
      </w:pPr>
    </w:p>
    <w:p w14:paraId="167C17B5" w14:textId="5ABAED76" w:rsidR="0035327D" w:rsidRPr="0035327D" w:rsidRDefault="0035327D" w:rsidP="005C491D">
      <w:pPr>
        <w:rPr>
          <w:szCs w:val="24"/>
        </w:rPr>
      </w:pPr>
      <w:r w:rsidRPr="0035327D">
        <w:rPr>
          <w:szCs w:val="24"/>
        </w:rPr>
        <w:t>The Secretary will brief the Board on current issues and activities.</w:t>
      </w:r>
    </w:p>
    <w:p w14:paraId="5034B231" w14:textId="77777777" w:rsidR="0035327D" w:rsidRDefault="0035327D" w:rsidP="005C491D">
      <w:pPr>
        <w:rPr>
          <w:b/>
          <w:bCs/>
          <w:szCs w:val="24"/>
        </w:rPr>
      </w:pPr>
    </w:p>
    <w:p w14:paraId="307C8818" w14:textId="352C5916" w:rsidR="005C491D" w:rsidRDefault="00A33D9E" w:rsidP="005C491D">
      <w:pPr>
        <w:rPr>
          <w:b/>
          <w:bCs/>
          <w:szCs w:val="24"/>
        </w:rPr>
      </w:pPr>
      <w:r>
        <w:rPr>
          <w:b/>
          <w:bCs/>
          <w:szCs w:val="24"/>
        </w:rPr>
        <w:t xml:space="preserve">Routine Business: </w:t>
      </w:r>
      <w:r w:rsidR="005C491D">
        <w:rPr>
          <w:b/>
          <w:bCs/>
          <w:szCs w:val="24"/>
        </w:rPr>
        <w:t>Approval of the Minutes of the</w:t>
      </w:r>
      <w:r w:rsidR="00A67E01">
        <w:rPr>
          <w:b/>
          <w:bCs/>
          <w:szCs w:val="24"/>
        </w:rPr>
        <w:t xml:space="preserve"> December 15</w:t>
      </w:r>
      <w:r w:rsidR="005C491D">
        <w:rPr>
          <w:b/>
          <w:bCs/>
          <w:szCs w:val="24"/>
        </w:rPr>
        <w:t>, 2020 Regular Meeting</w:t>
      </w:r>
    </w:p>
    <w:p w14:paraId="2A1E62F0" w14:textId="6AC661CF" w:rsidR="003C3411" w:rsidRDefault="003C3411" w:rsidP="005C491D">
      <w:pPr>
        <w:rPr>
          <w:b/>
          <w:bCs/>
          <w:szCs w:val="24"/>
        </w:rPr>
      </w:pPr>
    </w:p>
    <w:p w14:paraId="57A32D1F" w14:textId="50E97650" w:rsidR="003C3411" w:rsidRPr="003C3411" w:rsidRDefault="003C3411" w:rsidP="005C491D">
      <w:pPr>
        <w:rPr>
          <w:szCs w:val="24"/>
        </w:rPr>
      </w:pPr>
      <w:r>
        <w:rPr>
          <w:szCs w:val="24"/>
        </w:rPr>
        <w:t xml:space="preserve">The Board will vote on approval of the minutes of </w:t>
      </w:r>
      <w:r w:rsidR="00CB47C9">
        <w:rPr>
          <w:szCs w:val="24"/>
        </w:rPr>
        <w:t xml:space="preserve">the </w:t>
      </w:r>
      <w:r w:rsidR="00A67E01">
        <w:rPr>
          <w:szCs w:val="24"/>
        </w:rPr>
        <w:t>Dec</w:t>
      </w:r>
      <w:r w:rsidR="00F9442D">
        <w:rPr>
          <w:szCs w:val="24"/>
        </w:rPr>
        <w:t>em</w:t>
      </w:r>
      <w:r w:rsidR="001B7307">
        <w:rPr>
          <w:szCs w:val="24"/>
        </w:rPr>
        <w:t xml:space="preserve">ber </w:t>
      </w:r>
      <w:r>
        <w:rPr>
          <w:szCs w:val="24"/>
        </w:rPr>
        <w:t>meeting.</w:t>
      </w:r>
    </w:p>
    <w:p w14:paraId="429A4929" w14:textId="65173623" w:rsidR="00BF2D87" w:rsidRDefault="00BF2D8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B06CDB8" w14:textId="36513527" w:rsidR="00BC0B4A" w:rsidRDefault="00BC0B4A" w:rsidP="00AD2EDF">
      <w:pPr>
        <w:jc w:val="center"/>
        <w:rPr>
          <w:b/>
          <w:szCs w:val="24"/>
        </w:rPr>
      </w:pPr>
      <w:r w:rsidRPr="00AD2EDF">
        <w:rPr>
          <w:b/>
          <w:szCs w:val="24"/>
        </w:rPr>
        <w:t>ITEMS FOR DISCUSSION AND ACTION</w:t>
      </w:r>
    </w:p>
    <w:p w14:paraId="68D4B38F" w14:textId="77777777" w:rsidR="00804C35" w:rsidRPr="00CD54D2" w:rsidRDefault="00804C35" w:rsidP="00804C35">
      <w:pPr>
        <w:widowControl/>
        <w:textAlignment w:val="baseline"/>
        <w:rPr>
          <w:rFonts w:ascii="Segoe UI" w:hAnsi="Segoe UI" w:cs="Segoe UI"/>
          <w:snapToGrid/>
          <w:sz w:val="18"/>
          <w:szCs w:val="18"/>
        </w:rPr>
      </w:pPr>
    </w:p>
    <w:p w14:paraId="5833B8FC" w14:textId="5889C6A2" w:rsidR="00644FE1" w:rsidRPr="001B7307" w:rsidRDefault="00067EFA" w:rsidP="00A7418D">
      <w:pPr>
        <w:pStyle w:val="paragraph"/>
        <w:numPr>
          <w:ilvl w:val="0"/>
          <w:numId w:val="1"/>
        </w:numPr>
        <w:textAlignment w:val="baseline"/>
        <w:rPr>
          <w:rStyle w:val="eop"/>
          <w:b/>
          <w:bCs/>
        </w:rPr>
      </w:pPr>
      <w:r w:rsidRPr="00067EFA">
        <w:rPr>
          <w:b/>
          <w:bCs/>
          <w:snapToGrid w:val="0"/>
        </w:rPr>
        <w:t xml:space="preserve">Update on COVID-19 Action Steps to Support Schools, Students, and Families </w:t>
      </w:r>
      <w:r w:rsidR="00644FE1" w:rsidRPr="00067EFA">
        <w:rPr>
          <w:rStyle w:val="normaltextrun1"/>
          <w:b/>
          <w:bCs/>
          <w:color w:val="000000"/>
          <w:shd w:val="clear" w:color="auto" w:fill="FFFFFF"/>
        </w:rPr>
        <w:t>–</w:t>
      </w:r>
      <w:r w:rsidR="00644FE1" w:rsidRPr="001B7307">
        <w:rPr>
          <w:rStyle w:val="normaltextrun1"/>
          <w:b/>
          <w:bCs/>
          <w:color w:val="000000"/>
          <w:shd w:val="clear" w:color="auto" w:fill="FFFFFF"/>
        </w:rPr>
        <w:t xml:space="preserve"> Discussion</w:t>
      </w:r>
      <w:r w:rsidR="00644FE1" w:rsidRPr="001B7307">
        <w:rPr>
          <w:rStyle w:val="eop"/>
          <w:b/>
          <w:bCs/>
          <w:color w:val="000000"/>
        </w:rPr>
        <w:t> </w:t>
      </w:r>
    </w:p>
    <w:p w14:paraId="350AA66D" w14:textId="77777777" w:rsidR="00EB22A5" w:rsidRDefault="00EB22A5" w:rsidP="00EB22A5">
      <w:pPr>
        <w:pStyle w:val="ListParagraph"/>
        <w:autoSpaceDE w:val="0"/>
        <w:autoSpaceDN w:val="0"/>
        <w:adjustRightInd w:val="0"/>
        <w:ind w:left="360"/>
      </w:pPr>
    </w:p>
    <w:p w14:paraId="3C5CF186" w14:textId="0BB57721" w:rsidR="000C5453" w:rsidRDefault="000C5453" w:rsidP="000C5453">
      <w:pPr>
        <w:pStyle w:val="paragraph"/>
        <w:textAlignment w:val="baseline"/>
        <w:rPr>
          <w:rStyle w:val="normaltextrun1"/>
          <w:color w:val="1D2228"/>
        </w:rPr>
      </w:pPr>
      <w:r>
        <w:rPr>
          <w:rStyle w:val="normaltextrun1"/>
          <w:color w:val="1D2228"/>
        </w:rPr>
        <w:t>Since our meeting on</w:t>
      </w:r>
      <w:r w:rsidR="00A67E01">
        <w:rPr>
          <w:rStyle w:val="normaltextrun1"/>
          <w:color w:val="1D2228"/>
        </w:rPr>
        <w:t xml:space="preserve"> December 15</w:t>
      </w:r>
      <w:r>
        <w:rPr>
          <w:rStyle w:val="normaltextrun1"/>
          <w:color w:val="1D2228"/>
        </w:rPr>
        <w:t>, the Department has continued to inform districts of new developments related to COVID-19 and to support schools and districts as they serve students during the pandemic. The memo</w:t>
      </w:r>
      <w:r w:rsidR="008B7138">
        <w:rPr>
          <w:rStyle w:val="normaltextrun1"/>
          <w:color w:val="1D2228"/>
        </w:rPr>
        <w:t>randum</w:t>
      </w:r>
      <w:r>
        <w:rPr>
          <w:rStyle w:val="normaltextrun1"/>
          <w:color w:val="1D2228"/>
        </w:rPr>
        <w:t xml:space="preserve"> in your materials summarizes some key actions in the past</w:t>
      </w:r>
      <w:r w:rsidR="006C2A2B">
        <w:rPr>
          <w:rStyle w:val="normaltextrun1"/>
          <w:color w:val="1D2228"/>
        </w:rPr>
        <w:t xml:space="preserve"> few weeks</w:t>
      </w:r>
      <w:r>
        <w:rPr>
          <w:rStyle w:val="normaltextrun1"/>
          <w:color w:val="1D2228"/>
        </w:rPr>
        <w:t>. I will update the Board</w:t>
      </w:r>
      <w:r w:rsidR="006C2A2B">
        <w:rPr>
          <w:rStyle w:val="normaltextrun1"/>
          <w:color w:val="1D2228"/>
        </w:rPr>
        <w:t xml:space="preserve"> further at our meeting</w:t>
      </w:r>
      <w:r>
        <w:rPr>
          <w:rStyle w:val="normaltextrun1"/>
          <w:color w:val="1D2228"/>
        </w:rPr>
        <w:t xml:space="preserve">. </w:t>
      </w:r>
    </w:p>
    <w:p w14:paraId="4BA7E2C9" w14:textId="02B422E6" w:rsidR="00820C10" w:rsidRDefault="00820C10" w:rsidP="000C5453">
      <w:pPr>
        <w:pStyle w:val="paragraph"/>
        <w:textAlignment w:val="baseline"/>
        <w:rPr>
          <w:rStyle w:val="normaltextrun1"/>
          <w:color w:val="1D2228"/>
        </w:rPr>
      </w:pPr>
    </w:p>
    <w:p w14:paraId="212AD8ED" w14:textId="4E8B8D29" w:rsidR="00820C10" w:rsidRDefault="00820C10" w:rsidP="00820C10">
      <w:pPr>
        <w:pStyle w:val="ListParagraph"/>
        <w:numPr>
          <w:ilvl w:val="0"/>
          <w:numId w:val="1"/>
        </w:numPr>
        <w:contextualSpacing/>
        <w:textAlignment w:val="baseline"/>
        <w:rPr>
          <w:b/>
        </w:rPr>
      </w:pPr>
      <w:r w:rsidRPr="00820C10">
        <w:rPr>
          <w:b/>
        </w:rPr>
        <w:t>Proposed Modifications to Competency Determination Requirement for the Class of 2021 Due to the COVID-19 Emergency – Discussion and Vote</w:t>
      </w:r>
    </w:p>
    <w:p w14:paraId="5AB340F3" w14:textId="0C464C6C" w:rsidR="00820C10" w:rsidRDefault="00820C10" w:rsidP="00820C10">
      <w:pPr>
        <w:contextualSpacing/>
        <w:textAlignment w:val="baseline"/>
        <w:rPr>
          <w:b/>
        </w:rPr>
      </w:pPr>
    </w:p>
    <w:p w14:paraId="7FEE8D05" w14:textId="01E9CBFB" w:rsidR="00820C10" w:rsidRPr="005A052A" w:rsidRDefault="005A052A" w:rsidP="00820C10">
      <w:pPr>
        <w:contextualSpacing/>
        <w:textAlignment w:val="baseline"/>
        <w:rPr>
          <w:bCs/>
        </w:rPr>
      </w:pPr>
      <w:r>
        <w:rPr>
          <w:bCs/>
        </w:rPr>
        <w:t xml:space="preserve">I recommend that the Board vote this month to approve a limited modification to the competency determination (CD) for students in the class of 2021 who have not yet earned the CD. While most high school seniors have already met the CD standard, </w:t>
      </w:r>
      <w:r w:rsidR="00E321CE">
        <w:rPr>
          <w:bCs/>
        </w:rPr>
        <w:t xml:space="preserve">others </w:t>
      </w:r>
      <w:r>
        <w:rPr>
          <w:bCs/>
        </w:rPr>
        <w:t xml:space="preserve">have not, and they are missing the chance to take and pass the English language arts and/or mathematics MCAS tests </w:t>
      </w:r>
      <w:r>
        <w:rPr>
          <w:bCs/>
        </w:rPr>
        <w:lastRenderedPageBreak/>
        <w:t xml:space="preserve">this winter because we had to postpone the January </w:t>
      </w:r>
      <w:r w:rsidR="00464CA9">
        <w:rPr>
          <w:bCs/>
        </w:rPr>
        <w:t xml:space="preserve">2021 </w:t>
      </w:r>
      <w:r>
        <w:rPr>
          <w:bCs/>
        </w:rPr>
        <w:t>tests due to the COVID-19 emergency. The propos</w:t>
      </w:r>
      <w:r w:rsidR="00E321CE">
        <w:rPr>
          <w:bCs/>
        </w:rPr>
        <w:t>ed action is similar to the decisions the Board made last spring to modify certain CD requirements in light of the pandemic. T</w:t>
      </w:r>
      <w:r>
        <w:rPr>
          <w:bCs/>
        </w:rPr>
        <w:t>he memorandum under Tab 2</w:t>
      </w:r>
      <w:r w:rsidR="00E321CE">
        <w:rPr>
          <w:bCs/>
        </w:rPr>
        <w:t xml:space="preserve"> provides details</w:t>
      </w:r>
      <w:r>
        <w:rPr>
          <w:bCs/>
        </w:rPr>
        <w:t>.</w:t>
      </w:r>
    </w:p>
    <w:p w14:paraId="39F568F7" w14:textId="77777777" w:rsidR="00820C10" w:rsidRPr="00820C10" w:rsidRDefault="00820C10" w:rsidP="00820C10">
      <w:pPr>
        <w:contextualSpacing/>
        <w:textAlignment w:val="baseline"/>
        <w:rPr>
          <w:b/>
        </w:rPr>
      </w:pPr>
    </w:p>
    <w:p w14:paraId="53AB77EB" w14:textId="16C89BD5" w:rsidR="00820C10" w:rsidRDefault="00820C10" w:rsidP="00820C10">
      <w:pPr>
        <w:pStyle w:val="paragraph"/>
        <w:numPr>
          <w:ilvl w:val="0"/>
          <w:numId w:val="1"/>
        </w:numPr>
        <w:textAlignment w:val="baseline"/>
        <w:rPr>
          <w:rFonts w:eastAsia="Calibri"/>
          <w:b/>
        </w:rPr>
      </w:pPr>
      <w:r w:rsidRPr="00820C10">
        <w:rPr>
          <w:rFonts w:eastAsia="Calibri"/>
          <w:b/>
        </w:rPr>
        <w:t xml:space="preserve">Update on College Access Data for the Class of 2021 – Discussion </w:t>
      </w:r>
    </w:p>
    <w:p w14:paraId="290EF486" w14:textId="3DC790B9" w:rsidR="00820C10" w:rsidRDefault="00820C10" w:rsidP="00820C10">
      <w:pPr>
        <w:pStyle w:val="paragraph"/>
        <w:textAlignment w:val="baseline"/>
        <w:rPr>
          <w:rFonts w:eastAsia="Calibri"/>
          <w:b/>
        </w:rPr>
      </w:pPr>
    </w:p>
    <w:p w14:paraId="2C07CD18" w14:textId="606402AB" w:rsidR="00820C10" w:rsidRPr="0065309E" w:rsidRDefault="0065309E" w:rsidP="00820C10">
      <w:pPr>
        <w:pStyle w:val="paragraph"/>
        <w:textAlignment w:val="baseline"/>
        <w:rPr>
          <w:rFonts w:eastAsia="Calibri"/>
          <w:b/>
        </w:rPr>
      </w:pPr>
      <w:r>
        <w:t xml:space="preserve">Our Department has been working </w:t>
      </w:r>
      <w:r w:rsidRPr="009C6718">
        <w:t xml:space="preserve">with the Department of Higher Education and </w:t>
      </w:r>
      <w:r w:rsidR="00E93E89">
        <w:t xml:space="preserve">some </w:t>
      </w:r>
      <w:r w:rsidRPr="009C6718">
        <w:t>higher education research partners</w:t>
      </w:r>
      <w:r>
        <w:t xml:space="preserve"> s</w:t>
      </w:r>
      <w:r w:rsidRPr="009C6718">
        <w:t>ince early fall 2020</w:t>
      </w:r>
      <w:r>
        <w:t>, in an effort to prevent gaps in co</w:t>
      </w:r>
      <w:r w:rsidRPr="009C6718">
        <w:t>llege-going</w:t>
      </w:r>
      <w:r>
        <w:t xml:space="preserve"> among this year’s high school graduates</w:t>
      </w:r>
      <w:r w:rsidRPr="009C6718">
        <w:t>.</w:t>
      </w:r>
      <w:r>
        <w:t xml:space="preserve"> The </w:t>
      </w:r>
      <w:r w:rsidRPr="009C6718">
        <w:t xml:space="preserve">Massachusetts public higher education system experienced </w:t>
      </w:r>
      <w:r>
        <w:t xml:space="preserve">a significant </w:t>
      </w:r>
      <w:r w:rsidRPr="009C6718">
        <w:t>decrease in undergraduate enrollment</w:t>
      </w:r>
      <w:r>
        <w:t xml:space="preserve"> in fall 2020, and </w:t>
      </w:r>
      <w:r w:rsidRPr="009C6718">
        <w:t xml:space="preserve">completion </w:t>
      </w:r>
      <w:r>
        <w:t xml:space="preserve">rates for </w:t>
      </w:r>
      <w:r w:rsidRPr="009C6718">
        <w:t>the Free Application for Federal Student Aid (FAFSA)</w:t>
      </w:r>
      <w:r>
        <w:t xml:space="preserve"> have been declining as well, leading to concern about </w:t>
      </w:r>
      <w:r w:rsidRPr="009C6718">
        <w:t xml:space="preserve">drops in college enrollment </w:t>
      </w:r>
      <w:r>
        <w:t xml:space="preserve">next </w:t>
      </w:r>
      <w:r w:rsidRPr="009C6718">
        <w:t>fall.</w:t>
      </w:r>
      <w:r>
        <w:t xml:space="preserve"> More </w:t>
      </w:r>
      <w:r w:rsidR="00E321CE">
        <w:t xml:space="preserve">information is </w:t>
      </w:r>
      <w:r>
        <w:t xml:space="preserve">in the memorandum under Tab 3. At our January 26 meeting, the Board will get an update from Matt Deninger, DESE’s </w:t>
      </w:r>
      <w:r w:rsidRPr="0065309E">
        <w:t>Chief Strategy and Research Officer</w:t>
      </w:r>
      <w:r>
        <w:t>,</w:t>
      </w:r>
      <w:r w:rsidRPr="0065309E">
        <w:t xml:space="preserve"> and </w:t>
      </w:r>
      <w:r>
        <w:t xml:space="preserve">Nyal Fuentes of our College and Career </w:t>
      </w:r>
      <w:r w:rsidR="00E321CE">
        <w:t xml:space="preserve">Readiness </w:t>
      </w:r>
      <w:r>
        <w:t xml:space="preserve">team. </w:t>
      </w:r>
      <w:r w:rsidRPr="0065309E">
        <w:t xml:space="preserve"> </w:t>
      </w:r>
    </w:p>
    <w:p w14:paraId="26027B55" w14:textId="77777777" w:rsidR="00820C10" w:rsidRPr="0065309E" w:rsidRDefault="00820C10" w:rsidP="00820C10">
      <w:pPr>
        <w:pStyle w:val="paragraph"/>
        <w:textAlignment w:val="baseline"/>
        <w:rPr>
          <w:rFonts w:eastAsia="Calibri"/>
          <w:b/>
        </w:rPr>
      </w:pPr>
    </w:p>
    <w:p w14:paraId="13E3A884" w14:textId="48423F6C" w:rsidR="00820C10" w:rsidRDefault="00820C10" w:rsidP="00820C10">
      <w:pPr>
        <w:pStyle w:val="paragraph"/>
        <w:numPr>
          <w:ilvl w:val="0"/>
          <w:numId w:val="1"/>
        </w:numPr>
        <w:textAlignment w:val="baseline"/>
        <w:rPr>
          <w:rFonts w:eastAsia="Calibri"/>
          <w:b/>
        </w:rPr>
      </w:pPr>
      <w:r w:rsidRPr="00820C10">
        <w:rPr>
          <w:rFonts w:eastAsia="Calibri"/>
          <w:b/>
        </w:rPr>
        <w:t xml:space="preserve">Update on Educator Diversity Initiatives – Discussion </w:t>
      </w:r>
    </w:p>
    <w:p w14:paraId="30880061" w14:textId="6C836386" w:rsidR="00820C10" w:rsidRDefault="00820C10" w:rsidP="00820C10">
      <w:pPr>
        <w:pStyle w:val="paragraph"/>
        <w:textAlignment w:val="baseline"/>
        <w:rPr>
          <w:rFonts w:eastAsia="Calibri"/>
          <w:b/>
        </w:rPr>
      </w:pPr>
    </w:p>
    <w:p w14:paraId="3FB4D88E" w14:textId="7E0F9FF6" w:rsidR="007361C3" w:rsidRPr="00E60612" w:rsidRDefault="00E60612" w:rsidP="007361C3">
      <w:pPr>
        <w:pStyle w:val="paragraph"/>
        <w:textAlignment w:val="baseline"/>
      </w:pPr>
      <w:r w:rsidRPr="00E60612">
        <w:rPr>
          <w:rStyle w:val="normaltextrun1"/>
        </w:rPr>
        <w:t>Ventura Rodriguez, Senior Associate Commissioner for Strategic Initiatives</w:t>
      </w:r>
      <w:r w:rsidR="00E93E89">
        <w:rPr>
          <w:rStyle w:val="normaltextrun1"/>
        </w:rPr>
        <w:t xml:space="preserve">, and </w:t>
      </w:r>
      <w:r w:rsidRPr="00E60612">
        <w:rPr>
          <w:rStyle w:val="normaltextrun1"/>
        </w:rPr>
        <w:t>Shay Edmond, Associate Commissioner for Strategic Initiatives</w:t>
      </w:r>
      <w:r w:rsidR="00464CA9">
        <w:rPr>
          <w:rStyle w:val="normaltextrun1"/>
        </w:rPr>
        <w:t>,</w:t>
      </w:r>
      <w:r w:rsidR="00E93E89">
        <w:rPr>
          <w:rStyle w:val="normaltextrun1"/>
        </w:rPr>
        <w:t xml:space="preserve"> </w:t>
      </w:r>
      <w:r w:rsidRPr="00E60612">
        <w:rPr>
          <w:rStyle w:val="normaltextrun1"/>
        </w:rPr>
        <w:t xml:space="preserve">will </w:t>
      </w:r>
      <w:r w:rsidR="00E93E89">
        <w:rPr>
          <w:rStyle w:val="normaltextrun1"/>
        </w:rPr>
        <w:t xml:space="preserve">brief </w:t>
      </w:r>
      <w:r w:rsidR="007361C3" w:rsidRPr="00E60612">
        <w:rPr>
          <w:rStyle w:val="normaltextrun1"/>
        </w:rPr>
        <w:t>the Board on DESE</w:t>
      </w:r>
      <w:r>
        <w:rPr>
          <w:rStyle w:val="normaltextrun1"/>
        </w:rPr>
        <w:t>’s</w:t>
      </w:r>
      <w:r w:rsidR="007361C3" w:rsidRPr="00E60612">
        <w:rPr>
          <w:rStyle w:val="normaltextrun1"/>
        </w:rPr>
        <w:t xml:space="preserve"> “Promising Recruitment, Selection, and Retention Strategies for a Diverse Massachusetts Teacher Workforce</w:t>
      </w:r>
      <w:r>
        <w:rPr>
          <w:rStyle w:val="normaltextrun1"/>
        </w:rPr>
        <w:t>”</w:t>
      </w:r>
      <w:r w:rsidR="007361C3" w:rsidRPr="00E60612">
        <w:rPr>
          <w:rStyle w:val="normaltextrun1"/>
        </w:rPr>
        <w:t xml:space="preserve"> Guidebook</w:t>
      </w:r>
      <w:r w:rsidR="00464CA9">
        <w:rPr>
          <w:rStyle w:val="normaltextrun1"/>
        </w:rPr>
        <w:t>,</w:t>
      </w:r>
      <w:r>
        <w:rPr>
          <w:rStyle w:val="normaltextrun1"/>
        </w:rPr>
        <w:t xml:space="preserve"> and how </w:t>
      </w:r>
      <w:r w:rsidR="007361C3" w:rsidRPr="00E60612">
        <w:rPr>
          <w:rStyle w:val="normaltextrun1"/>
        </w:rPr>
        <w:t>it will be used to support school district</w:t>
      </w:r>
      <w:r w:rsidR="00E93E89">
        <w:rPr>
          <w:rStyle w:val="normaltextrun1"/>
        </w:rPr>
        <w:t>s’</w:t>
      </w:r>
      <w:r w:rsidR="007361C3" w:rsidRPr="00E60612">
        <w:rPr>
          <w:rStyle w:val="normaltextrun1"/>
        </w:rPr>
        <w:t xml:space="preserve"> efforts to strengthen and diversify teacher recruitment and retention </w:t>
      </w:r>
      <w:r w:rsidR="00E93E89">
        <w:rPr>
          <w:rStyle w:val="normaltextrun1"/>
        </w:rPr>
        <w:t xml:space="preserve">programs. </w:t>
      </w:r>
      <w:r w:rsidR="00E93E89" w:rsidRPr="00E60612">
        <w:rPr>
          <w:rStyle w:val="normaltextrun1"/>
        </w:rPr>
        <w:t xml:space="preserve">Christina Brown, </w:t>
      </w:r>
      <w:r w:rsidR="00E93E89">
        <w:rPr>
          <w:rStyle w:val="normaltextrun1"/>
        </w:rPr>
        <w:t>p</w:t>
      </w:r>
      <w:r w:rsidR="00E93E89" w:rsidRPr="00E60612">
        <w:rPr>
          <w:rStyle w:val="normaltextrun1"/>
        </w:rPr>
        <w:t>artner at TNTP,</w:t>
      </w:r>
      <w:r w:rsidR="007361C3" w:rsidRPr="00E60612">
        <w:rPr>
          <w:rStyle w:val="eop"/>
        </w:rPr>
        <w:t> </w:t>
      </w:r>
      <w:r w:rsidR="00E93E89">
        <w:rPr>
          <w:rStyle w:val="eop"/>
        </w:rPr>
        <w:t xml:space="preserve">will join </w:t>
      </w:r>
      <w:r w:rsidR="00E93E89">
        <w:rPr>
          <w:rStyle w:val="normaltextrun1"/>
        </w:rPr>
        <w:t xml:space="preserve">Ventura and Shay </w:t>
      </w:r>
      <w:r w:rsidR="00E93E89">
        <w:rPr>
          <w:rStyle w:val="eop"/>
        </w:rPr>
        <w:t xml:space="preserve">for the presentation and discussion with the Board. </w:t>
      </w:r>
    </w:p>
    <w:p w14:paraId="078E072A" w14:textId="36152788" w:rsidR="00820C10" w:rsidRPr="00E60612" w:rsidRDefault="00820C10" w:rsidP="00820C10">
      <w:pPr>
        <w:pStyle w:val="paragraph"/>
        <w:textAlignment w:val="baseline"/>
        <w:rPr>
          <w:rFonts w:eastAsia="Calibri"/>
          <w:b/>
        </w:rPr>
      </w:pPr>
    </w:p>
    <w:p w14:paraId="1E7F47A8" w14:textId="03561C95" w:rsidR="00804C35" w:rsidRPr="00820C10" w:rsidRDefault="00804C35" w:rsidP="00A7418D">
      <w:pPr>
        <w:widowControl/>
        <w:numPr>
          <w:ilvl w:val="0"/>
          <w:numId w:val="1"/>
        </w:numPr>
        <w:textAlignment w:val="baseline"/>
        <w:rPr>
          <w:b/>
          <w:bCs/>
          <w:snapToGrid/>
          <w:szCs w:val="24"/>
        </w:rPr>
      </w:pPr>
      <w:bookmarkStart w:id="5" w:name="_Hlk56084174"/>
      <w:r w:rsidRPr="00820C10">
        <w:rPr>
          <w:b/>
          <w:bCs/>
          <w:snapToGrid/>
          <w:szCs w:val="24"/>
        </w:rPr>
        <w:t>Update on Education Budget Matters –</w:t>
      </w:r>
      <w:r w:rsidR="00A043CC" w:rsidRPr="00820C10">
        <w:rPr>
          <w:b/>
          <w:bCs/>
          <w:snapToGrid/>
          <w:szCs w:val="24"/>
        </w:rPr>
        <w:t xml:space="preserve"> </w:t>
      </w:r>
      <w:r w:rsidRPr="00820C10">
        <w:rPr>
          <w:b/>
          <w:bCs/>
          <w:snapToGrid/>
          <w:szCs w:val="24"/>
        </w:rPr>
        <w:t>Discussion </w:t>
      </w:r>
    </w:p>
    <w:bookmarkEnd w:id="5"/>
    <w:p w14:paraId="68CC98E4" w14:textId="77777777" w:rsidR="00824648" w:rsidRPr="00820C10" w:rsidRDefault="00824648" w:rsidP="00824648">
      <w:pPr>
        <w:pStyle w:val="ListParagraph"/>
        <w:rPr>
          <w:rFonts w:eastAsia="Calibri"/>
          <w:b/>
          <w:bCs/>
        </w:rPr>
      </w:pPr>
    </w:p>
    <w:p w14:paraId="0C124A4F" w14:textId="4738E7A8" w:rsidR="00824648" w:rsidRDefault="00824648" w:rsidP="00824648">
      <w:pPr>
        <w:rPr>
          <w:rFonts w:eastAsia="Calibri"/>
        </w:rPr>
      </w:pPr>
      <w:r w:rsidRPr="00820C10">
        <w:rPr>
          <w:rFonts w:eastAsia="Calibri"/>
        </w:rPr>
        <w:t>Senior Associate Commissioner/CFO Bill Bell will update the Board on the latest information we have about federal and state funding for K-12 education in the Commonwealth.</w:t>
      </w:r>
    </w:p>
    <w:p w14:paraId="75D0C85F" w14:textId="77777777" w:rsidR="00824648" w:rsidRDefault="00824648" w:rsidP="00824648">
      <w:pPr>
        <w:widowControl/>
        <w:jc w:val="center"/>
        <w:textAlignment w:val="baseline"/>
        <w:rPr>
          <w:b/>
          <w:szCs w:val="24"/>
        </w:rPr>
      </w:pPr>
    </w:p>
    <w:p w14:paraId="13ECC0CA" w14:textId="2055D05D" w:rsidR="00804C35" w:rsidRPr="00804C35" w:rsidRDefault="00824648" w:rsidP="00824648">
      <w:pPr>
        <w:widowControl/>
        <w:jc w:val="center"/>
        <w:textAlignment w:val="baseline"/>
        <w:rPr>
          <w:rFonts w:ascii="Segoe UI" w:hAnsi="Segoe UI" w:cs="Segoe UI"/>
          <w:b/>
          <w:bCs/>
          <w:snapToGrid/>
          <w:sz w:val="18"/>
          <w:szCs w:val="18"/>
        </w:rPr>
      </w:pPr>
      <w:r>
        <w:rPr>
          <w:b/>
          <w:szCs w:val="24"/>
        </w:rPr>
        <w:t xml:space="preserve">OTHER </w:t>
      </w:r>
      <w:r w:rsidRPr="00AD2EDF">
        <w:rPr>
          <w:b/>
          <w:szCs w:val="24"/>
        </w:rPr>
        <w:t xml:space="preserve">ITEMS FOR </w:t>
      </w:r>
      <w:r>
        <w:rPr>
          <w:b/>
          <w:szCs w:val="24"/>
        </w:rPr>
        <w:t>INFORMA</w:t>
      </w:r>
      <w:r w:rsidRPr="00AD2EDF">
        <w:rPr>
          <w:b/>
          <w:szCs w:val="24"/>
        </w:rPr>
        <w:t>TION</w:t>
      </w:r>
    </w:p>
    <w:p w14:paraId="0B61A8E5" w14:textId="77777777" w:rsidR="00804C35" w:rsidRPr="00804C35" w:rsidRDefault="00804C35" w:rsidP="00804C35">
      <w:pPr>
        <w:widowControl/>
        <w:textAlignment w:val="baseline"/>
        <w:rPr>
          <w:rFonts w:ascii="Segoe UI" w:hAnsi="Segoe UI" w:cs="Segoe UI"/>
          <w:b/>
          <w:bCs/>
          <w:snapToGrid/>
          <w:sz w:val="18"/>
          <w:szCs w:val="18"/>
        </w:rPr>
      </w:pPr>
    </w:p>
    <w:p w14:paraId="082F5000" w14:textId="1CD37658" w:rsidR="00820C10" w:rsidRDefault="00820C10" w:rsidP="00820C10">
      <w:pPr>
        <w:pStyle w:val="ListParagraph"/>
        <w:numPr>
          <w:ilvl w:val="0"/>
          <w:numId w:val="1"/>
        </w:numPr>
        <w:contextualSpacing/>
        <w:textAlignment w:val="baseline"/>
        <w:rPr>
          <w:b/>
          <w:bCs/>
        </w:rPr>
      </w:pPr>
      <w:r w:rsidRPr="00820C10">
        <w:rPr>
          <w:b/>
          <w:bCs/>
        </w:rPr>
        <w:t>Board of Elementary and Secondary Education Annual Report for FY2020 </w:t>
      </w:r>
    </w:p>
    <w:p w14:paraId="6004A209" w14:textId="24C68145" w:rsidR="00D720F2" w:rsidRDefault="00D720F2" w:rsidP="00D720F2">
      <w:pPr>
        <w:contextualSpacing/>
        <w:textAlignment w:val="baseline"/>
        <w:rPr>
          <w:b/>
          <w:bCs/>
        </w:rPr>
      </w:pPr>
    </w:p>
    <w:p w14:paraId="6E5A00F1" w14:textId="698A69F4" w:rsidR="00D720F2" w:rsidRPr="00D720F2" w:rsidRDefault="00D720F2" w:rsidP="00D720F2">
      <w:pPr>
        <w:contextualSpacing/>
        <w:textAlignment w:val="baseline"/>
      </w:pPr>
      <w:r w:rsidRPr="00D720F2">
        <w:t>The Board’s annual report highlights key activities and initiatives of the Board and Department for</w:t>
      </w:r>
      <w:r w:rsidR="00E93E89">
        <w:t xml:space="preserve"> the past fiscal year</w:t>
      </w:r>
      <w:r w:rsidRPr="00D720F2">
        <w:t xml:space="preserve">. </w:t>
      </w:r>
      <w:r>
        <w:t xml:space="preserve">We </w:t>
      </w:r>
      <w:r w:rsidRPr="00D720F2">
        <w:t xml:space="preserve">will </w:t>
      </w:r>
      <w:r>
        <w:t xml:space="preserve">send the report to the Board </w:t>
      </w:r>
      <w:r w:rsidR="00E93E89">
        <w:t xml:space="preserve">in advance of our </w:t>
      </w:r>
      <w:r>
        <w:t>January 26 meeting</w:t>
      </w:r>
      <w:r w:rsidR="0068270F">
        <w:t>. As we do each year, we will forward the report to the Governor, the Legislature, and education stakeholders throughout the Commonwealth as well as posting it on our website.</w:t>
      </w:r>
    </w:p>
    <w:p w14:paraId="15219C24" w14:textId="77777777" w:rsidR="00D720F2" w:rsidRPr="00D720F2" w:rsidRDefault="00D720F2" w:rsidP="00D720F2">
      <w:pPr>
        <w:contextualSpacing/>
        <w:textAlignment w:val="baseline"/>
        <w:rPr>
          <w:b/>
          <w:bCs/>
        </w:rPr>
      </w:pPr>
    </w:p>
    <w:p w14:paraId="682D3077" w14:textId="63470548" w:rsidR="00820C10" w:rsidRDefault="00820C10" w:rsidP="00820C10">
      <w:pPr>
        <w:pStyle w:val="ListParagraph"/>
        <w:numPr>
          <w:ilvl w:val="0"/>
          <w:numId w:val="1"/>
        </w:numPr>
        <w:contextualSpacing/>
        <w:textAlignment w:val="baseline"/>
        <w:rPr>
          <w:b/>
          <w:bCs/>
        </w:rPr>
      </w:pPr>
      <w:r w:rsidRPr="00820C10">
        <w:rPr>
          <w:b/>
          <w:bCs/>
        </w:rPr>
        <w:t>Legislative Reports: Education-Related Laws Enacted in 191</w:t>
      </w:r>
      <w:r w:rsidRPr="00820C10">
        <w:rPr>
          <w:b/>
          <w:bCs/>
          <w:vertAlign w:val="superscript"/>
        </w:rPr>
        <w:t>st</w:t>
      </w:r>
      <w:r w:rsidRPr="00820C10">
        <w:rPr>
          <w:b/>
          <w:bCs/>
        </w:rPr>
        <w:t xml:space="preserve"> Legislative Session and the Data Advisory Commission Annual Report for 2020</w:t>
      </w:r>
    </w:p>
    <w:p w14:paraId="36A283D5" w14:textId="2F4743BB" w:rsidR="0068270F" w:rsidRDefault="0068270F" w:rsidP="0068270F">
      <w:pPr>
        <w:contextualSpacing/>
        <w:textAlignment w:val="baseline"/>
        <w:rPr>
          <w:b/>
          <w:bCs/>
        </w:rPr>
      </w:pPr>
    </w:p>
    <w:p w14:paraId="5BFE3619" w14:textId="7D5FFCAE" w:rsidR="0068270F" w:rsidRPr="0068270F" w:rsidRDefault="0068270F" w:rsidP="0068270F">
      <w:pPr>
        <w:contextualSpacing/>
        <w:textAlignment w:val="baseline"/>
      </w:pPr>
      <w:r w:rsidRPr="0068270F">
        <w:t>Th</w:t>
      </w:r>
      <w:r w:rsidR="00E93E89">
        <w:t>e</w:t>
      </w:r>
      <w:r w:rsidRPr="0068270F">
        <w:t xml:space="preserve"> memorandum </w:t>
      </w:r>
      <w:r w:rsidR="00E93E89">
        <w:t xml:space="preserve">under Tab 7 </w:t>
      </w:r>
      <w:r w:rsidRPr="0068270F">
        <w:t xml:space="preserve">lists </w:t>
      </w:r>
      <w:r>
        <w:t xml:space="preserve">and summarizes the </w:t>
      </w:r>
      <w:r w:rsidRPr="0068270F">
        <w:t xml:space="preserve">education-related state laws that were </w:t>
      </w:r>
      <w:r w:rsidR="004D70C1">
        <w:rPr>
          <w:rStyle w:val="normaltextrun1"/>
        </w:rPr>
        <w:t>enacted during the two-year 191</w:t>
      </w:r>
      <w:r w:rsidR="00464CA9" w:rsidRPr="00464CA9">
        <w:rPr>
          <w:rStyle w:val="normaltextrun1"/>
          <w:vertAlign w:val="superscript"/>
        </w:rPr>
        <w:t>st</w:t>
      </w:r>
      <w:r w:rsidR="00464CA9">
        <w:rPr>
          <w:rStyle w:val="normaltextrun1"/>
        </w:rPr>
        <w:t xml:space="preserve"> </w:t>
      </w:r>
      <w:r w:rsidR="004D70C1">
        <w:rPr>
          <w:rStyle w:val="normaltextrun1"/>
        </w:rPr>
        <w:t>legislative session that concluded a few weeks ago</w:t>
      </w:r>
      <w:r w:rsidRPr="0068270F">
        <w:t xml:space="preserve">. Also </w:t>
      </w:r>
      <w:r w:rsidR="00464CA9">
        <w:t xml:space="preserve">enclosed </w:t>
      </w:r>
      <w:r w:rsidRPr="0068270F">
        <w:t>for your information is the first report of the statutory</w:t>
      </w:r>
      <w:r w:rsidRPr="0068270F">
        <w:rPr>
          <w:snapToGrid/>
        </w:rPr>
        <w:t xml:space="preserve"> Data Advisory Commission.</w:t>
      </w:r>
      <w:r w:rsidRPr="0068270F">
        <w:t xml:space="preserve">  </w:t>
      </w:r>
    </w:p>
    <w:p w14:paraId="139A47C1" w14:textId="77777777" w:rsidR="0068270F" w:rsidRPr="0068270F" w:rsidRDefault="0068270F" w:rsidP="0068270F">
      <w:pPr>
        <w:contextualSpacing/>
        <w:textAlignment w:val="baseline"/>
        <w:rPr>
          <w:b/>
          <w:bCs/>
        </w:rPr>
      </w:pPr>
    </w:p>
    <w:p w14:paraId="3C991ECD" w14:textId="353F308F" w:rsidR="00804C35" w:rsidRDefault="00804C35" w:rsidP="00A7418D">
      <w:pPr>
        <w:widowControl/>
        <w:numPr>
          <w:ilvl w:val="0"/>
          <w:numId w:val="1"/>
        </w:numPr>
        <w:textAlignment w:val="baseline"/>
        <w:rPr>
          <w:b/>
          <w:bCs/>
          <w:snapToGrid/>
          <w:szCs w:val="24"/>
        </w:rPr>
      </w:pPr>
      <w:r w:rsidRPr="00820C10">
        <w:rPr>
          <w:b/>
          <w:bCs/>
          <w:snapToGrid/>
          <w:szCs w:val="24"/>
        </w:rPr>
        <w:t>Report on Grants Approved by the Commissioner </w:t>
      </w:r>
    </w:p>
    <w:p w14:paraId="5436A43B" w14:textId="4F4753CF" w:rsidR="0068270F" w:rsidRDefault="0068270F" w:rsidP="0068270F">
      <w:pPr>
        <w:widowControl/>
        <w:textAlignment w:val="baseline"/>
        <w:rPr>
          <w:b/>
          <w:bCs/>
          <w:snapToGrid/>
          <w:szCs w:val="24"/>
        </w:rPr>
      </w:pPr>
    </w:p>
    <w:p w14:paraId="7E670702" w14:textId="6532F2FB" w:rsidR="0068270F" w:rsidRPr="0068270F" w:rsidRDefault="0068270F" w:rsidP="0068270F">
      <w:pPr>
        <w:widowControl/>
        <w:textAlignment w:val="baseline"/>
        <w:rPr>
          <w:snapToGrid/>
          <w:szCs w:val="24"/>
        </w:rPr>
      </w:pPr>
      <w:r w:rsidRPr="0068270F">
        <w:rPr>
          <w:snapToGrid/>
          <w:szCs w:val="24"/>
        </w:rPr>
        <w:t>Enclosed is information on grants that I have approved since the last meeting, under the authority the Board has delegated to the Commissioner.</w:t>
      </w:r>
    </w:p>
    <w:p w14:paraId="4DFBAE62" w14:textId="77777777" w:rsidR="0068270F" w:rsidRPr="0068270F" w:rsidRDefault="0068270F" w:rsidP="0068270F">
      <w:pPr>
        <w:widowControl/>
        <w:textAlignment w:val="baseline"/>
        <w:rPr>
          <w:snapToGrid/>
          <w:szCs w:val="24"/>
        </w:rPr>
      </w:pPr>
    </w:p>
    <w:p w14:paraId="755611F4" w14:textId="77777777" w:rsidR="00820C10" w:rsidRPr="00820C10" w:rsidRDefault="00820C10" w:rsidP="00820C10">
      <w:pPr>
        <w:pStyle w:val="ListParagraph"/>
        <w:numPr>
          <w:ilvl w:val="0"/>
          <w:numId w:val="1"/>
        </w:numPr>
        <w:contextualSpacing/>
        <w:textAlignment w:val="baseline"/>
        <w:rPr>
          <w:b/>
          <w:bCs/>
        </w:rPr>
      </w:pPr>
      <w:r w:rsidRPr="00820C10">
        <w:rPr>
          <w:b/>
          <w:bCs/>
        </w:rPr>
        <w:t>Chronically Under-Performing Schools Quarterly Reports</w:t>
      </w:r>
    </w:p>
    <w:p w14:paraId="01069A32" w14:textId="77777777" w:rsidR="00820C10" w:rsidRDefault="00820C10" w:rsidP="00820C10">
      <w:pPr>
        <w:widowControl/>
        <w:textAlignment w:val="baseline"/>
        <w:rPr>
          <w:b/>
          <w:bCs/>
          <w:snapToGrid/>
          <w:szCs w:val="24"/>
        </w:rPr>
      </w:pPr>
    </w:p>
    <w:p w14:paraId="65C6BC1E" w14:textId="4194F586" w:rsidR="00864648" w:rsidRPr="0068270F" w:rsidRDefault="00E05841" w:rsidP="0068270F">
      <w:pPr>
        <w:rPr>
          <w:snapToGrid/>
        </w:rPr>
      </w:pPr>
      <w:r>
        <w:rPr>
          <w:snapToGrid/>
        </w:rPr>
        <w:t>Enclosed is the second quarterly</w:t>
      </w:r>
      <w:r w:rsidR="0068270F">
        <w:rPr>
          <w:snapToGrid/>
        </w:rPr>
        <w:t xml:space="preserve"> </w:t>
      </w:r>
      <w:r>
        <w:rPr>
          <w:snapToGrid/>
        </w:rPr>
        <w:t xml:space="preserve">FY2021 </w:t>
      </w:r>
      <w:r w:rsidR="0068270F" w:rsidRPr="0068270F">
        <w:rPr>
          <w:snapToGrid/>
        </w:rPr>
        <w:t>progress report on the four chronically under</w:t>
      </w:r>
      <w:r w:rsidR="0068270F">
        <w:rPr>
          <w:snapToGrid/>
        </w:rPr>
        <w:t>-performing schools – UP Academy Holland and Paul A. Dever Elementary School in Boston, John Avery Parker Elementary School in New Bedford, and Morgan Full Service Community School in Holyoke.</w:t>
      </w:r>
    </w:p>
    <w:p w14:paraId="47269513" w14:textId="77777777" w:rsidR="00C6336D" w:rsidRPr="001E777F" w:rsidRDefault="00C6336D" w:rsidP="00C6336D"/>
    <w:p w14:paraId="0A780709" w14:textId="2AA2AAF6" w:rsidR="00C24BC6" w:rsidRDefault="00051208" w:rsidP="00BC0B4A">
      <w:r>
        <w:t xml:space="preserve">If you have questions about any agenda items, please call me. I look forward </w:t>
      </w:r>
      <w:r w:rsidR="00CB641A">
        <w:t xml:space="preserve">to </w:t>
      </w:r>
      <w:r w:rsidR="00322B14">
        <w:t xml:space="preserve">meeting with you </w:t>
      </w:r>
      <w:r w:rsidR="00913095">
        <w:t xml:space="preserve">in person </w:t>
      </w:r>
      <w:r w:rsidR="00322B14">
        <w:t>on</w:t>
      </w:r>
      <w:r w:rsidR="00A67E01">
        <w:t xml:space="preserve"> January 26</w:t>
      </w:r>
      <w:r w:rsidR="00322B14">
        <w:t xml:space="preserve">. </w:t>
      </w:r>
    </w:p>
    <w:p w14:paraId="7EB07FC0" w14:textId="4ABF2B3A" w:rsidR="00A33D9E" w:rsidRDefault="00A33D9E" w:rsidP="00BC0B4A"/>
    <w:p w14:paraId="3274A043" w14:textId="77777777" w:rsidR="007741E2" w:rsidRDefault="007741E2" w:rsidP="007741E2">
      <w:pPr>
        <w:ind w:left="360"/>
        <w:rPr>
          <w:color w:val="1D2228"/>
        </w:rPr>
      </w:pPr>
    </w:p>
    <w:p w14:paraId="1BD48A9D" w14:textId="585D6974" w:rsidR="007741E2" w:rsidRDefault="007741E2" w:rsidP="007741E2"/>
    <w:p w14:paraId="17934FE3" w14:textId="096C7669" w:rsidR="001B7307" w:rsidRDefault="001B7307" w:rsidP="00BC0B4A"/>
    <w:sectPr w:rsidR="001B7307" w:rsidSect="005C1013">
      <w:footerReference w:type="default" r:id="rId14"/>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27C0A" w14:textId="77777777" w:rsidR="00EF7540" w:rsidRDefault="00EF7540">
      <w:r>
        <w:separator/>
      </w:r>
    </w:p>
  </w:endnote>
  <w:endnote w:type="continuationSeparator" w:id="0">
    <w:p w14:paraId="0F7B826F" w14:textId="77777777" w:rsidR="00EF7540" w:rsidRDefault="00EF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4723E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4723E1" w:rsidRDefault="00EF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092C0" w14:textId="77777777" w:rsidR="00EF7540" w:rsidRDefault="00EF7540">
      <w:r>
        <w:separator/>
      </w:r>
    </w:p>
  </w:footnote>
  <w:footnote w:type="continuationSeparator" w:id="0">
    <w:p w14:paraId="1A97CE4B" w14:textId="77777777" w:rsidR="00EF7540" w:rsidRDefault="00EF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256B"/>
    <w:multiLevelType w:val="hybridMultilevel"/>
    <w:tmpl w:val="728A99EA"/>
    <w:lvl w:ilvl="0" w:tplc="AA46DD68">
      <w:start w:val="3"/>
      <w:numFmt w:val="decimal"/>
      <w:lvlText w:val="%1."/>
      <w:lvlJc w:val="left"/>
      <w:pPr>
        <w:tabs>
          <w:tab w:val="num" w:pos="720"/>
        </w:tabs>
        <w:ind w:left="720" w:hanging="360"/>
      </w:pPr>
    </w:lvl>
    <w:lvl w:ilvl="1" w:tplc="8F923B8E" w:tentative="1">
      <w:start w:val="1"/>
      <w:numFmt w:val="decimal"/>
      <w:lvlText w:val="%2."/>
      <w:lvlJc w:val="left"/>
      <w:pPr>
        <w:tabs>
          <w:tab w:val="num" w:pos="1440"/>
        </w:tabs>
        <w:ind w:left="1440" w:hanging="360"/>
      </w:pPr>
    </w:lvl>
    <w:lvl w:ilvl="2" w:tplc="4A5C219A" w:tentative="1">
      <w:start w:val="1"/>
      <w:numFmt w:val="decimal"/>
      <w:lvlText w:val="%3."/>
      <w:lvlJc w:val="left"/>
      <w:pPr>
        <w:tabs>
          <w:tab w:val="num" w:pos="2160"/>
        </w:tabs>
        <w:ind w:left="2160" w:hanging="360"/>
      </w:pPr>
    </w:lvl>
    <w:lvl w:ilvl="3" w:tplc="62DAE4AE" w:tentative="1">
      <w:start w:val="1"/>
      <w:numFmt w:val="decimal"/>
      <w:lvlText w:val="%4."/>
      <w:lvlJc w:val="left"/>
      <w:pPr>
        <w:tabs>
          <w:tab w:val="num" w:pos="2880"/>
        </w:tabs>
        <w:ind w:left="2880" w:hanging="360"/>
      </w:pPr>
    </w:lvl>
    <w:lvl w:ilvl="4" w:tplc="6DDAA858" w:tentative="1">
      <w:start w:val="1"/>
      <w:numFmt w:val="decimal"/>
      <w:lvlText w:val="%5."/>
      <w:lvlJc w:val="left"/>
      <w:pPr>
        <w:tabs>
          <w:tab w:val="num" w:pos="3600"/>
        </w:tabs>
        <w:ind w:left="3600" w:hanging="360"/>
      </w:pPr>
    </w:lvl>
    <w:lvl w:ilvl="5" w:tplc="A12EE06E" w:tentative="1">
      <w:start w:val="1"/>
      <w:numFmt w:val="decimal"/>
      <w:lvlText w:val="%6."/>
      <w:lvlJc w:val="left"/>
      <w:pPr>
        <w:tabs>
          <w:tab w:val="num" w:pos="4320"/>
        </w:tabs>
        <w:ind w:left="4320" w:hanging="360"/>
      </w:pPr>
    </w:lvl>
    <w:lvl w:ilvl="6" w:tplc="901863F4" w:tentative="1">
      <w:start w:val="1"/>
      <w:numFmt w:val="decimal"/>
      <w:lvlText w:val="%7."/>
      <w:lvlJc w:val="left"/>
      <w:pPr>
        <w:tabs>
          <w:tab w:val="num" w:pos="5040"/>
        </w:tabs>
        <w:ind w:left="5040" w:hanging="360"/>
      </w:pPr>
    </w:lvl>
    <w:lvl w:ilvl="7" w:tplc="17FA1B22" w:tentative="1">
      <w:start w:val="1"/>
      <w:numFmt w:val="decimal"/>
      <w:lvlText w:val="%8."/>
      <w:lvlJc w:val="left"/>
      <w:pPr>
        <w:tabs>
          <w:tab w:val="num" w:pos="5760"/>
        </w:tabs>
        <w:ind w:left="5760" w:hanging="360"/>
      </w:pPr>
    </w:lvl>
    <w:lvl w:ilvl="8" w:tplc="4864B486" w:tentative="1">
      <w:start w:val="1"/>
      <w:numFmt w:val="decimal"/>
      <w:lvlText w:val="%9."/>
      <w:lvlJc w:val="left"/>
      <w:pPr>
        <w:tabs>
          <w:tab w:val="num" w:pos="6480"/>
        </w:tabs>
        <w:ind w:left="6480" w:hanging="360"/>
      </w:pPr>
    </w:lvl>
  </w:abstractNum>
  <w:abstractNum w:abstractNumId="1" w15:restartNumberingAfterBreak="0">
    <w:nsid w:val="15B74590"/>
    <w:multiLevelType w:val="hybridMultilevel"/>
    <w:tmpl w:val="ACE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E0783"/>
    <w:multiLevelType w:val="hybridMultilevel"/>
    <w:tmpl w:val="D1EE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45360"/>
    <w:multiLevelType w:val="multilevel"/>
    <w:tmpl w:val="A8EC12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8BA74CE"/>
    <w:multiLevelType w:val="hybridMultilevel"/>
    <w:tmpl w:val="BCBC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F19C6"/>
    <w:multiLevelType w:val="multilevel"/>
    <w:tmpl w:val="06ECF5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F61ACD"/>
    <w:multiLevelType w:val="multilevel"/>
    <w:tmpl w:val="C8225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A41E8"/>
    <w:multiLevelType w:val="hybridMultilevel"/>
    <w:tmpl w:val="22FEC294"/>
    <w:lvl w:ilvl="0" w:tplc="85DCC0C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3E1D36"/>
    <w:multiLevelType w:val="hybridMultilevel"/>
    <w:tmpl w:val="A6A22358"/>
    <w:lvl w:ilvl="0" w:tplc="90EAE656">
      <w:start w:val="4"/>
      <w:numFmt w:val="decimal"/>
      <w:lvlText w:val="%1."/>
      <w:lvlJc w:val="left"/>
      <w:pPr>
        <w:tabs>
          <w:tab w:val="num" w:pos="720"/>
        </w:tabs>
        <w:ind w:left="720" w:hanging="360"/>
      </w:pPr>
    </w:lvl>
    <w:lvl w:ilvl="1" w:tplc="26AE5EA4" w:tentative="1">
      <w:start w:val="1"/>
      <w:numFmt w:val="decimal"/>
      <w:lvlText w:val="%2."/>
      <w:lvlJc w:val="left"/>
      <w:pPr>
        <w:tabs>
          <w:tab w:val="num" w:pos="1440"/>
        </w:tabs>
        <w:ind w:left="1440" w:hanging="360"/>
      </w:pPr>
    </w:lvl>
    <w:lvl w:ilvl="2" w:tplc="46D81AB8" w:tentative="1">
      <w:start w:val="1"/>
      <w:numFmt w:val="decimal"/>
      <w:lvlText w:val="%3."/>
      <w:lvlJc w:val="left"/>
      <w:pPr>
        <w:tabs>
          <w:tab w:val="num" w:pos="2160"/>
        </w:tabs>
        <w:ind w:left="2160" w:hanging="360"/>
      </w:pPr>
    </w:lvl>
    <w:lvl w:ilvl="3" w:tplc="759EB08E" w:tentative="1">
      <w:start w:val="1"/>
      <w:numFmt w:val="decimal"/>
      <w:lvlText w:val="%4."/>
      <w:lvlJc w:val="left"/>
      <w:pPr>
        <w:tabs>
          <w:tab w:val="num" w:pos="2880"/>
        </w:tabs>
        <w:ind w:left="2880" w:hanging="360"/>
      </w:pPr>
    </w:lvl>
    <w:lvl w:ilvl="4" w:tplc="BE64BD5E" w:tentative="1">
      <w:start w:val="1"/>
      <w:numFmt w:val="decimal"/>
      <w:lvlText w:val="%5."/>
      <w:lvlJc w:val="left"/>
      <w:pPr>
        <w:tabs>
          <w:tab w:val="num" w:pos="3600"/>
        </w:tabs>
        <w:ind w:left="3600" w:hanging="360"/>
      </w:pPr>
    </w:lvl>
    <w:lvl w:ilvl="5" w:tplc="5282D994" w:tentative="1">
      <w:start w:val="1"/>
      <w:numFmt w:val="decimal"/>
      <w:lvlText w:val="%6."/>
      <w:lvlJc w:val="left"/>
      <w:pPr>
        <w:tabs>
          <w:tab w:val="num" w:pos="4320"/>
        </w:tabs>
        <w:ind w:left="4320" w:hanging="360"/>
      </w:pPr>
    </w:lvl>
    <w:lvl w:ilvl="6" w:tplc="91F86952" w:tentative="1">
      <w:start w:val="1"/>
      <w:numFmt w:val="decimal"/>
      <w:lvlText w:val="%7."/>
      <w:lvlJc w:val="left"/>
      <w:pPr>
        <w:tabs>
          <w:tab w:val="num" w:pos="5040"/>
        </w:tabs>
        <w:ind w:left="5040" w:hanging="360"/>
      </w:pPr>
    </w:lvl>
    <w:lvl w:ilvl="7" w:tplc="0024A4A4" w:tentative="1">
      <w:start w:val="1"/>
      <w:numFmt w:val="decimal"/>
      <w:lvlText w:val="%8."/>
      <w:lvlJc w:val="left"/>
      <w:pPr>
        <w:tabs>
          <w:tab w:val="num" w:pos="5760"/>
        </w:tabs>
        <w:ind w:left="5760" w:hanging="360"/>
      </w:pPr>
    </w:lvl>
    <w:lvl w:ilvl="8" w:tplc="A2B21374" w:tentative="1">
      <w:start w:val="1"/>
      <w:numFmt w:val="decimal"/>
      <w:lvlText w:val="%9."/>
      <w:lvlJc w:val="left"/>
      <w:pPr>
        <w:tabs>
          <w:tab w:val="num" w:pos="6480"/>
        </w:tabs>
        <w:ind w:left="6480" w:hanging="360"/>
      </w:pPr>
    </w:lvl>
  </w:abstractNum>
  <w:abstractNum w:abstractNumId="9" w15:restartNumberingAfterBreak="0">
    <w:nsid w:val="5AF94E8D"/>
    <w:multiLevelType w:val="hybridMultilevel"/>
    <w:tmpl w:val="92DA5590"/>
    <w:lvl w:ilvl="0" w:tplc="8AA09C14">
      <w:start w:val="5"/>
      <w:numFmt w:val="decimal"/>
      <w:lvlText w:val="%1."/>
      <w:lvlJc w:val="left"/>
      <w:pPr>
        <w:tabs>
          <w:tab w:val="num" w:pos="720"/>
        </w:tabs>
        <w:ind w:left="720" w:hanging="360"/>
      </w:pPr>
    </w:lvl>
    <w:lvl w:ilvl="1" w:tplc="32044392" w:tentative="1">
      <w:start w:val="1"/>
      <w:numFmt w:val="decimal"/>
      <w:lvlText w:val="%2."/>
      <w:lvlJc w:val="left"/>
      <w:pPr>
        <w:tabs>
          <w:tab w:val="num" w:pos="1440"/>
        </w:tabs>
        <w:ind w:left="1440" w:hanging="360"/>
      </w:pPr>
    </w:lvl>
    <w:lvl w:ilvl="2" w:tplc="C44C34E6" w:tentative="1">
      <w:start w:val="1"/>
      <w:numFmt w:val="decimal"/>
      <w:lvlText w:val="%3."/>
      <w:lvlJc w:val="left"/>
      <w:pPr>
        <w:tabs>
          <w:tab w:val="num" w:pos="2160"/>
        </w:tabs>
        <w:ind w:left="2160" w:hanging="360"/>
      </w:pPr>
    </w:lvl>
    <w:lvl w:ilvl="3" w:tplc="AF96B628" w:tentative="1">
      <w:start w:val="1"/>
      <w:numFmt w:val="decimal"/>
      <w:lvlText w:val="%4."/>
      <w:lvlJc w:val="left"/>
      <w:pPr>
        <w:tabs>
          <w:tab w:val="num" w:pos="2880"/>
        </w:tabs>
        <w:ind w:left="2880" w:hanging="360"/>
      </w:pPr>
    </w:lvl>
    <w:lvl w:ilvl="4" w:tplc="9592A09A" w:tentative="1">
      <w:start w:val="1"/>
      <w:numFmt w:val="decimal"/>
      <w:lvlText w:val="%5."/>
      <w:lvlJc w:val="left"/>
      <w:pPr>
        <w:tabs>
          <w:tab w:val="num" w:pos="3600"/>
        </w:tabs>
        <w:ind w:left="3600" w:hanging="360"/>
      </w:pPr>
    </w:lvl>
    <w:lvl w:ilvl="5" w:tplc="A830B700" w:tentative="1">
      <w:start w:val="1"/>
      <w:numFmt w:val="decimal"/>
      <w:lvlText w:val="%6."/>
      <w:lvlJc w:val="left"/>
      <w:pPr>
        <w:tabs>
          <w:tab w:val="num" w:pos="4320"/>
        </w:tabs>
        <w:ind w:left="4320" w:hanging="360"/>
      </w:pPr>
    </w:lvl>
    <w:lvl w:ilvl="6" w:tplc="02B0911E" w:tentative="1">
      <w:start w:val="1"/>
      <w:numFmt w:val="decimal"/>
      <w:lvlText w:val="%7."/>
      <w:lvlJc w:val="left"/>
      <w:pPr>
        <w:tabs>
          <w:tab w:val="num" w:pos="5040"/>
        </w:tabs>
        <w:ind w:left="5040" w:hanging="360"/>
      </w:pPr>
    </w:lvl>
    <w:lvl w:ilvl="7" w:tplc="AB3EE686" w:tentative="1">
      <w:start w:val="1"/>
      <w:numFmt w:val="decimal"/>
      <w:lvlText w:val="%8."/>
      <w:lvlJc w:val="left"/>
      <w:pPr>
        <w:tabs>
          <w:tab w:val="num" w:pos="5760"/>
        </w:tabs>
        <w:ind w:left="5760" w:hanging="360"/>
      </w:pPr>
    </w:lvl>
    <w:lvl w:ilvl="8" w:tplc="2416C6E8" w:tentative="1">
      <w:start w:val="1"/>
      <w:numFmt w:val="decimal"/>
      <w:lvlText w:val="%9."/>
      <w:lvlJc w:val="left"/>
      <w:pPr>
        <w:tabs>
          <w:tab w:val="num" w:pos="6480"/>
        </w:tabs>
        <w:ind w:left="6480" w:hanging="360"/>
      </w:pPr>
    </w:lvl>
  </w:abstractNum>
  <w:abstractNum w:abstractNumId="10" w15:restartNumberingAfterBreak="0">
    <w:nsid w:val="5CCF2FA4"/>
    <w:multiLevelType w:val="hybridMultilevel"/>
    <w:tmpl w:val="430E0238"/>
    <w:lvl w:ilvl="0" w:tplc="71E4C2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D1E55"/>
    <w:multiLevelType w:val="hybridMultilevel"/>
    <w:tmpl w:val="00E6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B6EF3"/>
    <w:multiLevelType w:val="hybridMultilevel"/>
    <w:tmpl w:val="3F12FE20"/>
    <w:lvl w:ilvl="0" w:tplc="32FC368E">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1E662F"/>
    <w:multiLevelType w:val="hybridMultilevel"/>
    <w:tmpl w:val="B9C8D8EA"/>
    <w:lvl w:ilvl="0" w:tplc="C652F2F4">
      <w:start w:val="1"/>
      <w:numFmt w:val="decimal"/>
      <w:lvlText w:val="%1."/>
      <w:lvlJc w:val="left"/>
      <w:pPr>
        <w:tabs>
          <w:tab w:val="num" w:pos="720"/>
        </w:tabs>
        <w:ind w:left="720" w:hanging="360"/>
      </w:pPr>
    </w:lvl>
    <w:lvl w:ilvl="1" w:tplc="0FBE57B6" w:tentative="1">
      <w:start w:val="1"/>
      <w:numFmt w:val="decimal"/>
      <w:lvlText w:val="%2."/>
      <w:lvlJc w:val="left"/>
      <w:pPr>
        <w:tabs>
          <w:tab w:val="num" w:pos="1440"/>
        </w:tabs>
        <w:ind w:left="1440" w:hanging="360"/>
      </w:pPr>
    </w:lvl>
    <w:lvl w:ilvl="2" w:tplc="54F22DC2" w:tentative="1">
      <w:start w:val="1"/>
      <w:numFmt w:val="decimal"/>
      <w:lvlText w:val="%3."/>
      <w:lvlJc w:val="left"/>
      <w:pPr>
        <w:tabs>
          <w:tab w:val="num" w:pos="2160"/>
        </w:tabs>
        <w:ind w:left="2160" w:hanging="360"/>
      </w:pPr>
    </w:lvl>
    <w:lvl w:ilvl="3" w:tplc="F40655EE" w:tentative="1">
      <w:start w:val="1"/>
      <w:numFmt w:val="decimal"/>
      <w:lvlText w:val="%4."/>
      <w:lvlJc w:val="left"/>
      <w:pPr>
        <w:tabs>
          <w:tab w:val="num" w:pos="2880"/>
        </w:tabs>
        <w:ind w:left="2880" w:hanging="360"/>
      </w:pPr>
    </w:lvl>
    <w:lvl w:ilvl="4" w:tplc="1D12A0C4" w:tentative="1">
      <w:start w:val="1"/>
      <w:numFmt w:val="decimal"/>
      <w:lvlText w:val="%5."/>
      <w:lvlJc w:val="left"/>
      <w:pPr>
        <w:tabs>
          <w:tab w:val="num" w:pos="3600"/>
        </w:tabs>
        <w:ind w:left="3600" w:hanging="360"/>
      </w:pPr>
    </w:lvl>
    <w:lvl w:ilvl="5" w:tplc="FFAE54B8" w:tentative="1">
      <w:start w:val="1"/>
      <w:numFmt w:val="decimal"/>
      <w:lvlText w:val="%6."/>
      <w:lvlJc w:val="left"/>
      <w:pPr>
        <w:tabs>
          <w:tab w:val="num" w:pos="4320"/>
        </w:tabs>
        <w:ind w:left="4320" w:hanging="360"/>
      </w:pPr>
    </w:lvl>
    <w:lvl w:ilvl="6" w:tplc="7646D340" w:tentative="1">
      <w:start w:val="1"/>
      <w:numFmt w:val="decimal"/>
      <w:lvlText w:val="%7."/>
      <w:lvlJc w:val="left"/>
      <w:pPr>
        <w:tabs>
          <w:tab w:val="num" w:pos="5040"/>
        </w:tabs>
        <w:ind w:left="5040" w:hanging="360"/>
      </w:pPr>
    </w:lvl>
    <w:lvl w:ilvl="7" w:tplc="CA34E802" w:tentative="1">
      <w:start w:val="1"/>
      <w:numFmt w:val="decimal"/>
      <w:lvlText w:val="%8."/>
      <w:lvlJc w:val="left"/>
      <w:pPr>
        <w:tabs>
          <w:tab w:val="num" w:pos="5760"/>
        </w:tabs>
        <w:ind w:left="5760" w:hanging="360"/>
      </w:pPr>
    </w:lvl>
    <w:lvl w:ilvl="8" w:tplc="107EF16A" w:tentative="1">
      <w:start w:val="1"/>
      <w:numFmt w:val="decimal"/>
      <w:lvlText w:val="%9."/>
      <w:lvlJc w:val="left"/>
      <w:pPr>
        <w:tabs>
          <w:tab w:val="num" w:pos="6480"/>
        </w:tabs>
        <w:ind w:left="6480" w:hanging="360"/>
      </w:pPr>
    </w:lvl>
  </w:abstractNum>
  <w:abstractNum w:abstractNumId="15" w15:restartNumberingAfterBreak="0">
    <w:nsid w:val="76AA3368"/>
    <w:multiLevelType w:val="hybridMultilevel"/>
    <w:tmpl w:val="90301EDE"/>
    <w:lvl w:ilvl="0" w:tplc="8F8A2A4C">
      <w:start w:val="6"/>
      <w:numFmt w:val="decimal"/>
      <w:lvlText w:val="%1."/>
      <w:lvlJc w:val="left"/>
      <w:pPr>
        <w:tabs>
          <w:tab w:val="num" w:pos="720"/>
        </w:tabs>
        <w:ind w:left="720" w:hanging="360"/>
      </w:pPr>
    </w:lvl>
    <w:lvl w:ilvl="1" w:tplc="F26CB492" w:tentative="1">
      <w:start w:val="1"/>
      <w:numFmt w:val="decimal"/>
      <w:lvlText w:val="%2."/>
      <w:lvlJc w:val="left"/>
      <w:pPr>
        <w:tabs>
          <w:tab w:val="num" w:pos="1440"/>
        </w:tabs>
        <w:ind w:left="1440" w:hanging="360"/>
      </w:pPr>
    </w:lvl>
    <w:lvl w:ilvl="2" w:tplc="ED9AC9EA" w:tentative="1">
      <w:start w:val="1"/>
      <w:numFmt w:val="decimal"/>
      <w:lvlText w:val="%3."/>
      <w:lvlJc w:val="left"/>
      <w:pPr>
        <w:tabs>
          <w:tab w:val="num" w:pos="2160"/>
        </w:tabs>
        <w:ind w:left="2160" w:hanging="360"/>
      </w:pPr>
    </w:lvl>
    <w:lvl w:ilvl="3" w:tplc="982AE720" w:tentative="1">
      <w:start w:val="1"/>
      <w:numFmt w:val="decimal"/>
      <w:lvlText w:val="%4."/>
      <w:lvlJc w:val="left"/>
      <w:pPr>
        <w:tabs>
          <w:tab w:val="num" w:pos="2880"/>
        </w:tabs>
        <w:ind w:left="2880" w:hanging="360"/>
      </w:pPr>
    </w:lvl>
    <w:lvl w:ilvl="4" w:tplc="3AE4A0E0" w:tentative="1">
      <w:start w:val="1"/>
      <w:numFmt w:val="decimal"/>
      <w:lvlText w:val="%5."/>
      <w:lvlJc w:val="left"/>
      <w:pPr>
        <w:tabs>
          <w:tab w:val="num" w:pos="3600"/>
        </w:tabs>
        <w:ind w:left="3600" w:hanging="360"/>
      </w:pPr>
    </w:lvl>
    <w:lvl w:ilvl="5" w:tplc="20BC4ED4" w:tentative="1">
      <w:start w:val="1"/>
      <w:numFmt w:val="decimal"/>
      <w:lvlText w:val="%6."/>
      <w:lvlJc w:val="left"/>
      <w:pPr>
        <w:tabs>
          <w:tab w:val="num" w:pos="4320"/>
        </w:tabs>
        <w:ind w:left="4320" w:hanging="360"/>
      </w:pPr>
    </w:lvl>
    <w:lvl w:ilvl="6" w:tplc="99E6BA96" w:tentative="1">
      <w:start w:val="1"/>
      <w:numFmt w:val="decimal"/>
      <w:lvlText w:val="%7."/>
      <w:lvlJc w:val="left"/>
      <w:pPr>
        <w:tabs>
          <w:tab w:val="num" w:pos="5040"/>
        </w:tabs>
        <w:ind w:left="5040" w:hanging="360"/>
      </w:pPr>
    </w:lvl>
    <w:lvl w:ilvl="7" w:tplc="9C285AEA" w:tentative="1">
      <w:start w:val="1"/>
      <w:numFmt w:val="decimal"/>
      <w:lvlText w:val="%8."/>
      <w:lvlJc w:val="left"/>
      <w:pPr>
        <w:tabs>
          <w:tab w:val="num" w:pos="5760"/>
        </w:tabs>
        <w:ind w:left="5760" w:hanging="360"/>
      </w:pPr>
    </w:lvl>
    <w:lvl w:ilvl="8" w:tplc="19D8FDC6" w:tentative="1">
      <w:start w:val="1"/>
      <w:numFmt w:val="decimal"/>
      <w:lvlText w:val="%9."/>
      <w:lvlJc w:val="left"/>
      <w:pPr>
        <w:tabs>
          <w:tab w:val="num" w:pos="6480"/>
        </w:tabs>
        <w:ind w:left="6480" w:hanging="360"/>
      </w:pPr>
    </w:lvl>
  </w:abstractNum>
  <w:abstractNum w:abstractNumId="16" w15:restartNumberingAfterBreak="0">
    <w:nsid w:val="77BA5BD7"/>
    <w:multiLevelType w:val="hybridMultilevel"/>
    <w:tmpl w:val="FD04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507EF"/>
    <w:multiLevelType w:val="multilevel"/>
    <w:tmpl w:val="39F6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2"/>
  </w:num>
  <w:num w:numId="4">
    <w:abstractNumId w:val="7"/>
  </w:num>
  <w:num w:numId="5">
    <w:abstractNumId w:val="11"/>
  </w:num>
  <w:num w:numId="6">
    <w:abstractNumId w:val="14"/>
  </w:num>
  <w:num w:numId="7">
    <w:abstractNumId w:val="0"/>
  </w:num>
  <w:num w:numId="8">
    <w:abstractNumId w:val="8"/>
  </w:num>
  <w:num w:numId="9">
    <w:abstractNumId w:val="9"/>
  </w:num>
  <w:num w:numId="10">
    <w:abstractNumId w:val="15"/>
  </w:num>
  <w:num w:numId="11">
    <w:abstractNumId w:val="17"/>
  </w:num>
  <w:num w:numId="12">
    <w:abstractNumId w:val="6"/>
  </w:num>
  <w:num w:numId="13">
    <w:abstractNumId w:val="1"/>
  </w:num>
  <w:num w:numId="14">
    <w:abstractNumId w:val="4"/>
  </w:num>
  <w:num w:numId="15">
    <w:abstractNumId w:val="5"/>
  </w:num>
  <w:num w:numId="16">
    <w:abstractNumId w:val="3"/>
  </w:num>
  <w:num w:numId="17">
    <w:abstractNumId w:val="13"/>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611A"/>
    <w:rsid w:val="00025507"/>
    <w:rsid w:val="00031B99"/>
    <w:rsid w:val="00041CA1"/>
    <w:rsid w:val="00051208"/>
    <w:rsid w:val="00054DB9"/>
    <w:rsid w:val="00067EFA"/>
    <w:rsid w:val="00074936"/>
    <w:rsid w:val="00074CFE"/>
    <w:rsid w:val="000B1C0A"/>
    <w:rsid w:val="000C0A22"/>
    <w:rsid w:val="000C5453"/>
    <w:rsid w:val="000D1D52"/>
    <w:rsid w:val="000E0994"/>
    <w:rsid w:val="000E54EC"/>
    <w:rsid w:val="001107A2"/>
    <w:rsid w:val="001139C8"/>
    <w:rsid w:val="00132F10"/>
    <w:rsid w:val="00141DDF"/>
    <w:rsid w:val="001630F9"/>
    <w:rsid w:val="00175252"/>
    <w:rsid w:val="001950FD"/>
    <w:rsid w:val="001A5A5C"/>
    <w:rsid w:val="001B7307"/>
    <w:rsid w:val="001C3815"/>
    <w:rsid w:val="00201172"/>
    <w:rsid w:val="002063C4"/>
    <w:rsid w:val="00210AD0"/>
    <w:rsid w:val="0021303D"/>
    <w:rsid w:val="002216EE"/>
    <w:rsid w:val="00223763"/>
    <w:rsid w:val="00226D21"/>
    <w:rsid w:val="0024632B"/>
    <w:rsid w:val="0025538D"/>
    <w:rsid w:val="002607C7"/>
    <w:rsid w:val="002613CC"/>
    <w:rsid w:val="00265743"/>
    <w:rsid w:val="002921D9"/>
    <w:rsid w:val="00293D03"/>
    <w:rsid w:val="002951FA"/>
    <w:rsid w:val="002A2974"/>
    <w:rsid w:val="002A371C"/>
    <w:rsid w:val="002A37E4"/>
    <w:rsid w:val="002A3E22"/>
    <w:rsid w:val="002B170B"/>
    <w:rsid w:val="002B4A69"/>
    <w:rsid w:val="002B4B10"/>
    <w:rsid w:val="002B735C"/>
    <w:rsid w:val="002C0CF9"/>
    <w:rsid w:val="002F5424"/>
    <w:rsid w:val="00321B97"/>
    <w:rsid w:val="00322B14"/>
    <w:rsid w:val="003271D5"/>
    <w:rsid w:val="00330584"/>
    <w:rsid w:val="00333147"/>
    <w:rsid w:val="00342BE6"/>
    <w:rsid w:val="003438AD"/>
    <w:rsid w:val="003509E6"/>
    <w:rsid w:val="0035327D"/>
    <w:rsid w:val="0036239B"/>
    <w:rsid w:val="003719A0"/>
    <w:rsid w:val="00394B1F"/>
    <w:rsid w:val="003953C8"/>
    <w:rsid w:val="003B1ABD"/>
    <w:rsid w:val="003B40ED"/>
    <w:rsid w:val="003B44FC"/>
    <w:rsid w:val="003C3411"/>
    <w:rsid w:val="003C683A"/>
    <w:rsid w:val="003F190F"/>
    <w:rsid w:val="003F3104"/>
    <w:rsid w:val="003F7A74"/>
    <w:rsid w:val="00411EEA"/>
    <w:rsid w:val="0041210C"/>
    <w:rsid w:val="00414126"/>
    <w:rsid w:val="004462E3"/>
    <w:rsid w:val="0046367F"/>
    <w:rsid w:val="00464CA9"/>
    <w:rsid w:val="00466D00"/>
    <w:rsid w:val="00473C0E"/>
    <w:rsid w:val="004A296C"/>
    <w:rsid w:val="004A30B1"/>
    <w:rsid w:val="004A3733"/>
    <w:rsid w:val="004B4C1C"/>
    <w:rsid w:val="004B7E58"/>
    <w:rsid w:val="004D0AB1"/>
    <w:rsid w:val="004D70C1"/>
    <w:rsid w:val="004E5697"/>
    <w:rsid w:val="004F4DC9"/>
    <w:rsid w:val="004F4EE7"/>
    <w:rsid w:val="005017FA"/>
    <w:rsid w:val="00504839"/>
    <w:rsid w:val="0051166A"/>
    <w:rsid w:val="005245F9"/>
    <w:rsid w:val="0052723A"/>
    <w:rsid w:val="00530966"/>
    <w:rsid w:val="005430E2"/>
    <w:rsid w:val="0054587B"/>
    <w:rsid w:val="00546873"/>
    <w:rsid w:val="0055308F"/>
    <w:rsid w:val="0055514E"/>
    <w:rsid w:val="00563259"/>
    <w:rsid w:val="005659D0"/>
    <w:rsid w:val="00567E9B"/>
    <w:rsid w:val="00571666"/>
    <w:rsid w:val="0058370A"/>
    <w:rsid w:val="0059178C"/>
    <w:rsid w:val="0059621E"/>
    <w:rsid w:val="005A052A"/>
    <w:rsid w:val="005B4270"/>
    <w:rsid w:val="005C1013"/>
    <w:rsid w:val="005C491D"/>
    <w:rsid w:val="005E321D"/>
    <w:rsid w:val="005E3535"/>
    <w:rsid w:val="005E3EFF"/>
    <w:rsid w:val="005F477E"/>
    <w:rsid w:val="005F57F3"/>
    <w:rsid w:val="00607C24"/>
    <w:rsid w:val="00610B08"/>
    <w:rsid w:val="006203C5"/>
    <w:rsid w:val="0062630D"/>
    <w:rsid w:val="00631251"/>
    <w:rsid w:val="00635070"/>
    <w:rsid w:val="00642DF1"/>
    <w:rsid w:val="00644FE1"/>
    <w:rsid w:val="0064544E"/>
    <w:rsid w:val="0065309E"/>
    <w:rsid w:val="00661C85"/>
    <w:rsid w:val="0067633F"/>
    <w:rsid w:val="0068270F"/>
    <w:rsid w:val="006925C9"/>
    <w:rsid w:val="006C2A2B"/>
    <w:rsid w:val="006C5059"/>
    <w:rsid w:val="006C5372"/>
    <w:rsid w:val="006D5EC0"/>
    <w:rsid w:val="006F0D18"/>
    <w:rsid w:val="006F3708"/>
    <w:rsid w:val="006F6000"/>
    <w:rsid w:val="00713732"/>
    <w:rsid w:val="007327BA"/>
    <w:rsid w:val="007361C3"/>
    <w:rsid w:val="00761FD8"/>
    <w:rsid w:val="00762CC9"/>
    <w:rsid w:val="007732FB"/>
    <w:rsid w:val="007741E2"/>
    <w:rsid w:val="00775833"/>
    <w:rsid w:val="007C329C"/>
    <w:rsid w:val="007D5554"/>
    <w:rsid w:val="007F3035"/>
    <w:rsid w:val="00804C35"/>
    <w:rsid w:val="00820C10"/>
    <w:rsid w:val="00824648"/>
    <w:rsid w:val="008256AF"/>
    <w:rsid w:val="00850F65"/>
    <w:rsid w:val="00864648"/>
    <w:rsid w:val="008A12C5"/>
    <w:rsid w:val="008A62DD"/>
    <w:rsid w:val="008B7138"/>
    <w:rsid w:val="008B7CC1"/>
    <w:rsid w:val="008C238A"/>
    <w:rsid w:val="008C346B"/>
    <w:rsid w:val="008C4107"/>
    <w:rsid w:val="008E33D0"/>
    <w:rsid w:val="00913095"/>
    <w:rsid w:val="0092765F"/>
    <w:rsid w:val="00927D50"/>
    <w:rsid w:val="0094752D"/>
    <w:rsid w:val="00961FE5"/>
    <w:rsid w:val="00980E78"/>
    <w:rsid w:val="009864E6"/>
    <w:rsid w:val="009A0296"/>
    <w:rsid w:val="009D0741"/>
    <w:rsid w:val="009D2D1D"/>
    <w:rsid w:val="009F2021"/>
    <w:rsid w:val="00A01F7D"/>
    <w:rsid w:val="00A043CC"/>
    <w:rsid w:val="00A161C9"/>
    <w:rsid w:val="00A20194"/>
    <w:rsid w:val="00A33D9E"/>
    <w:rsid w:val="00A4251A"/>
    <w:rsid w:val="00A46B56"/>
    <w:rsid w:val="00A674DE"/>
    <w:rsid w:val="00A676AE"/>
    <w:rsid w:val="00A67E01"/>
    <w:rsid w:val="00A70FE3"/>
    <w:rsid w:val="00A72483"/>
    <w:rsid w:val="00A733BF"/>
    <w:rsid w:val="00A7418D"/>
    <w:rsid w:val="00A7681B"/>
    <w:rsid w:val="00A8047C"/>
    <w:rsid w:val="00A861A6"/>
    <w:rsid w:val="00A91E47"/>
    <w:rsid w:val="00A93EC5"/>
    <w:rsid w:val="00AA5E95"/>
    <w:rsid w:val="00AC5B25"/>
    <w:rsid w:val="00AD0F1E"/>
    <w:rsid w:val="00AD2EDF"/>
    <w:rsid w:val="00AD72BA"/>
    <w:rsid w:val="00AE44D2"/>
    <w:rsid w:val="00AE755F"/>
    <w:rsid w:val="00B04790"/>
    <w:rsid w:val="00B12FE4"/>
    <w:rsid w:val="00B1455F"/>
    <w:rsid w:val="00B15E7C"/>
    <w:rsid w:val="00B3156A"/>
    <w:rsid w:val="00B34968"/>
    <w:rsid w:val="00B3512A"/>
    <w:rsid w:val="00B47288"/>
    <w:rsid w:val="00B535B4"/>
    <w:rsid w:val="00B556B6"/>
    <w:rsid w:val="00B62DBE"/>
    <w:rsid w:val="00B70C85"/>
    <w:rsid w:val="00B7477C"/>
    <w:rsid w:val="00B77C0B"/>
    <w:rsid w:val="00B803E2"/>
    <w:rsid w:val="00B8627D"/>
    <w:rsid w:val="00BB19B4"/>
    <w:rsid w:val="00BC0B4A"/>
    <w:rsid w:val="00BC6259"/>
    <w:rsid w:val="00BD2885"/>
    <w:rsid w:val="00BF0887"/>
    <w:rsid w:val="00BF2D87"/>
    <w:rsid w:val="00C00296"/>
    <w:rsid w:val="00C05048"/>
    <w:rsid w:val="00C10C5D"/>
    <w:rsid w:val="00C11089"/>
    <w:rsid w:val="00C24BC6"/>
    <w:rsid w:val="00C3785C"/>
    <w:rsid w:val="00C610F3"/>
    <w:rsid w:val="00C6336D"/>
    <w:rsid w:val="00C93CBE"/>
    <w:rsid w:val="00C974A6"/>
    <w:rsid w:val="00CB47C9"/>
    <w:rsid w:val="00CB498C"/>
    <w:rsid w:val="00CB641A"/>
    <w:rsid w:val="00CC3F66"/>
    <w:rsid w:val="00CC466B"/>
    <w:rsid w:val="00CC71B9"/>
    <w:rsid w:val="00CC7968"/>
    <w:rsid w:val="00CD6659"/>
    <w:rsid w:val="00CE00EC"/>
    <w:rsid w:val="00CF26F6"/>
    <w:rsid w:val="00D07151"/>
    <w:rsid w:val="00D11E65"/>
    <w:rsid w:val="00D15A4C"/>
    <w:rsid w:val="00D1782C"/>
    <w:rsid w:val="00D20471"/>
    <w:rsid w:val="00D261E9"/>
    <w:rsid w:val="00D30D4A"/>
    <w:rsid w:val="00D456B8"/>
    <w:rsid w:val="00D720F2"/>
    <w:rsid w:val="00D739FE"/>
    <w:rsid w:val="00D73B50"/>
    <w:rsid w:val="00D84EB5"/>
    <w:rsid w:val="00D9080A"/>
    <w:rsid w:val="00D9406C"/>
    <w:rsid w:val="00D975B6"/>
    <w:rsid w:val="00DB24F2"/>
    <w:rsid w:val="00DD2612"/>
    <w:rsid w:val="00DD59F7"/>
    <w:rsid w:val="00DD62C9"/>
    <w:rsid w:val="00DE11A5"/>
    <w:rsid w:val="00DF6B2C"/>
    <w:rsid w:val="00E00FD9"/>
    <w:rsid w:val="00E048ED"/>
    <w:rsid w:val="00E05841"/>
    <w:rsid w:val="00E30365"/>
    <w:rsid w:val="00E31740"/>
    <w:rsid w:val="00E321CE"/>
    <w:rsid w:val="00E45538"/>
    <w:rsid w:val="00E455B4"/>
    <w:rsid w:val="00E53FDA"/>
    <w:rsid w:val="00E563CC"/>
    <w:rsid w:val="00E60612"/>
    <w:rsid w:val="00E7037E"/>
    <w:rsid w:val="00E730AC"/>
    <w:rsid w:val="00E7771C"/>
    <w:rsid w:val="00E77FAD"/>
    <w:rsid w:val="00E81AB8"/>
    <w:rsid w:val="00E85A97"/>
    <w:rsid w:val="00E9344C"/>
    <w:rsid w:val="00E93E89"/>
    <w:rsid w:val="00EA1401"/>
    <w:rsid w:val="00EA1909"/>
    <w:rsid w:val="00EB22A5"/>
    <w:rsid w:val="00EC0087"/>
    <w:rsid w:val="00EC37F9"/>
    <w:rsid w:val="00EC5818"/>
    <w:rsid w:val="00ED1793"/>
    <w:rsid w:val="00EE0A55"/>
    <w:rsid w:val="00EF44AE"/>
    <w:rsid w:val="00EF7540"/>
    <w:rsid w:val="00EF7F83"/>
    <w:rsid w:val="00F12A63"/>
    <w:rsid w:val="00F25840"/>
    <w:rsid w:val="00F26545"/>
    <w:rsid w:val="00F30F6D"/>
    <w:rsid w:val="00F460E4"/>
    <w:rsid w:val="00F61607"/>
    <w:rsid w:val="00F64C00"/>
    <w:rsid w:val="00F6679A"/>
    <w:rsid w:val="00F76E32"/>
    <w:rsid w:val="00F81A5E"/>
    <w:rsid w:val="00F869D6"/>
    <w:rsid w:val="00F873C7"/>
    <w:rsid w:val="00F878C5"/>
    <w:rsid w:val="00F90051"/>
    <w:rsid w:val="00F9442D"/>
    <w:rsid w:val="00F949DA"/>
    <w:rsid w:val="00FA3556"/>
    <w:rsid w:val="00FB13FA"/>
    <w:rsid w:val="00FB5FBF"/>
    <w:rsid w:val="00FC35B9"/>
    <w:rsid w:val="00FD15D1"/>
    <w:rsid w:val="00FD1E15"/>
    <w:rsid w:val="00FD6CF4"/>
    <w:rsid w:val="00FE501F"/>
    <w:rsid w:val="00FF2797"/>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099EE2CE-C826-4CB0-980A-0B47D9E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paragraph" w:styleId="CommentSubject">
    <w:name w:val="annotation subject"/>
    <w:basedOn w:val="CommentText"/>
    <w:next w:val="CommentText"/>
    <w:link w:val="CommentSubjectChar"/>
    <w:semiHidden/>
    <w:unhideWhenUsed/>
    <w:rsid w:val="00E85A97"/>
    <w:rPr>
      <w:b/>
      <w:bCs/>
    </w:rPr>
  </w:style>
  <w:style w:type="character" w:customStyle="1" w:styleId="CommentSubjectChar">
    <w:name w:val="Comment Subject Char"/>
    <w:basedOn w:val="CommentTextChar"/>
    <w:link w:val="CommentSubject"/>
    <w:semiHidden/>
    <w:rsid w:val="00E85A97"/>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1664229">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1667318706">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 w:id="280379490">
                                                                                          <w:marLeft w:val="0"/>
                                                                                          <w:marRight w:val="0"/>
                                                                                          <w:marTop w:val="0"/>
                                                                                          <w:marBottom w:val="0"/>
                                                                                          <w:divBdr>
                                                                                            <w:top w:val="none" w:sz="0" w:space="0" w:color="auto"/>
                                                                                            <w:left w:val="none" w:sz="0" w:space="0" w:color="auto"/>
                                                                                            <w:bottom w:val="none" w:sz="0" w:space="0" w:color="auto"/>
                                                                                            <w:right w:val="none" w:sz="0" w:space="0" w:color="auto"/>
                                                                                          </w:divBdr>
                                                                                        </w:div>
                                                                                      </w:divsChild>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1574201827">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840462398">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2012830602">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 w:id="5449814">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1/Section57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legislature.gov/Laws/SessionLaws/Acts/2018/Chapter2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DESE-231-67509</_dlc_DocId>
    <_dlc_DocIdUrl xmlns="733efe1c-5bbe-4968-87dc-d400e65c879f">
      <Url>https://sharepoint.doemass.org/ese/webteam/cps/_layouts/DocIdRedir.aspx?ID=DESE-231-67509</Url>
      <Description>DESE-231-67509</Description>
    </_dlc_DocIdUrl>
  </documentManagement>
</p:properties>
</file>

<file path=customXml/itemProps1.xml><?xml version="1.0" encoding="utf-8"?>
<ds:datastoreItem xmlns:ds="http://schemas.openxmlformats.org/officeDocument/2006/customXml" ds:itemID="{07300BF1-9A21-4619-ADFA-290022A76E94}">
  <ds:schemaRefs>
    <ds:schemaRef ds:uri="http://schemas.microsoft.com/sharepoint/events"/>
  </ds:schemaRefs>
</ds:datastoreItem>
</file>

<file path=customXml/itemProps2.xml><?xml version="1.0" encoding="utf-8"?>
<ds:datastoreItem xmlns:ds="http://schemas.openxmlformats.org/officeDocument/2006/customXml" ds:itemID="{1ACDA7B0-1213-4405-96C5-8FBC6AD8B2A4}">
  <ds:schemaRefs>
    <ds:schemaRef ds:uri="http://schemas.microsoft.com/sharepoint/v3/contenttype/forms"/>
  </ds:schemaRefs>
</ds:datastoreItem>
</file>

<file path=customXml/itemProps3.xml><?xml version="1.0" encoding="utf-8"?>
<ds:datastoreItem xmlns:ds="http://schemas.openxmlformats.org/officeDocument/2006/customXml" ds:itemID="{619C0F29-68C0-47B1-BF82-D62E1EBA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BESE January 26, 2021 Regular Meeting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26, 2021 Regular Meeting Briefing</dc:title>
  <dc:creator>DESE</dc:creator>
  <cp:lastModifiedBy>Zou, Dong (EOE)</cp:lastModifiedBy>
  <cp:revision>3</cp:revision>
  <cp:lastPrinted>2008-03-05T18:17:00Z</cp:lastPrinted>
  <dcterms:created xsi:type="dcterms:W3CDTF">2021-01-15T19:54:00Z</dcterms:created>
  <dcterms:modified xsi:type="dcterms:W3CDTF">2021-01-19T15:47:00Z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