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705E5"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E622DA5" wp14:editId="6E7B97D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7FA190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09EFE8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77E091F" wp14:editId="167BF47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7BC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E976AD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1EAA63A" w14:textId="77777777" w:rsidR="00A20194" w:rsidRPr="00C974A6" w:rsidRDefault="00A20194">
      <w:pPr>
        <w:ind w:left="720"/>
        <w:rPr>
          <w:rFonts w:ascii="Arial" w:hAnsi="Arial"/>
          <w:i/>
          <w:sz w:val="16"/>
          <w:szCs w:val="16"/>
        </w:rPr>
      </w:pPr>
    </w:p>
    <w:p w14:paraId="01F7DD09" w14:textId="77777777" w:rsidR="00A20194" w:rsidRDefault="00A20194">
      <w:pPr>
        <w:ind w:left="720"/>
        <w:rPr>
          <w:rFonts w:ascii="Arial" w:hAnsi="Arial"/>
          <w:i/>
          <w:sz w:val="18"/>
        </w:rPr>
        <w:sectPr w:rsidR="00A20194" w:rsidSect="006440BC">
          <w:footerReference w:type="default" r:id="rId13"/>
          <w:endnotePr>
            <w:numFmt w:val="decimal"/>
          </w:endnotePr>
          <w:pgSz w:w="12240" w:h="15840"/>
          <w:pgMar w:top="864" w:right="1080" w:bottom="1440" w:left="1800" w:header="1440" w:footer="864" w:gutter="0"/>
          <w:cols w:space="720"/>
          <w:noEndnote/>
          <w:docGrid w:linePitch="326"/>
        </w:sectPr>
      </w:pPr>
    </w:p>
    <w:p w14:paraId="1CE74D3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E7FCD2" w14:textId="77777777">
        <w:tc>
          <w:tcPr>
            <w:tcW w:w="2988" w:type="dxa"/>
          </w:tcPr>
          <w:p w14:paraId="7089A0C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AEAD24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D92E1A9" w14:textId="77777777" w:rsidR="00C974A6" w:rsidRPr="00C974A6" w:rsidRDefault="00C974A6" w:rsidP="00C974A6">
            <w:pPr>
              <w:jc w:val="center"/>
              <w:rPr>
                <w:rFonts w:ascii="Arial" w:hAnsi="Arial"/>
                <w:i/>
                <w:sz w:val="16"/>
                <w:szCs w:val="16"/>
              </w:rPr>
            </w:pPr>
          </w:p>
        </w:tc>
      </w:tr>
    </w:tbl>
    <w:p w14:paraId="5CDAB165" w14:textId="77777777" w:rsidR="00A20194" w:rsidRDefault="00A20194">
      <w:pPr>
        <w:rPr>
          <w:rFonts w:ascii="Arial" w:hAnsi="Arial"/>
          <w:i/>
          <w:sz w:val="18"/>
        </w:rPr>
      </w:pPr>
    </w:p>
    <w:p w14:paraId="4CD456D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9156110" w14:textId="77777777" w:rsidR="0059178C" w:rsidRDefault="0059178C" w:rsidP="0059178C">
      <w:pPr>
        <w:pStyle w:val="Heading1"/>
        <w:tabs>
          <w:tab w:val="clear" w:pos="4680"/>
        </w:tabs>
      </w:pPr>
      <w:r>
        <w:t>MEMORANDUM</w:t>
      </w:r>
    </w:p>
    <w:p w14:paraId="14395132" w14:textId="77777777" w:rsidR="0059178C" w:rsidRDefault="0059178C" w:rsidP="0059178C">
      <w:pPr>
        <w:pStyle w:val="Footer"/>
        <w:widowControl w:val="0"/>
        <w:tabs>
          <w:tab w:val="clear" w:pos="4320"/>
          <w:tab w:val="clear" w:pos="8640"/>
        </w:tabs>
        <w:rPr>
          <w:snapToGrid w:val="0"/>
          <w:szCs w:val="20"/>
        </w:rPr>
      </w:pPr>
    </w:p>
    <w:p w14:paraId="75ECAF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506531E4" w14:textId="77777777" w:rsidTr="0066418C">
        <w:tc>
          <w:tcPr>
            <w:tcW w:w="1188" w:type="dxa"/>
          </w:tcPr>
          <w:p w14:paraId="140FCE6A" w14:textId="77777777" w:rsidR="0059178C" w:rsidRDefault="0059178C" w:rsidP="0066418C">
            <w:pPr>
              <w:rPr>
                <w:b/>
              </w:rPr>
            </w:pPr>
            <w:r>
              <w:rPr>
                <w:b/>
              </w:rPr>
              <w:t>To:</w:t>
            </w:r>
          </w:p>
        </w:tc>
        <w:tc>
          <w:tcPr>
            <w:tcW w:w="8388" w:type="dxa"/>
          </w:tcPr>
          <w:p w14:paraId="3D6E6D55" w14:textId="77777777" w:rsidR="0059178C" w:rsidRDefault="0059178C" w:rsidP="0066418C">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49BC0013" w14:textId="77777777" w:rsidTr="0066418C">
        <w:tc>
          <w:tcPr>
            <w:tcW w:w="1188" w:type="dxa"/>
          </w:tcPr>
          <w:p w14:paraId="5537D3C4" w14:textId="77777777" w:rsidR="0059178C" w:rsidRDefault="0059178C" w:rsidP="0066418C">
            <w:pPr>
              <w:rPr>
                <w:b/>
              </w:rPr>
            </w:pPr>
            <w:r>
              <w:rPr>
                <w:b/>
              </w:rPr>
              <w:t>From:</w:t>
            </w:r>
            <w:r>
              <w:tab/>
            </w:r>
          </w:p>
        </w:tc>
        <w:tc>
          <w:tcPr>
            <w:tcW w:w="8388" w:type="dxa"/>
          </w:tcPr>
          <w:p w14:paraId="59C3DB2C" w14:textId="77777777" w:rsidR="0059178C" w:rsidRDefault="0059178C" w:rsidP="0066418C">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86BF5B2" w14:textId="77777777" w:rsidTr="0066418C">
        <w:tc>
          <w:tcPr>
            <w:tcW w:w="1188" w:type="dxa"/>
          </w:tcPr>
          <w:p w14:paraId="4C5BB19E" w14:textId="77777777" w:rsidR="0059178C" w:rsidRDefault="0059178C" w:rsidP="0066418C">
            <w:pPr>
              <w:rPr>
                <w:b/>
              </w:rPr>
            </w:pPr>
            <w:r>
              <w:rPr>
                <w:b/>
              </w:rPr>
              <w:t>Date:</w:t>
            </w:r>
            <w:r>
              <w:tab/>
            </w:r>
          </w:p>
        </w:tc>
        <w:tc>
          <w:tcPr>
            <w:tcW w:w="8388" w:type="dxa"/>
          </w:tcPr>
          <w:p w14:paraId="74B9D6A2" w14:textId="1C2706A5" w:rsidR="0059178C" w:rsidRDefault="00190320" w:rsidP="0066418C">
            <w:pPr>
              <w:pStyle w:val="Footer"/>
              <w:widowControl w:val="0"/>
              <w:tabs>
                <w:tab w:val="clear" w:pos="4320"/>
                <w:tab w:val="clear" w:pos="8640"/>
              </w:tabs>
              <w:rPr>
                <w:bCs/>
                <w:snapToGrid w:val="0"/>
                <w:szCs w:val="20"/>
              </w:rPr>
            </w:pPr>
            <w:r>
              <w:rPr>
                <w:bCs/>
                <w:snapToGrid w:val="0"/>
                <w:szCs w:val="20"/>
              </w:rPr>
              <w:t>February 1</w:t>
            </w:r>
            <w:r w:rsidR="004A2BDC">
              <w:rPr>
                <w:bCs/>
                <w:snapToGrid w:val="0"/>
                <w:szCs w:val="20"/>
              </w:rPr>
              <w:t>2</w:t>
            </w:r>
            <w:r>
              <w:rPr>
                <w:bCs/>
                <w:snapToGrid w:val="0"/>
                <w:szCs w:val="20"/>
              </w:rPr>
              <w:t>, 2021</w:t>
            </w:r>
          </w:p>
        </w:tc>
      </w:tr>
      <w:tr w:rsidR="0059178C" w14:paraId="3F36DF17" w14:textId="77777777" w:rsidTr="0066418C">
        <w:tc>
          <w:tcPr>
            <w:tcW w:w="1188" w:type="dxa"/>
          </w:tcPr>
          <w:p w14:paraId="00BD766C" w14:textId="77777777" w:rsidR="0059178C" w:rsidRDefault="0059178C" w:rsidP="0066418C">
            <w:pPr>
              <w:rPr>
                <w:b/>
              </w:rPr>
            </w:pPr>
            <w:r>
              <w:rPr>
                <w:b/>
              </w:rPr>
              <w:t>Subject:</w:t>
            </w:r>
          </w:p>
        </w:tc>
        <w:tc>
          <w:tcPr>
            <w:tcW w:w="8388" w:type="dxa"/>
          </w:tcPr>
          <w:p w14:paraId="7F74CF05" w14:textId="69109E3C" w:rsidR="0059178C" w:rsidRPr="007A22FF" w:rsidRDefault="00DB7A42" w:rsidP="00EA0A2A">
            <w:pPr>
              <w:pStyle w:val="Footer"/>
              <w:widowControl w:val="0"/>
              <w:tabs>
                <w:tab w:val="clear" w:pos="4320"/>
                <w:tab w:val="clear" w:pos="8640"/>
              </w:tabs>
              <w:rPr>
                <w:bCs/>
                <w:snapToGrid w:val="0"/>
                <w:szCs w:val="20"/>
              </w:rPr>
            </w:pPr>
            <w:r>
              <w:t xml:space="preserve">Charter Schools – </w:t>
            </w:r>
            <w:r w:rsidR="00190320">
              <w:t xml:space="preserve">Renewal and </w:t>
            </w:r>
            <w:r w:rsidR="00EA0A2A">
              <w:t>Report on Probation for</w:t>
            </w:r>
            <w:r>
              <w:t xml:space="preserve"> Boston Green Academy Horace Mann Charter School</w:t>
            </w:r>
          </w:p>
        </w:tc>
      </w:tr>
    </w:tbl>
    <w:p w14:paraId="37194681"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5FB291D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091A9D0" w14:textId="77777777" w:rsidR="0059178C" w:rsidRDefault="0059178C" w:rsidP="0059178C">
      <w:pPr>
        <w:rPr>
          <w:sz w:val="16"/>
        </w:rPr>
      </w:pPr>
    </w:p>
    <w:p w14:paraId="1E992B96" w14:textId="099B2873" w:rsidR="00061C4A" w:rsidRDefault="00061C4A" w:rsidP="00061C4A">
      <w:pPr>
        <w:widowControl/>
      </w:pPr>
      <w:r>
        <w:t xml:space="preserve">This month, the Board of Elementary and Secondary Education (Board) will discuss and vote on the charter renewal application for </w:t>
      </w:r>
      <w:r w:rsidR="005F5110">
        <w:t>Boston Green Academy Horace Mann Charter School (BGA)</w:t>
      </w:r>
      <w:r w:rsidR="00004342">
        <w:t>.</w:t>
      </w:r>
      <w:r w:rsidR="005F5110">
        <w:t xml:space="preserve"> </w:t>
      </w:r>
      <w:r w:rsidR="00004342">
        <w:t>I</w:t>
      </w:r>
      <w:r w:rsidR="005F5110">
        <w:t xml:space="preserve"> recommend </w:t>
      </w:r>
      <w:r w:rsidR="005F5110">
        <w:rPr>
          <w:szCs w:val="24"/>
        </w:rPr>
        <w:t xml:space="preserve">that the </w:t>
      </w:r>
      <w:r w:rsidR="005F5110" w:rsidRPr="00DC56E1">
        <w:t xml:space="preserve">Board </w:t>
      </w:r>
      <w:r w:rsidR="00004342">
        <w:t xml:space="preserve">renew the charter of BGA, </w:t>
      </w:r>
      <w:r w:rsidR="005F5110">
        <w:rPr>
          <w:szCs w:val="24"/>
        </w:rPr>
        <w:t xml:space="preserve">remove </w:t>
      </w:r>
      <w:r w:rsidR="00004342">
        <w:rPr>
          <w:szCs w:val="24"/>
        </w:rPr>
        <w:t>it</w:t>
      </w:r>
      <w:r w:rsidR="006F42A2">
        <w:rPr>
          <w:szCs w:val="24"/>
        </w:rPr>
        <w:t xml:space="preserve"> from </w:t>
      </w:r>
      <w:r w:rsidR="005F5110">
        <w:rPr>
          <w:szCs w:val="24"/>
        </w:rPr>
        <w:t>probation</w:t>
      </w:r>
      <w:r w:rsidR="00004342">
        <w:rPr>
          <w:szCs w:val="24"/>
        </w:rPr>
        <w:t>,</w:t>
      </w:r>
      <w:r w:rsidR="005F5110">
        <w:rPr>
          <w:szCs w:val="24"/>
        </w:rPr>
        <w:t xml:space="preserve"> </w:t>
      </w:r>
      <w:r w:rsidR="006F42A2">
        <w:rPr>
          <w:szCs w:val="24"/>
        </w:rPr>
        <w:t>and</w:t>
      </w:r>
      <w:r w:rsidR="005F5110">
        <w:t xml:space="preserve"> maintain </w:t>
      </w:r>
      <w:r w:rsidR="006F42A2">
        <w:t xml:space="preserve">the </w:t>
      </w:r>
      <w:r w:rsidR="005F5110">
        <w:t>condition requir</w:t>
      </w:r>
      <w:r w:rsidR="006F42A2">
        <w:t>ing</w:t>
      </w:r>
      <w:r w:rsidR="005F5110">
        <w:t xml:space="preserve"> improved academic performance.  </w:t>
      </w:r>
    </w:p>
    <w:p w14:paraId="2B0AFCE3" w14:textId="77777777" w:rsidR="00061C4A" w:rsidRDefault="00061C4A" w:rsidP="00E169F4">
      <w:pPr>
        <w:widowControl/>
      </w:pPr>
    </w:p>
    <w:p w14:paraId="17BFDE9A" w14:textId="206B7ADA" w:rsidR="007908D8" w:rsidRDefault="007D2A0B" w:rsidP="00E169F4">
      <w:pPr>
        <w:widowControl/>
      </w:pPr>
      <w:r w:rsidRPr="00DC56E1">
        <w:t xml:space="preserve">Pursuant to the </w:t>
      </w:r>
      <w:r w:rsidR="00493BFB">
        <w:t>c</w:t>
      </w:r>
      <w:r w:rsidRPr="00DC56E1">
        <w:t xml:space="preserve">harter </w:t>
      </w:r>
      <w:r w:rsidR="00493BFB">
        <w:t>s</w:t>
      </w:r>
      <w:r w:rsidRPr="00DC56E1">
        <w:t xml:space="preserve">chool </w:t>
      </w:r>
      <w:r w:rsidR="00493BFB">
        <w:t>s</w:t>
      </w:r>
      <w:r w:rsidR="007354DE">
        <w:t xml:space="preserve">tatute, </w:t>
      </w:r>
      <w:r w:rsidR="007354DE" w:rsidRPr="00851FB1">
        <w:rPr>
          <w:color w:val="000000"/>
        </w:rPr>
        <w:t>G.L. c. 71, § 89</w:t>
      </w:r>
      <w:r w:rsidR="007354DE">
        <w:rPr>
          <w:color w:val="000000"/>
        </w:rPr>
        <w:t>(</w:t>
      </w:r>
      <w:proofErr w:type="spellStart"/>
      <w:r w:rsidR="007354DE">
        <w:rPr>
          <w:color w:val="000000"/>
        </w:rPr>
        <w:t>ee</w:t>
      </w:r>
      <w:proofErr w:type="spellEnd"/>
      <w:r w:rsidR="007354DE">
        <w:rPr>
          <w:color w:val="000000"/>
        </w:rPr>
        <w:t>)</w:t>
      </w:r>
      <w:r w:rsidR="00493BFB">
        <w:rPr>
          <w:color w:val="000000"/>
        </w:rPr>
        <w:t>,</w:t>
      </w:r>
      <w:r w:rsidR="007354DE">
        <w:rPr>
          <w:color w:val="000000"/>
        </w:rPr>
        <w:t xml:space="preserve"> and </w:t>
      </w:r>
      <w:r w:rsidR="00493BFB">
        <w:t>r</w:t>
      </w:r>
      <w:r w:rsidRPr="00DC56E1">
        <w:t>egul</w:t>
      </w:r>
      <w:r>
        <w:t>ations, 603 CMR 1.12(2</w:t>
      </w:r>
      <w:r w:rsidRPr="00DC56E1">
        <w:t xml:space="preserve">), the </w:t>
      </w:r>
      <w:r w:rsidR="00A52712">
        <w:t xml:space="preserve">Board </w:t>
      </w:r>
      <w:r w:rsidR="007354DE">
        <w:t xml:space="preserve">may </w:t>
      </w:r>
      <w:r>
        <w:t>place a charter school on probation</w:t>
      </w:r>
      <w:r w:rsidRPr="0076527F">
        <w:rPr>
          <w:rStyle w:val="FootnoteReference"/>
          <w:szCs w:val="24"/>
          <w:vertAlign w:val="superscript"/>
        </w:rPr>
        <w:footnoteReference w:id="1"/>
      </w:r>
      <w:r>
        <w:t xml:space="preserve"> and determine conditions the charter school must meet in order to remedy </w:t>
      </w:r>
      <w:r w:rsidR="00D81E54">
        <w:t xml:space="preserve">the identified </w:t>
      </w:r>
      <w:r>
        <w:t xml:space="preserve">areas of concern. </w:t>
      </w:r>
      <w:r w:rsidR="00906C60">
        <w:t>T</w:t>
      </w:r>
      <w:r w:rsidR="006C52DA">
        <w:t>he Department of Elementary and Secondary Education (Department)</w:t>
      </w:r>
      <w:r w:rsidR="0059605D">
        <w:t xml:space="preserve"> </w:t>
      </w:r>
      <w:r w:rsidR="00906C60">
        <w:t xml:space="preserve">is </w:t>
      </w:r>
      <w:r w:rsidR="006C52DA">
        <w:t>monitor</w:t>
      </w:r>
      <w:r w:rsidR="00906C60">
        <w:t>ing</w:t>
      </w:r>
      <w:r w:rsidR="006C52DA">
        <w:t xml:space="preserve"> </w:t>
      </w:r>
      <w:r w:rsidR="005F5110">
        <w:t>three</w:t>
      </w:r>
      <w:r>
        <w:t xml:space="preserve"> charter schools </w:t>
      </w:r>
      <w:r w:rsidR="00906C60">
        <w:t xml:space="preserve">currently </w:t>
      </w:r>
      <w:r w:rsidR="00004342">
        <w:t>on</w:t>
      </w:r>
      <w:r>
        <w:t xml:space="preserve"> probation</w:t>
      </w:r>
      <w:r w:rsidR="008A1548">
        <w:t>, one of which is BGA</w:t>
      </w:r>
      <w:r w:rsidR="00493BFB">
        <w:t xml:space="preserve">. </w:t>
      </w:r>
    </w:p>
    <w:p w14:paraId="32A2E372" w14:textId="77777777" w:rsidR="007908D8" w:rsidRDefault="007908D8" w:rsidP="00E169F4">
      <w:pPr>
        <w:widowControl/>
        <w:rPr>
          <w:highlight w:val="yellow"/>
        </w:rPr>
      </w:pPr>
    </w:p>
    <w:p w14:paraId="296A6B91" w14:textId="5B551816" w:rsidR="005E6EA1" w:rsidRDefault="003B7731" w:rsidP="00E169F4">
      <w:pPr>
        <w:widowControl/>
        <w:rPr>
          <w:szCs w:val="24"/>
        </w:rPr>
      </w:pPr>
      <w:r>
        <w:rPr>
          <w:szCs w:val="24"/>
        </w:rPr>
        <w:t xml:space="preserve">My recommendation </w:t>
      </w:r>
      <w:r w:rsidR="0087507C">
        <w:rPr>
          <w:szCs w:val="24"/>
        </w:rPr>
        <w:t xml:space="preserve">for BGA </w:t>
      </w:r>
      <w:r>
        <w:rPr>
          <w:szCs w:val="24"/>
        </w:rPr>
        <w:t xml:space="preserve">is </w:t>
      </w:r>
      <w:r w:rsidR="00F218EC">
        <w:rPr>
          <w:szCs w:val="24"/>
        </w:rPr>
        <w:t>based on evidence collected during the charter term documenting improvements in the school’s organizational viability, academic programming, and faithfulness to the terms of its charter</w:t>
      </w:r>
      <w:r>
        <w:rPr>
          <w:szCs w:val="24"/>
        </w:rPr>
        <w:t xml:space="preserve">. </w:t>
      </w:r>
      <w:r w:rsidR="00E30CE7">
        <w:rPr>
          <w:szCs w:val="24"/>
        </w:rPr>
        <w:t>For the past five years, BGA gained national and state recognition for its environmental sustainability programming</w:t>
      </w:r>
      <w:r w:rsidR="005E6EA1">
        <w:rPr>
          <w:szCs w:val="24"/>
        </w:rPr>
        <w:t>, implemented a Chapter 74 Career and Technical Education (CTE) program in environmental sciences, and increase</w:t>
      </w:r>
      <w:r w:rsidR="0087507C">
        <w:rPr>
          <w:szCs w:val="24"/>
        </w:rPr>
        <w:t>d</w:t>
      </w:r>
      <w:r w:rsidR="005E6EA1">
        <w:rPr>
          <w:szCs w:val="24"/>
        </w:rPr>
        <w:t xml:space="preserve"> its post-secondary enrollment rates. Additionally, </w:t>
      </w:r>
      <w:r w:rsidR="00516C8B">
        <w:rPr>
          <w:szCs w:val="24"/>
        </w:rPr>
        <w:t>during</w:t>
      </w:r>
      <w:r w:rsidR="005E6EA1">
        <w:rPr>
          <w:szCs w:val="24"/>
        </w:rPr>
        <w:t xml:space="preserve"> its first charter term, the Department documented concerns related to </w:t>
      </w:r>
      <w:r w:rsidR="00516C8B">
        <w:rPr>
          <w:szCs w:val="24"/>
        </w:rPr>
        <w:t>BGA’s</w:t>
      </w:r>
      <w:r w:rsidR="005E6EA1">
        <w:rPr>
          <w:szCs w:val="24"/>
        </w:rPr>
        <w:t xml:space="preserve"> financial audits and governance practices. </w:t>
      </w:r>
      <w:r w:rsidR="00516C8B">
        <w:rPr>
          <w:szCs w:val="24"/>
        </w:rPr>
        <w:t>In the past five year</w:t>
      </w:r>
      <w:r w:rsidR="0087507C">
        <w:rPr>
          <w:szCs w:val="24"/>
        </w:rPr>
        <w:t>s</w:t>
      </w:r>
      <w:r w:rsidR="00516C8B">
        <w:rPr>
          <w:szCs w:val="24"/>
        </w:rPr>
        <w:t>, BGA remedied a</w:t>
      </w:r>
      <w:r w:rsidR="005E6EA1">
        <w:rPr>
          <w:szCs w:val="24"/>
        </w:rPr>
        <w:t xml:space="preserve">ll </w:t>
      </w:r>
      <w:r w:rsidR="00092FAE">
        <w:rPr>
          <w:szCs w:val="24"/>
        </w:rPr>
        <w:t xml:space="preserve">viability </w:t>
      </w:r>
      <w:r w:rsidR="005E6EA1">
        <w:rPr>
          <w:szCs w:val="24"/>
        </w:rPr>
        <w:t>concerns and</w:t>
      </w:r>
      <w:r w:rsidR="00516C8B">
        <w:rPr>
          <w:szCs w:val="24"/>
        </w:rPr>
        <w:t xml:space="preserve"> </w:t>
      </w:r>
      <w:r w:rsidR="001C79A0">
        <w:rPr>
          <w:szCs w:val="24"/>
        </w:rPr>
        <w:t xml:space="preserve">had </w:t>
      </w:r>
      <w:r w:rsidR="005E6EA1">
        <w:rPr>
          <w:szCs w:val="24"/>
        </w:rPr>
        <w:t xml:space="preserve">good </w:t>
      </w:r>
      <w:r w:rsidR="00516C8B">
        <w:rPr>
          <w:szCs w:val="24"/>
        </w:rPr>
        <w:t xml:space="preserve">fiscal and governance </w:t>
      </w:r>
      <w:r w:rsidR="005E6EA1">
        <w:rPr>
          <w:szCs w:val="24"/>
        </w:rPr>
        <w:t>practices</w:t>
      </w:r>
      <w:r w:rsidR="00516C8B">
        <w:rPr>
          <w:szCs w:val="24"/>
        </w:rPr>
        <w:t xml:space="preserve">. </w:t>
      </w:r>
      <w:r w:rsidR="00092FAE">
        <w:rPr>
          <w:szCs w:val="24"/>
        </w:rPr>
        <w:t xml:space="preserve">Finally, while the school’s academic performance continues to be of concern, the school carefully implemented an action plan during the current charter term </w:t>
      </w:r>
      <w:r w:rsidR="00871B35">
        <w:rPr>
          <w:szCs w:val="24"/>
        </w:rPr>
        <w:t xml:space="preserve">that </w:t>
      </w:r>
      <w:r w:rsidR="00092FAE">
        <w:rPr>
          <w:szCs w:val="24"/>
        </w:rPr>
        <w:t>improved BGA’s academic program</w:t>
      </w:r>
      <w:r w:rsidR="00516C8B">
        <w:rPr>
          <w:szCs w:val="24"/>
        </w:rPr>
        <w:t xml:space="preserve"> and outcomes</w:t>
      </w:r>
      <w:r w:rsidR="00092FAE">
        <w:rPr>
          <w:szCs w:val="24"/>
        </w:rPr>
        <w:t xml:space="preserve">. </w:t>
      </w:r>
    </w:p>
    <w:p w14:paraId="045119A1" w14:textId="77777777" w:rsidR="00092FAE" w:rsidRDefault="00092FAE" w:rsidP="00E169F4">
      <w:pPr>
        <w:widowControl/>
        <w:rPr>
          <w:szCs w:val="24"/>
        </w:rPr>
      </w:pPr>
    </w:p>
    <w:p w14:paraId="229CCE7A" w14:textId="6A89E3E6" w:rsidR="003A3065" w:rsidRDefault="00892EC3" w:rsidP="00E169F4">
      <w:pPr>
        <w:widowControl/>
      </w:pPr>
      <w:r>
        <w:lastRenderedPageBreak/>
        <w:t>This</w:t>
      </w:r>
      <w:r w:rsidRPr="007908D8">
        <w:t xml:space="preserve"> memorandum </w:t>
      </w:r>
      <w:r w:rsidR="001256CC">
        <w:t>includes</w:t>
      </w:r>
      <w:r w:rsidRPr="007908D8">
        <w:t xml:space="preserve"> an overview of the Department’s process for </w:t>
      </w:r>
      <w:r>
        <w:t>monitoring charter schools on probation</w:t>
      </w:r>
      <w:r w:rsidR="00033E6C">
        <w:t xml:space="preserve"> and for</w:t>
      </w:r>
      <w:r w:rsidRPr="007908D8">
        <w:t xml:space="preserve"> </w:t>
      </w:r>
      <w:r w:rsidR="005F5110">
        <w:t>renew</w:t>
      </w:r>
      <w:r w:rsidR="00033E6C">
        <w:t>ing</w:t>
      </w:r>
      <w:r w:rsidR="005F5110">
        <w:t xml:space="preserve"> charters, </w:t>
      </w:r>
      <w:r w:rsidR="00033E6C">
        <w:t>the</w:t>
      </w:r>
      <w:r w:rsidRPr="007908D8">
        <w:t xml:space="preserve"> </w:t>
      </w:r>
      <w:r>
        <w:t>history</w:t>
      </w:r>
      <w:r w:rsidR="00033E6C">
        <w:t xml:space="preserve"> of </w:t>
      </w:r>
      <w:r w:rsidR="00033E6C" w:rsidRPr="00033E6C">
        <w:t>BGA</w:t>
      </w:r>
      <w:r w:rsidR="005F5110">
        <w:t>,</w:t>
      </w:r>
      <w:r w:rsidR="00AB2A17">
        <w:t xml:space="preserve"> </w:t>
      </w:r>
      <w:r w:rsidR="00414CFE">
        <w:t xml:space="preserve">a report on the school’s probationary conditions, </w:t>
      </w:r>
      <w:r w:rsidR="00033E6C">
        <w:t xml:space="preserve">the evidence for </w:t>
      </w:r>
      <w:r w:rsidR="008155ED">
        <w:t>renew</w:t>
      </w:r>
      <w:r w:rsidR="00033E6C">
        <w:t>ing BGA’s charter</w:t>
      </w:r>
      <w:r w:rsidR="008155ED">
        <w:t xml:space="preserve">, </w:t>
      </w:r>
      <w:r w:rsidRPr="007908D8">
        <w:t xml:space="preserve">and </w:t>
      </w:r>
      <w:r w:rsidR="001256CC">
        <w:t xml:space="preserve">the </w:t>
      </w:r>
      <w:r>
        <w:t xml:space="preserve">rationale for </w:t>
      </w:r>
      <w:r w:rsidRPr="007908D8">
        <w:t>my recommendation.</w:t>
      </w:r>
      <w:r>
        <w:t xml:space="preserve"> </w:t>
      </w:r>
    </w:p>
    <w:p w14:paraId="4F9C8108" w14:textId="2051F752" w:rsidR="007D2A0B" w:rsidRDefault="007D2A0B" w:rsidP="00A6254A">
      <w:pPr>
        <w:widowControl/>
        <w:tabs>
          <w:tab w:val="left" w:pos="-1440"/>
        </w:tabs>
      </w:pPr>
    </w:p>
    <w:p w14:paraId="0389B605" w14:textId="4F3AA4DD" w:rsidR="00CD5B80" w:rsidRPr="00CD5B80" w:rsidRDefault="00CD5B80" w:rsidP="00A6254A">
      <w:pPr>
        <w:widowControl/>
        <w:tabs>
          <w:tab w:val="left" w:pos="-1440"/>
        </w:tabs>
        <w:rPr>
          <w:b/>
          <w:u w:val="single"/>
        </w:rPr>
      </w:pPr>
      <w:r w:rsidRPr="00CD5B80">
        <w:rPr>
          <w:b/>
          <w:u w:val="single"/>
        </w:rPr>
        <w:t>Oversight of Charter Schools on Probation</w:t>
      </w:r>
    </w:p>
    <w:p w14:paraId="589E761A" w14:textId="7221A17F" w:rsidR="0059178C" w:rsidRDefault="0059178C" w:rsidP="00E5118E">
      <w:pPr>
        <w:widowControl/>
        <w:autoSpaceDE w:val="0"/>
        <w:autoSpaceDN w:val="0"/>
        <w:adjustRightInd w:val="0"/>
      </w:pPr>
    </w:p>
    <w:p w14:paraId="00A4B6E3" w14:textId="26279813" w:rsidR="00945E0B" w:rsidRDefault="001256CC">
      <w:pPr>
        <w:widowControl/>
        <w:autoSpaceDE w:val="0"/>
        <w:autoSpaceDN w:val="0"/>
        <w:adjustRightInd w:val="0"/>
        <w:rPr>
          <w:szCs w:val="24"/>
          <w:shd w:val="clear" w:color="auto" w:fill="FFFFFF"/>
        </w:rPr>
      </w:pPr>
      <w:r>
        <w:rPr>
          <w:szCs w:val="24"/>
        </w:rPr>
        <w:t>The c</w:t>
      </w:r>
      <w:r w:rsidR="007354DE" w:rsidRPr="007354DE">
        <w:rPr>
          <w:szCs w:val="24"/>
        </w:rPr>
        <w:t xml:space="preserve">harter </w:t>
      </w:r>
      <w:r w:rsidR="00307F54">
        <w:rPr>
          <w:szCs w:val="24"/>
        </w:rPr>
        <w:t>s</w:t>
      </w:r>
      <w:r w:rsidR="007354DE" w:rsidRPr="007354DE">
        <w:rPr>
          <w:szCs w:val="24"/>
        </w:rPr>
        <w:t xml:space="preserve">chool </w:t>
      </w:r>
      <w:r w:rsidR="00307F54">
        <w:rPr>
          <w:szCs w:val="24"/>
        </w:rPr>
        <w:t>s</w:t>
      </w:r>
      <w:r w:rsidR="007354DE" w:rsidRPr="007354DE">
        <w:rPr>
          <w:szCs w:val="24"/>
        </w:rPr>
        <w:t>tatute</w:t>
      </w:r>
      <w:r w:rsidR="00307F54">
        <w:rPr>
          <w:szCs w:val="24"/>
        </w:rPr>
        <w:t xml:space="preserve"> at</w:t>
      </w:r>
      <w:r w:rsidR="007354DE" w:rsidRPr="007354DE">
        <w:rPr>
          <w:szCs w:val="24"/>
        </w:rPr>
        <w:t xml:space="preserve"> G.L. c. 71, § 89(</w:t>
      </w:r>
      <w:proofErr w:type="spellStart"/>
      <w:r w:rsidR="007354DE" w:rsidRPr="007354DE">
        <w:rPr>
          <w:szCs w:val="24"/>
        </w:rPr>
        <w:t>ee</w:t>
      </w:r>
      <w:proofErr w:type="spellEnd"/>
      <w:r w:rsidR="007354DE" w:rsidRPr="007354DE">
        <w:rPr>
          <w:szCs w:val="24"/>
        </w:rPr>
        <w:t>)</w:t>
      </w:r>
      <w:r w:rsidR="00307F54">
        <w:rPr>
          <w:szCs w:val="24"/>
        </w:rPr>
        <w:t>,</w:t>
      </w:r>
      <w:r w:rsidR="007354DE" w:rsidRPr="007354DE">
        <w:rPr>
          <w:szCs w:val="24"/>
        </w:rPr>
        <w:t xml:space="preserve"> allows the Board to place a charter school on </w:t>
      </w:r>
      <w:r w:rsidR="000E753F">
        <w:rPr>
          <w:szCs w:val="24"/>
          <w:shd w:val="clear" w:color="auto" w:fill="FFFFFF"/>
        </w:rPr>
        <w:t>“</w:t>
      </w:r>
      <w:r w:rsidR="007354DE" w:rsidRPr="007354DE">
        <w:rPr>
          <w:szCs w:val="24"/>
          <w:shd w:val="clear" w:color="auto" w:fill="FFFFFF"/>
        </w:rPr>
        <w:t>probationary status to allow the implementation of a remedial plan after which, if said plan is unsuccessful, the charter may be summarily revoked.”</w:t>
      </w:r>
      <w:r w:rsidR="007354DE">
        <w:rPr>
          <w:szCs w:val="24"/>
          <w:shd w:val="clear" w:color="auto" w:fill="FFFFFF"/>
        </w:rPr>
        <w:t xml:space="preserve"> </w:t>
      </w:r>
      <w:r>
        <w:rPr>
          <w:szCs w:val="24"/>
          <w:shd w:val="clear" w:color="auto" w:fill="FFFFFF"/>
        </w:rPr>
        <w:t>Under t</w:t>
      </w:r>
      <w:r w:rsidR="007354DE">
        <w:rPr>
          <w:szCs w:val="24"/>
          <w:shd w:val="clear" w:color="auto" w:fill="FFFFFF"/>
        </w:rPr>
        <w:t xml:space="preserve">he </w:t>
      </w:r>
      <w:r w:rsidR="002B7415">
        <w:rPr>
          <w:szCs w:val="24"/>
          <w:shd w:val="clear" w:color="auto" w:fill="FFFFFF"/>
        </w:rPr>
        <w:t>c</w:t>
      </w:r>
      <w:r w:rsidR="007354DE">
        <w:rPr>
          <w:szCs w:val="24"/>
          <w:shd w:val="clear" w:color="auto" w:fill="FFFFFF"/>
        </w:rPr>
        <w:t xml:space="preserve">harter </w:t>
      </w:r>
      <w:r w:rsidR="002B7415">
        <w:rPr>
          <w:szCs w:val="24"/>
          <w:shd w:val="clear" w:color="auto" w:fill="FFFFFF"/>
        </w:rPr>
        <w:t>s</w:t>
      </w:r>
      <w:r w:rsidR="007354DE">
        <w:rPr>
          <w:szCs w:val="24"/>
          <w:shd w:val="clear" w:color="auto" w:fill="FFFFFF"/>
        </w:rPr>
        <w:t xml:space="preserve">chool </w:t>
      </w:r>
      <w:r w:rsidR="002B7415">
        <w:rPr>
          <w:szCs w:val="24"/>
          <w:shd w:val="clear" w:color="auto" w:fill="FFFFFF"/>
        </w:rPr>
        <w:t>r</w:t>
      </w:r>
      <w:r w:rsidR="007354DE">
        <w:rPr>
          <w:szCs w:val="24"/>
          <w:shd w:val="clear" w:color="auto" w:fill="FFFFFF"/>
        </w:rPr>
        <w:t>egulations</w:t>
      </w:r>
      <w:r w:rsidR="00233CD0">
        <w:rPr>
          <w:szCs w:val="24"/>
          <w:shd w:val="clear" w:color="auto" w:fill="FFFFFF"/>
        </w:rPr>
        <w:t xml:space="preserve"> at</w:t>
      </w:r>
      <w:r w:rsidR="007354DE">
        <w:rPr>
          <w:szCs w:val="24"/>
          <w:shd w:val="clear" w:color="auto" w:fill="FFFFFF"/>
        </w:rPr>
        <w:t xml:space="preserve"> </w:t>
      </w:r>
      <w:r w:rsidR="007354DE">
        <w:t>603 CMR 1.12(2</w:t>
      </w:r>
      <w:r w:rsidR="007354DE" w:rsidRPr="00DC56E1">
        <w:t>)</w:t>
      </w:r>
      <w:r>
        <w:t xml:space="preserve">, </w:t>
      </w:r>
      <w:r>
        <w:rPr>
          <w:szCs w:val="24"/>
          <w:shd w:val="clear" w:color="auto" w:fill="FFFFFF"/>
        </w:rPr>
        <w:t>the Board may impose</w:t>
      </w:r>
      <w:r w:rsidR="007354DE">
        <w:rPr>
          <w:szCs w:val="24"/>
          <w:shd w:val="clear" w:color="auto" w:fill="FFFFFF"/>
        </w:rPr>
        <w:t xml:space="preserve"> conditions </w:t>
      </w:r>
      <w:r w:rsidR="00233CD0" w:rsidRPr="00233CD0">
        <w:rPr>
          <w:szCs w:val="24"/>
          <w:shd w:val="clear" w:color="auto" w:fill="FFFFFF"/>
        </w:rPr>
        <w:t xml:space="preserve">to address specific areas of concern </w:t>
      </w:r>
      <w:r w:rsidR="007354DE">
        <w:rPr>
          <w:szCs w:val="24"/>
          <w:shd w:val="clear" w:color="auto" w:fill="FFFFFF"/>
        </w:rPr>
        <w:t xml:space="preserve">as part of probation. </w:t>
      </w:r>
      <w:r>
        <w:rPr>
          <w:szCs w:val="24"/>
          <w:shd w:val="clear" w:color="auto" w:fill="FFFFFF"/>
        </w:rPr>
        <w:t xml:space="preserve">Each school </w:t>
      </w:r>
      <w:r w:rsidR="00925D03">
        <w:rPr>
          <w:szCs w:val="24"/>
          <w:shd w:val="clear" w:color="auto" w:fill="FFFFFF"/>
        </w:rPr>
        <w:t>placed on probation</w:t>
      </w:r>
      <w:r>
        <w:rPr>
          <w:szCs w:val="24"/>
          <w:shd w:val="clear" w:color="auto" w:fill="FFFFFF"/>
        </w:rPr>
        <w:t xml:space="preserve"> must</w:t>
      </w:r>
      <w:r w:rsidR="002740FA">
        <w:rPr>
          <w:szCs w:val="24"/>
          <w:shd w:val="clear" w:color="auto" w:fill="FFFFFF"/>
        </w:rPr>
        <w:t xml:space="preserve"> meet certain conditions by a specifi</w:t>
      </w:r>
      <w:r w:rsidR="00D81E54">
        <w:rPr>
          <w:szCs w:val="24"/>
          <w:shd w:val="clear" w:color="auto" w:fill="FFFFFF"/>
        </w:rPr>
        <w:t>ed</w:t>
      </w:r>
      <w:r w:rsidR="002740FA">
        <w:rPr>
          <w:szCs w:val="24"/>
          <w:shd w:val="clear" w:color="auto" w:fill="FFFFFF"/>
        </w:rPr>
        <w:t xml:space="preserve"> date. </w:t>
      </w:r>
      <w:r w:rsidR="000E753F">
        <w:rPr>
          <w:szCs w:val="24"/>
          <w:shd w:val="clear" w:color="auto" w:fill="FFFFFF"/>
        </w:rPr>
        <w:t xml:space="preserve">Charter </w:t>
      </w:r>
      <w:r w:rsidR="002740FA">
        <w:rPr>
          <w:szCs w:val="24"/>
          <w:shd w:val="clear" w:color="auto" w:fill="FFFFFF"/>
        </w:rPr>
        <w:t>school</w:t>
      </w:r>
      <w:r w:rsidR="000E753F">
        <w:rPr>
          <w:szCs w:val="24"/>
          <w:shd w:val="clear" w:color="auto" w:fill="FFFFFF"/>
        </w:rPr>
        <w:t>s on probation</w:t>
      </w:r>
      <w:r w:rsidR="002740FA">
        <w:rPr>
          <w:szCs w:val="24"/>
          <w:shd w:val="clear" w:color="auto" w:fill="FFFFFF"/>
        </w:rPr>
        <w:t xml:space="preserve"> </w:t>
      </w:r>
      <w:r w:rsidR="000E753F">
        <w:rPr>
          <w:szCs w:val="24"/>
          <w:shd w:val="clear" w:color="auto" w:fill="FFFFFF"/>
        </w:rPr>
        <w:t>submit</w:t>
      </w:r>
      <w:r w:rsidR="002740FA">
        <w:rPr>
          <w:szCs w:val="24"/>
          <w:shd w:val="clear" w:color="auto" w:fill="FFFFFF"/>
        </w:rPr>
        <w:t xml:space="preserve"> evidence to the Department</w:t>
      </w:r>
      <w:r w:rsidR="00E169F4">
        <w:rPr>
          <w:szCs w:val="24"/>
          <w:shd w:val="clear" w:color="auto" w:fill="FFFFFF"/>
        </w:rPr>
        <w:t xml:space="preserve"> </w:t>
      </w:r>
      <w:r w:rsidR="002740FA">
        <w:rPr>
          <w:szCs w:val="24"/>
          <w:shd w:val="clear" w:color="auto" w:fill="FFFFFF"/>
        </w:rPr>
        <w:t>of the school’s effort</w:t>
      </w:r>
      <w:r>
        <w:rPr>
          <w:szCs w:val="24"/>
          <w:shd w:val="clear" w:color="auto" w:fill="FFFFFF"/>
        </w:rPr>
        <w:t>s</w:t>
      </w:r>
      <w:r w:rsidR="002740FA">
        <w:rPr>
          <w:szCs w:val="24"/>
          <w:shd w:val="clear" w:color="auto" w:fill="FFFFFF"/>
        </w:rPr>
        <w:t xml:space="preserve"> to meet the conditions of probation. </w:t>
      </w:r>
      <w:r w:rsidR="000C38D0">
        <w:rPr>
          <w:szCs w:val="24"/>
          <w:shd w:val="clear" w:color="auto" w:fill="FFFFFF"/>
        </w:rPr>
        <w:t>The Department</w:t>
      </w:r>
      <w:r w:rsidR="002740FA">
        <w:rPr>
          <w:szCs w:val="24"/>
          <w:shd w:val="clear" w:color="auto" w:fill="FFFFFF"/>
        </w:rPr>
        <w:t xml:space="preserve"> read</w:t>
      </w:r>
      <w:r w:rsidR="000C38D0">
        <w:rPr>
          <w:szCs w:val="24"/>
          <w:shd w:val="clear" w:color="auto" w:fill="FFFFFF"/>
        </w:rPr>
        <w:t>s</w:t>
      </w:r>
      <w:r w:rsidR="002740FA">
        <w:rPr>
          <w:szCs w:val="24"/>
          <w:shd w:val="clear" w:color="auto" w:fill="FFFFFF"/>
        </w:rPr>
        <w:t xml:space="preserve"> and ev</w:t>
      </w:r>
      <w:r w:rsidR="000E753F">
        <w:rPr>
          <w:szCs w:val="24"/>
          <w:shd w:val="clear" w:color="auto" w:fill="FFFFFF"/>
        </w:rPr>
        <w:t>aluate</w:t>
      </w:r>
      <w:r w:rsidR="000C38D0">
        <w:rPr>
          <w:szCs w:val="24"/>
          <w:shd w:val="clear" w:color="auto" w:fill="FFFFFF"/>
        </w:rPr>
        <w:t>s</w:t>
      </w:r>
      <w:r w:rsidR="000E753F">
        <w:rPr>
          <w:szCs w:val="24"/>
          <w:shd w:val="clear" w:color="auto" w:fill="FFFFFF"/>
        </w:rPr>
        <w:t xml:space="preserve"> each school’s submission</w:t>
      </w:r>
      <w:r w:rsidR="002740FA">
        <w:rPr>
          <w:szCs w:val="24"/>
          <w:shd w:val="clear" w:color="auto" w:fill="FFFFFF"/>
        </w:rPr>
        <w:t xml:space="preserve"> and requests clarification </w:t>
      </w:r>
      <w:r w:rsidR="000E753F">
        <w:rPr>
          <w:szCs w:val="24"/>
          <w:shd w:val="clear" w:color="auto" w:fill="FFFFFF"/>
        </w:rPr>
        <w:t xml:space="preserve">or revision </w:t>
      </w:r>
      <w:r w:rsidR="002740FA">
        <w:rPr>
          <w:szCs w:val="24"/>
          <w:shd w:val="clear" w:color="auto" w:fill="FFFFFF"/>
        </w:rPr>
        <w:t xml:space="preserve">as needed. </w:t>
      </w:r>
      <w:r w:rsidR="00945E0B" w:rsidRPr="00945E0B">
        <w:rPr>
          <w:szCs w:val="24"/>
          <w:shd w:val="clear" w:color="auto" w:fill="FFFFFF"/>
        </w:rPr>
        <w:t>Additionally, the Department monitors outcome data related to each condition to assess the degree to which a school has met the condition.</w:t>
      </w:r>
    </w:p>
    <w:p w14:paraId="63890F19" w14:textId="77777777" w:rsidR="00945E0B" w:rsidRDefault="00945E0B">
      <w:pPr>
        <w:widowControl/>
        <w:autoSpaceDE w:val="0"/>
        <w:autoSpaceDN w:val="0"/>
        <w:adjustRightInd w:val="0"/>
        <w:rPr>
          <w:szCs w:val="24"/>
          <w:shd w:val="clear" w:color="auto" w:fill="FFFFFF"/>
        </w:rPr>
      </w:pPr>
    </w:p>
    <w:p w14:paraId="4EAFDBFB" w14:textId="1A8D1170" w:rsidR="007354DE" w:rsidRDefault="00F218EC">
      <w:pPr>
        <w:widowControl/>
        <w:autoSpaceDE w:val="0"/>
        <w:autoSpaceDN w:val="0"/>
        <w:adjustRightInd w:val="0"/>
        <w:rPr>
          <w:szCs w:val="24"/>
          <w:shd w:val="clear" w:color="auto" w:fill="FFFFFF"/>
        </w:rPr>
      </w:pPr>
      <w:r w:rsidRPr="0052030E">
        <w:t xml:space="preserve">This fall, the Department conducted </w:t>
      </w:r>
      <w:r>
        <w:t>a renewal inspection</w:t>
      </w:r>
      <w:r w:rsidRPr="0052030E">
        <w:t xml:space="preserve"> visit to </w:t>
      </w:r>
      <w:r>
        <w:t>BGA</w:t>
      </w:r>
      <w:r w:rsidRPr="0052030E">
        <w:t>. Th</w:t>
      </w:r>
      <w:r>
        <w:t>is</w:t>
      </w:r>
      <w:r w:rsidRPr="0052030E">
        <w:t xml:space="preserve"> visit</w:t>
      </w:r>
      <w:r>
        <w:t>, conducted remotely,</w:t>
      </w:r>
      <w:r w:rsidRPr="0052030E">
        <w:t xml:space="preserve"> allowed the Department to gather further evidence regarding </w:t>
      </w:r>
      <w:r>
        <w:t>BGA’s</w:t>
      </w:r>
      <w:r w:rsidRPr="0052030E">
        <w:t xml:space="preserve"> </w:t>
      </w:r>
      <w:r>
        <w:t xml:space="preserve">application for renewal of its charter and </w:t>
      </w:r>
      <w:r w:rsidRPr="0052030E">
        <w:t>progress toward meeting its probationary conditions.</w:t>
      </w:r>
    </w:p>
    <w:p w14:paraId="78936E12" w14:textId="4AF2A6B8" w:rsidR="002740FA" w:rsidRDefault="002740FA">
      <w:pPr>
        <w:widowControl/>
        <w:autoSpaceDE w:val="0"/>
        <w:autoSpaceDN w:val="0"/>
        <w:adjustRightInd w:val="0"/>
        <w:rPr>
          <w:szCs w:val="24"/>
          <w:shd w:val="clear" w:color="auto" w:fill="FFFFFF"/>
        </w:rPr>
      </w:pPr>
    </w:p>
    <w:p w14:paraId="13D08C5C" w14:textId="69B268FD" w:rsidR="00061C4A" w:rsidRPr="00122B09" w:rsidRDefault="00061C4A" w:rsidP="00061C4A">
      <w:pPr>
        <w:widowControl/>
        <w:rPr>
          <w:b/>
          <w:u w:val="single"/>
        </w:rPr>
      </w:pPr>
      <w:r w:rsidRPr="00122B09">
        <w:rPr>
          <w:b/>
          <w:u w:val="single"/>
        </w:rPr>
        <w:t xml:space="preserve">Basis of Recommendation Regarding Renewal </w:t>
      </w:r>
    </w:p>
    <w:p w14:paraId="42A55D78" w14:textId="77777777" w:rsidR="00061C4A" w:rsidRPr="00122B09" w:rsidRDefault="00061C4A" w:rsidP="00061C4A">
      <w:pPr>
        <w:widowControl/>
      </w:pPr>
    </w:p>
    <w:p w14:paraId="256AB721" w14:textId="7D485A6F" w:rsidR="00057EAF" w:rsidRPr="00B12ED8" w:rsidRDefault="00057EAF" w:rsidP="00057EAF">
      <w:pPr>
        <w:widowControl/>
        <w:autoSpaceDE w:val="0"/>
        <w:autoSpaceDN w:val="0"/>
        <w:rPr>
          <w:snapToGrid/>
          <w:szCs w:val="24"/>
        </w:rPr>
      </w:pPr>
      <w:r w:rsidRPr="00B12ED8">
        <w:rPr>
          <w:snapToGrid/>
          <w:szCs w:val="24"/>
        </w:rPr>
        <w:t xml:space="preserve">The Department uses the </w:t>
      </w:r>
      <w:r w:rsidRPr="00497ADB">
        <w:rPr>
          <w:snapToGrid/>
          <w:szCs w:val="24"/>
        </w:rPr>
        <w:t xml:space="preserve">Charter School </w:t>
      </w:r>
      <w:hyperlink r:id="rId14">
        <w:r w:rsidRPr="00497ADB">
          <w:rPr>
            <w:snapToGrid/>
            <w:szCs w:val="24"/>
          </w:rPr>
          <w:t>Performance Criteria</w:t>
        </w:r>
        <w:r w:rsidRPr="00F218EC">
          <w:rPr>
            <w:snapToGrid/>
            <w:szCs w:val="24"/>
          </w:rPr>
          <w:t xml:space="preserve"> </w:t>
        </w:r>
      </w:hyperlink>
      <w:r w:rsidRPr="00B12ED8">
        <w:rPr>
          <w:snapToGrid/>
          <w:szCs w:val="24"/>
        </w:rPr>
        <w:t>(Criteria)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w:t>
      </w:r>
      <w:r w:rsidR="00FB7A43">
        <w:rPr>
          <w:snapToGrid/>
          <w:szCs w:val="24"/>
        </w:rPr>
        <w:t>, regulations,</w:t>
      </w:r>
      <w:r w:rsidR="00FB7A43" w:rsidRPr="00FB7A43">
        <w:rPr>
          <w:rStyle w:val="FootnoteReference"/>
          <w:snapToGrid/>
          <w:szCs w:val="24"/>
          <w:vertAlign w:val="superscript"/>
        </w:rPr>
        <w:footnoteReference w:id="2"/>
      </w:r>
      <w:r w:rsidRPr="00FB7A43">
        <w:rPr>
          <w:snapToGrid/>
          <w:szCs w:val="24"/>
          <w:vertAlign w:val="superscript"/>
        </w:rPr>
        <w:t xml:space="preserve"> </w:t>
      </w:r>
      <w:r w:rsidRPr="00B12ED8">
        <w:rPr>
          <w:snapToGrid/>
          <w:szCs w:val="24"/>
        </w:rPr>
        <w:t xml:space="preserve">and the process outlined in the memorandum dated October 7, 2013, regarding </w:t>
      </w:r>
      <w:hyperlink r:id="rId15">
        <w:r w:rsidRPr="00B12ED8">
          <w:rPr>
            <w:snapToGrid/>
            <w:color w:val="0000FF"/>
            <w:szCs w:val="24"/>
            <w:u w:val="single" w:color="0000FF"/>
          </w:rPr>
          <w:t>Considerations for Charter School Renewal</w:t>
        </w:r>
        <w:r w:rsidRPr="00B12ED8">
          <w:rPr>
            <w:snapToGrid/>
            <w:color w:val="0000FF"/>
            <w:szCs w:val="24"/>
          </w:rPr>
          <w:t>.</w:t>
        </w:r>
      </w:hyperlink>
    </w:p>
    <w:p w14:paraId="0A002530" w14:textId="77777777" w:rsidR="00057EAF" w:rsidRPr="00B12ED8" w:rsidRDefault="00057EAF" w:rsidP="00057EAF">
      <w:pPr>
        <w:widowControl/>
        <w:autoSpaceDE w:val="0"/>
        <w:autoSpaceDN w:val="0"/>
        <w:rPr>
          <w:snapToGrid/>
          <w:sz w:val="16"/>
          <w:szCs w:val="24"/>
        </w:rPr>
      </w:pPr>
    </w:p>
    <w:p w14:paraId="429F5EC1" w14:textId="6B73B12B" w:rsidR="00057EAF" w:rsidRDefault="00057EAF" w:rsidP="00057EAF">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Pr>
          <w:snapToGrid/>
          <w:szCs w:val="24"/>
        </w:rPr>
        <w:t>indicated</w:t>
      </w:r>
      <w:r w:rsidRPr="00B12ED8">
        <w:rPr>
          <w:snapToGrid/>
          <w:szCs w:val="24"/>
        </w:rPr>
        <w:t xml:space="preserve"> in Summaries of Review. Student academic achievement and improvement in student achievement for all student groups are of paramount importance. A rating system is used to communicate how well each school is meeting expectations of the </w:t>
      </w:r>
      <w:r w:rsidRPr="00B12ED8">
        <w:rPr>
          <w:snapToGrid/>
          <w:szCs w:val="24"/>
        </w:rPr>
        <w:lastRenderedPageBreak/>
        <w:t>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54AA62CA" w14:textId="77777777" w:rsidR="00061C4A" w:rsidRPr="00122B09" w:rsidRDefault="00061C4A" w:rsidP="00061C4A">
      <w:pPr>
        <w:widowControl/>
        <w:rPr>
          <w:szCs w:val="24"/>
        </w:rPr>
      </w:pPr>
    </w:p>
    <w:p w14:paraId="279CC477" w14:textId="35C6CAE7" w:rsidR="00061C4A" w:rsidRPr="00122B09" w:rsidRDefault="00061C4A" w:rsidP="00061C4A">
      <w:pPr>
        <w:pStyle w:val="BodyText2"/>
        <w:rPr>
          <w:i/>
          <w:iCs/>
          <w:szCs w:val="24"/>
        </w:rPr>
      </w:pPr>
      <w:r w:rsidRPr="00122B09">
        <w:rPr>
          <w:szCs w:val="24"/>
        </w:rPr>
        <w:t>The superintendent</w:t>
      </w:r>
      <w:r>
        <w:rPr>
          <w:szCs w:val="24"/>
        </w:rPr>
        <w:t xml:space="preserve"> of the public school district served by </w:t>
      </w:r>
      <w:r w:rsidR="00841975">
        <w:rPr>
          <w:szCs w:val="24"/>
        </w:rPr>
        <w:t>BGA</w:t>
      </w:r>
      <w:r>
        <w:rPr>
          <w:szCs w:val="24"/>
        </w:rPr>
        <w:t>, Boston Public Schools</w:t>
      </w:r>
      <w:r w:rsidR="00D81E54">
        <w:rPr>
          <w:szCs w:val="24"/>
        </w:rPr>
        <w:t xml:space="preserve"> (BPS)</w:t>
      </w:r>
      <w:r>
        <w:rPr>
          <w:szCs w:val="24"/>
        </w:rPr>
        <w:t>,</w:t>
      </w:r>
      <w:r w:rsidRPr="00122B09">
        <w:rPr>
          <w:szCs w:val="24"/>
        </w:rPr>
        <w:t xml:space="preserve"> </w:t>
      </w:r>
      <w:r>
        <w:rPr>
          <w:szCs w:val="24"/>
        </w:rPr>
        <w:t>was</w:t>
      </w:r>
      <w:r w:rsidRPr="00122B09">
        <w:rPr>
          <w:szCs w:val="24"/>
        </w:rPr>
        <w:t xml:space="preserve"> invited to submit written </w:t>
      </w:r>
      <w:r w:rsidRPr="0046668F">
        <w:t xml:space="preserve">comment to the Department regarding the renewal of the school’s charter. No comment was received. </w:t>
      </w:r>
    </w:p>
    <w:p w14:paraId="12EE4CB9" w14:textId="3C9625CE" w:rsidR="00CD5B80" w:rsidRDefault="00CD5B80">
      <w:pPr>
        <w:widowControl/>
        <w:autoSpaceDE w:val="0"/>
        <w:autoSpaceDN w:val="0"/>
        <w:adjustRightInd w:val="0"/>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2250"/>
        <w:gridCol w:w="2250"/>
        <w:gridCol w:w="2430"/>
      </w:tblGrid>
      <w:tr w:rsidR="00DB7A42" w14:paraId="09DE9660" w14:textId="77777777" w:rsidTr="00DB7A42">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hideMark/>
          </w:tcPr>
          <w:p w14:paraId="5225A959" w14:textId="77777777" w:rsidR="00DB7A42" w:rsidRPr="00DB7A42" w:rsidRDefault="00DB7A42">
            <w:pPr>
              <w:widowControl/>
              <w:autoSpaceDE w:val="0"/>
              <w:autoSpaceDN w:val="0"/>
              <w:adjustRightInd w:val="0"/>
              <w:rPr>
                <w:rFonts w:eastAsia="Batang"/>
                <w:b/>
                <w:bCs/>
                <w:i/>
                <w:snapToGrid/>
                <w:szCs w:val="24"/>
                <w:lang w:eastAsia="ko-KR"/>
              </w:rPr>
            </w:pPr>
            <w:r w:rsidRPr="00DB7A42">
              <w:rPr>
                <w:b/>
                <w:szCs w:val="24"/>
              </w:rPr>
              <w:t>Boston Green Academy Horace Mann Charter School</w:t>
            </w:r>
          </w:p>
        </w:tc>
      </w:tr>
      <w:tr w:rsidR="00B023B8" w14:paraId="3CEB5C04" w14:textId="77777777" w:rsidTr="00621E94">
        <w:trPr>
          <w:trHeight w:val="61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B3B8896"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Type of Charter</w:t>
            </w:r>
          </w:p>
          <w:p w14:paraId="75F3C6AB" w14:textId="77777777" w:rsidR="00B023B8" w:rsidRDefault="00B023B8" w:rsidP="00A6254A">
            <w:pPr>
              <w:widowControl/>
              <w:tabs>
                <w:tab w:val="left" w:pos="1940"/>
              </w:tabs>
              <w:spacing w:before="40"/>
              <w:ind w:left="162" w:hanging="193"/>
              <w:rPr>
                <w:rFonts w:eastAsia="Batang"/>
                <w:bCs/>
                <w:sz w:val="20"/>
                <w:lang w:eastAsia="ko-KR"/>
              </w:rPr>
            </w:pPr>
            <w:r>
              <w:rPr>
                <w:rFonts w:eastAsia="Batang"/>
                <w:sz w:val="16"/>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988B5" w14:textId="77777777" w:rsidR="00B023B8" w:rsidRPr="00B023B8" w:rsidRDefault="00B023B8" w:rsidP="00E5118E">
            <w:pPr>
              <w:pStyle w:val="Table"/>
              <w:rPr>
                <w:rFonts w:ascii="Times New Roman" w:hAnsi="Times New Roman" w:cs="Times New Roman"/>
                <w:sz w:val="20"/>
              </w:rPr>
            </w:pPr>
            <w:r w:rsidRPr="00B023B8">
              <w:rPr>
                <w:rFonts w:ascii="Times New Roman" w:hAnsi="Times New Roman" w:cs="Times New Roman"/>
                <w:sz w:val="20"/>
              </w:rPr>
              <w:t>Horace Mann III</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9E4187" w14:textId="77777777" w:rsidR="00B023B8" w:rsidRDefault="00B023B8">
            <w:pPr>
              <w:widowControl/>
              <w:tabs>
                <w:tab w:val="left" w:pos="1940"/>
              </w:tabs>
              <w:spacing w:before="40"/>
              <w:ind w:left="162" w:hanging="193"/>
              <w:rPr>
                <w:rFonts w:eastAsia="Batang"/>
                <w:b/>
                <w:bCs/>
                <w:sz w:val="20"/>
                <w:lang w:eastAsia="ko-KR"/>
              </w:rPr>
            </w:pPr>
            <w:r>
              <w:rPr>
                <w:rFonts w:eastAsia="Batang"/>
                <w:b/>
                <w:sz w:val="20"/>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448D3F"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Boston</w:t>
            </w:r>
          </w:p>
        </w:tc>
      </w:tr>
      <w:tr w:rsidR="00B023B8" w14:paraId="579F56B2" w14:textId="77777777" w:rsidTr="00B023B8">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35E3C8"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702E26"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Non-Regional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A72E04"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 xml:space="preserve">Districts in Region </w:t>
            </w:r>
          </w:p>
          <w:p w14:paraId="249D0A80" w14:textId="77777777" w:rsidR="00B023B8" w:rsidRDefault="00B023B8">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88912"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N/A</w:t>
            </w:r>
          </w:p>
        </w:tc>
      </w:tr>
      <w:tr w:rsidR="00B023B8" w14:paraId="50ED7F93" w14:textId="77777777" w:rsidTr="00B023B8">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6CDDEBB"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66D45"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2011</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CFAD8E5"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Year(s) Renewed</w:t>
            </w:r>
          </w:p>
          <w:p w14:paraId="0E5F812B" w14:textId="77777777" w:rsidR="00B023B8" w:rsidRDefault="00B023B8">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AF60A"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2016</w:t>
            </w:r>
          </w:p>
        </w:tc>
      </w:tr>
      <w:tr w:rsidR="00B023B8" w14:paraId="4806A2FE" w14:textId="77777777" w:rsidTr="00B023B8">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2440F1B"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468E8"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595</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C396DE9"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3A777B" w14:textId="5BC256C6" w:rsidR="00B023B8" w:rsidRPr="00B023B8" w:rsidRDefault="002740FA">
            <w:pPr>
              <w:pStyle w:val="Table"/>
              <w:rPr>
                <w:rFonts w:ascii="Times New Roman" w:hAnsi="Times New Roman" w:cs="Times New Roman"/>
                <w:sz w:val="20"/>
              </w:rPr>
            </w:pPr>
            <w:r>
              <w:rPr>
                <w:rFonts w:ascii="Times New Roman" w:hAnsi="Times New Roman" w:cs="Times New Roman"/>
                <w:sz w:val="20"/>
              </w:rPr>
              <w:t>50</w:t>
            </w:r>
            <w:r w:rsidR="00841975">
              <w:rPr>
                <w:rFonts w:ascii="Times New Roman" w:hAnsi="Times New Roman" w:cs="Times New Roman"/>
                <w:sz w:val="20"/>
              </w:rPr>
              <w:t>9</w:t>
            </w:r>
            <w:r w:rsidRPr="002740FA">
              <w:rPr>
                <w:rStyle w:val="FootnoteReference"/>
                <w:rFonts w:ascii="Times New Roman" w:hAnsi="Times New Roman" w:cs="Times New Roman"/>
                <w:sz w:val="20"/>
                <w:vertAlign w:val="superscript"/>
              </w:rPr>
              <w:footnoteReference w:id="3"/>
            </w:r>
            <w:r w:rsidR="00B268C2">
              <w:rPr>
                <w:rFonts w:ascii="Times New Roman" w:hAnsi="Times New Roman" w:cs="Times New Roman"/>
                <w:sz w:val="20"/>
              </w:rPr>
              <w:t xml:space="preserve"> (October 20</w:t>
            </w:r>
            <w:r w:rsidR="00841975">
              <w:rPr>
                <w:rFonts w:ascii="Times New Roman" w:hAnsi="Times New Roman" w:cs="Times New Roman"/>
                <w:sz w:val="20"/>
              </w:rPr>
              <w:t>20</w:t>
            </w:r>
            <w:r w:rsidR="00B268C2">
              <w:rPr>
                <w:rFonts w:ascii="Times New Roman" w:hAnsi="Times New Roman" w:cs="Times New Roman"/>
                <w:sz w:val="20"/>
              </w:rPr>
              <w:t>)</w:t>
            </w:r>
          </w:p>
        </w:tc>
      </w:tr>
      <w:tr w:rsidR="00B023B8" w14:paraId="0D74BC23" w14:textId="77777777" w:rsidTr="00621E94">
        <w:trPr>
          <w:trHeight w:val="467"/>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1A7C71C" w14:textId="77777777" w:rsidR="00B023B8" w:rsidRDefault="00B023B8" w:rsidP="00A6254A">
            <w:pPr>
              <w:widowControl/>
              <w:tabs>
                <w:tab w:val="left" w:pos="1940"/>
              </w:tabs>
              <w:spacing w:before="40"/>
              <w:rPr>
                <w:rFonts w:eastAsia="Batang"/>
                <w:b/>
                <w:bCs/>
                <w:sz w:val="20"/>
                <w:lang w:eastAsia="ko-KR"/>
              </w:rPr>
            </w:pPr>
            <w:r>
              <w:rPr>
                <w:rFonts w:eastAsia="Batang"/>
                <w:b/>
                <w:sz w:val="20"/>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E5908"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6-12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BFA7C45"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E4047"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6-12</w:t>
            </w:r>
          </w:p>
        </w:tc>
      </w:tr>
      <w:tr w:rsidR="00DB7A42" w14:paraId="6BD141ED" w14:textId="77777777" w:rsidTr="00DB7A42">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262441C" w14:textId="77777777" w:rsidR="00DB7A42" w:rsidRDefault="00DB7A42" w:rsidP="00A6254A">
            <w:pPr>
              <w:widowControl/>
              <w:tabs>
                <w:tab w:val="left" w:pos="1940"/>
              </w:tabs>
              <w:spacing w:before="40"/>
              <w:rPr>
                <w:rFonts w:eastAsia="Batang"/>
                <w:b/>
                <w:sz w:val="20"/>
                <w:lang w:eastAsia="ko-KR"/>
              </w:rPr>
            </w:pPr>
            <w:r>
              <w:rPr>
                <w:rFonts w:eastAsia="Batang"/>
                <w:b/>
                <w:sz w:val="20"/>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DBC542" w14:textId="4987CCE9" w:rsidR="00DB7A42" w:rsidRPr="003F225D" w:rsidRDefault="003F225D" w:rsidP="00A6254A">
            <w:pPr>
              <w:widowControl/>
              <w:tabs>
                <w:tab w:val="left" w:pos="1940"/>
              </w:tabs>
              <w:spacing w:before="40"/>
              <w:ind w:left="162" w:hanging="193"/>
              <w:rPr>
                <w:rFonts w:eastAsia="Batang"/>
                <w:sz w:val="20"/>
                <w:vertAlign w:val="superscript"/>
                <w:lang w:eastAsia="ko-KR"/>
              </w:rPr>
            </w:pPr>
            <w:r>
              <w:rPr>
                <w:rFonts w:eastAsia="Batang"/>
                <w:sz w:val="20"/>
                <w:lang w:eastAsia="ko-KR"/>
              </w:rPr>
              <w:t>4</w:t>
            </w:r>
            <w:r w:rsidR="00621E94">
              <w:rPr>
                <w:rFonts w:eastAsia="Batang"/>
                <w:sz w:val="20"/>
                <w:lang w:eastAsia="ko-KR"/>
              </w:rPr>
              <w:t>08</w:t>
            </w:r>
            <w:r w:rsidR="00B268C2">
              <w:rPr>
                <w:rFonts w:eastAsia="Batang"/>
                <w:sz w:val="20"/>
                <w:lang w:eastAsia="ko-KR"/>
              </w:rPr>
              <w:t xml:space="preserve"> (March 20</w:t>
            </w:r>
            <w:r w:rsidR="00621E94">
              <w:rPr>
                <w:rFonts w:eastAsia="Batang"/>
                <w:sz w:val="20"/>
                <w:lang w:eastAsia="ko-KR"/>
              </w:rPr>
              <w:t>20</w:t>
            </w:r>
            <w:r w:rsidR="00B268C2">
              <w:rPr>
                <w:rFonts w:eastAsia="Batang"/>
                <w:sz w:val="20"/>
                <w:lang w:eastAsia="ko-KR"/>
              </w:rPr>
              <w:t>)</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02B3BB5" w14:textId="77777777" w:rsidR="00DB7A42" w:rsidRDefault="00DB7A42" w:rsidP="00E5118E">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E7A93" w14:textId="503267A6" w:rsidR="00DB7A42" w:rsidRDefault="00621E94">
            <w:pPr>
              <w:widowControl/>
              <w:tabs>
                <w:tab w:val="left" w:pos="1940"/>
              </w:tabs>
              <w:spacing w:before="40" w:after="40"/>
              <w:ind w:left="162" w:hanging="193"/>
              <w:rPr>
                <w:rFonts w:eastAsia="Batang"/>
                <w:sz w:val="20"/>
                <w:lang w:eastAsia="ko-KR"/>
              </w:rPr>
            </w:pPr>
            <w:r>
              <w:rPr>
                <w:rFonts w:eastAsia="Batang"/>
                <w:sz w:val="20"/>
                <w:lang w:eastAsia="ko-KR"/>
              </w:rPr>
              <w:t>10</w:t>
            </w:r>
            <w:r w:rsidR="00DB7A42">
              <w:rPr>
                <w:rFonts w:eastAsia="Batang"/>
                <w:sz w:val="20"/>
                <w:lang w:eastAsia="ko-KR"/>
              </w:rPr>
              <w:t xml:space="preserve"> years</w:t>
            </w:r>
          </w:p>
        </w:tc>
      </w:tr>
      <w:tr w:rsidR="00DB7A42" w14:paraId="0BD8D34C" w14:textId="77777777" w:rsidTr="00621E94">
        <w:trPr>
          <w:trHeight w:val="980"/>
        </w:trPr>
        <w:tc>
          <w:tcPr>
            <w:tcW w:w="9900"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5DB09D9" w14:textId="77777777" w:rsidR="00DB7A42" w:rsidRDefault="00DB7A42" w:rsidP="00A6254A">
            <w:pPr>
              <w:widowControl/>
              <w:tabs>
                <w:tab w:val="left" w:pos="1940"/>
              </w:tabs>
              <w:spacing w:before="120" w:after="40"/>
              <w:ind w:left="162" w:hanging="193"/>
              <w:rPr>
                <w:rFonts w:eastAsia="Batang"/>
                <w:b/>
                <w:sz w:val="20"/>
                <w:lang w:eastAsia="ko-KR"/>
              </w:rPr>
            </w:pPr>
            <w:r>
              <w:rPr>
                <w:rFonts w:eastAsia="Batang"/>
                <w:b/>
                <w:sz w:val="20"/>
                <w:lang w:eastAsia="ko-KR"/>
              </w:rPr>
              <w:t>Mission Statement</w:t>
            </w:r>
          </w:p>
          <w:p w14:paraId="4F15A146" w14:textId="77777777" w:rsidR="00DB7A42" w:rsidRDefault="00B023B8" w:rsidP="00A6254A">
            <w:pPr>
              <w:widowControl/>
              <w:tabs>
                <w:tab w:val="left" w:pos="1940"/>
              </w:tabs>
              <w:spacing w:before="120" w:after="40"/>
              <w:ind w:left="-18" w:hanging="13"/>
              <w:rPr>
                <w:rFonts w:eastAsia="Batang"/>
                <w:b/>
                <w:bCs/>
                <w:color w:val="365F91" w:themeColor="accent1" w:themeShade="BF"/>
                <w:sz w:val="20"/>
                <w:lang w:eastAsia="ko-KR"/>
              </w:rPr>
            </w:pPr>
            <w:r w:rsidRPr="008B0DEF">
              <w:rPr>
                <w:rFonts w:eastAsia="Batang"/>
                <w:sz w:val="20"/>
                <w:lang w:eastAsia="ko-KR"/>
              </w:rPr>
              <w:t>Boston Green Academy welcomes diverse students of all abilities, educates and empowers them to succeed in college and career, and prepares them to lead in the sustainability of our community and world.</w:t>
            </w:r>
          </w:p>
        </w:tc>
      </w:tr>
    </w:tbl>
    <w:p w14:paraId="65800F7F" w14:textId="77777777" w:rsidR="00515150" w:rsidRDefault="00515150" w:rsidP="00A6254A">
      <w:pPr>
        <w:pStyle w:val="BodyText2"/>
        <w:ind w:right="-360"/>
        <w:rPr>
          <w:b/>
          <w:szCs w:val="24"/>
          <w:u w:val="single"/>
        </w:rPr>
      </w:pPr>
    </w:p>
    <w:p w14:paraId="56B1C778" w14:textId="7A353004" w:rsidR="00B023B8" w:rsidRPr="00061C4A" w:rsidRDefault="00B023B8" w:rsidP="00A6254A">
      <w:pPr>
        <w:pStyle w:val="BodyText2"/>
        <w:ind w:right="-360"/>
        <w:rPr>
          <w:b/>
          <w:szCs w:val="24"/>
          <w:u w:val="single"/>
        </w:rPr>
      </w:pPr>
      <w:r w:rsidRPr="00061C4A">
        <w:rPr>
          <w:b/>
          <w:szCs w:val="24"/>
          <w:u w:val="single"/>
        </w:rPr>
        <w:t>School History</w:t>
      </w:r>
    </w:p>
    <w:p w14:paraId="7D3E364F" w14:textId="77777777" w:rsidR="00B023B8" w:rsidRDefault="00B023B8" w:rsidP="00A6254A">
      <w:pPr>
        <w:widowControl/>
        <w:rPr>
          <w:szCs w:val="24"/>
        </w:rPr>
      </w:pPr>
    </w:p>
    <w:p w14:paraId="56B66E3B" w14:textId="0A590B1D" w:rsidR="003F225D" w:rsidRDefault="003F225D" w:rsidP="00E169F4">
      <w:pPr>
        <w:widowControl/>
        <w:rPr>
          <w:szCs w:val="24"/>
        </w:rPr>
      </w:pPr>
      <w:r w:rsidRPr="009934FA">
        <w:rPr>
          <w:szCs w:val="24"/>
        </w:rPr>
        <w:t>BGA is a Horace Mann III</w:t>
      </w:r>
      <w:r w:rsidRPr="003B4109">
        <w:rPr>
          <w:rStyle w:val="FootnoteReference"/>
          <w:szCs w:val="24"/>
          <w:vertAlign w:val="superscript"/>
        </w:rPr>
        <w:footnoteReference w:id="4"/>
      </w:r>
      <w:r w:rsidRPr="00602104">
        <w:rPr>
          <w:szCs w:val="24"/>
        </w:rPr>
        <w:t xml:space="preserve"> </w:t>
      </w:r>
      <w:r w:rsidRPr="009934FA">
        <w:rPr>
          <w:szCs w:val="24"/>
        </w:rPr>
        <w:t>charter school in Boston</w:t>
      </w:r>
      <w:r w:rsidR="00BE2A59">
        <w:rPr>
          <w:szCs w:val="24"/>
        </w:rPr>
        <w:t>.</w:t>
      </w:r>
      <w:r w:rsidRPr="009934FA">
        <w:rPr>
          <w:szCs w:val="24"/>
        </w:rPr>
        <w:t xml:space="preserve"> In its application to become a Horace Mann III charter school, BGA promised to serve students from a Boston high school that was recommended for closure</w:t>
      </w:r>
      <w:r w:rsidR="00E86C95">
        <w:rPr>
          <w:szCs w:val="24"/>
        </w:rPr>
        <w:t xml:space="preserve">. </w:t>
      </w:r>
      <w:r w:rsidRPr="009934FA">
        <w:rPr>
          <w:szCs w:val="24"/>
        </w:rPr>
        <w:t>In its subsequent memorandum of understanding (MOU) with</w:t>
      </w:r>
      <w:r w:rsidR="00BE2A59">
        <w:rPr>
          <w:szCs w:val="24"/>
        </w:rPr>
        <w:t xml:space="preserve"> BPS</w:t>
      </w:r>
      <w:r w:rsidRPr="009934FA">
        <w:rPr>
          <w:szCs w:val="24"/>
        </w:rPr>
        <w:t>, BGA agreed to open in 2011 with students in grades 9-12</w:t>
      </w:r>
      <w:r w:rsidR="00E71FC9">
        <w:rPr>
          <w:szCs w:val="24"/>
        </w:rPr>
        <w:t>;</w:t>
      </w:r>
      <w:r w:rsidRPr="009934FA">
        <w:rPr>
          <w:szCs w:val="24"/>
        </w:rPr>
        <w:t xml:space="preserve"> to absorb the student population from Odyssey High School (Odyssey),</w:t>
      </w:r>
      <w:r w:rsidR="0014153E">
        <w:rPr>
          <w:szCs w:val="24"/>
        </w:rPr>
        <w:t xml:space="preserve"> a Level 3 school</w:t>
      </w:r>
      <w:r w:rsidR="00E71FC9">
        <w:rPr>
          <w:szCs w:val="24"/>
        </w:rPr>
        <w:t>;</w:t>
      </w:r>
      <w:r w:rsidRPr="009934FA">
        <w:rPr>
          <w:szCs w:val="24"/>
        </w:rPr>
        <w:t xml:space="preserve"> and to occupy Odyssey’s facility in South Boston. While BGA was originally proposed as a 6-12 school, the MOU altered the founding group’s original growth plan and delayed the offering of middle school grades</w:t>
      </w:r>
      <w:r w:rsidR="00A25570">
        <w:rPr>
          <w:szCs w:val="24"/>
        </w:rPr>
        <w:t xml:space="preserve"> until the 2014-15 school year</w:t>
      </w:r>
      <w:r w:rsidRPr="009934FA">
        <w:rPr>
          <w:szCs w:val="24"/>
        </w:rPr>
        <w:t xml:space="preserve">. </w:t>
      </w:r>
    </w:p>
    <w:p w14:paraId="2FAFBF40" w14:textId="77777777" w:rsidR="003F225D" w:rsidRDefault="003F225D" w:rsidP="00E169F4">
      <w:pPr>
        <w:widowControl/>
        <w:rPr>
          <w:szCs w:val="24"/>
        </w:rPr>
      </w:pPr>
    </w:p>
    <w:p w14:paraId="0448D0B9" w14:textId="20179EAB" w:rsidR="003F225D" w:rsidRDefault="00A01806" w:rsidP="00E169F4">
      <w:pPr>
        <w:widowControl/>
        <w:rPr>
          <w:szCs w:val="24"/>
        </w:rPr>
      </w:pPr>
      <w:r>
        <w:rPr>
          <w:szCs w:val="24"/>
        </w:rPr>
        <w:t xml:space="preserve">Until its </w:t>
      </w:r>
      <w:r w:rsidR="002E6CB4">
        <w:rPr>
          <w:szCs w:val="24"/>
        </w:rPr>
        <w:t>fourth</w:t>
      </w:r>
      <w:r>
        <w:rPr>
          <w:szCs w:val="24"/>
        </w:rPr>
        <w:t xml:space="preserve"> year of operation</w:t>
      </w:r>
      <w:r w:rsidR="003F225D" w:rsidRPr="009934FA">
        <w:rPr>
          <w:szCs w:val="24"/>
        </w:rPr>
        <w:t xml:space="preserve">, BGA served </w:t>
      </w:r>
      <w:r w:rsidR="00695283">
        <w:rPr>
          <w:szCs w:val="24"/>
        </w:rPr>
        <w:t xml:space="preserve">only </w:t>
      </w:r>
      <w:r w:rsidR="003F225D" w:rsidRPr="009934FA">
        <w:rPr>
          <w:szCs w:val="24"/>
        </w:rPr>
        <w:t xml:space="preserve">grades 9-12 in the South Boston facility. In the fall of 2014, the school moved to </w:t>
      </w:r>
      <w:r w:rsidR="003F11D8">
        <w:rPr>
          <w:szCs w:val="24"/>
        </w:rPr>
        <w:t>the Taft Building</w:t>
      </w:r>
      <w:r w:rsidR="003F225D" w:rsidRPr="009934FA">
        <w:rPr>
          <w:szCs w:val="24"/>
        </w:rPr>
        <w:t xml:space="preserve"> in Brig</w:t>
      </w:r>
      <w:r w:rsidR="003F11D8">
        <w:rPr>
          <w:szCs w:val="24"/>
        </w:rPr>
        <w:t>hton and began to serve</w:t>
      </w:r>
      <w:r w:rsidR="003F225D">
        <w:rPr>
          <w:szCs w:val="24"/>
        </w:rPr>
        <w:t xml:space="preserve"> grade</w:t>
      </w:r>
      <w:r w:rsidR="003F11D8">
        <w:rPr>
          <w:szCs w:val="24"/>
        </w:rPr>
        <w:t xml:space="preserve"> 6 students</w:t>
      </w:r>
      <w:r w:rsidR="003F225D">
        <w:rPr>
          <w:szCs w:val="24"/>
        </w:rPr>
        <w:t>. For two years, the Brighton facility was</w:t>
      </w:r>
      <w:r w:rsidR="003F225D" w:rsidRPr="009934FA">
        <w:rPr>
          <w:szCs w:val="24"/>
        </w:rPr>
        <w:t xml:space="preserve"> co-located with Another Course to College, a</w:t>
      </w:r>
      <w:r w:rsidR="003F225D">
        <w:rPr>
          <w:szCs w:val="24"/>
        </w:rPr>
        <w:t>nother</w:t>
      </w:r>
      <w:r w:rsidR="003F225D" w:rsidRPr="009934FA">
        <w:rPr>
          <w:szCs w:val="24"/>
        </w:rPr>
        <w:t xml:space="preserve"> BPS school. </w:t>
      </w:r>
      <w:r w:rsidR="003F225D">
        <w:rPr>
          <w:szCs w:val="24"/>
        </w:rPr>
        <w:t>BGA is now the sole occupant of its Brighton facility</w:t>
      </w:r>
      <w:r w:rsidR="003F11D8">
        <w:rPr>
          <w:szCs w:val="24"/>
        </w:rPr>
        <w:t xml:space="preserve"> and currently enrolls students in grades 6 through 12</w:t>
      </w:r>
      <w:r w:rsidR="00DC3D9C">
        <w:rPr>
          <w:szCs w:val="24"/>
        </w:rPr>
        <w:t xml:space="preserve">, its </w:t>
      </w:r>
      <w:r w:rsidR="00695283">
        <w:rPr>
          <w:szCs w:val="24"/>
        </w:rPr>
        <w:t xml:space="preserve">full </w:t>
      </w:r>
      <w:r w:rsidR="00DC3D9C">
        <w:rPr>
          <w:szCs w:val="24"/>
        </w:rPr>
        <w:t>grade span</w:t>
      </w:r>
      <w:r w:rsidR="003F225D">
        <w:rPr>
          <w:szCs w:val="24"/>
        </w:rPr>
        <w:t xml:space="preserve">. </w:t>
      </w:r>
    </w:p>
    <w:p w14:paraId="787BEDD8" w14:textId="77777777" w:rsidR="003F225D" w:rsidRDefault="003F225D" w:rsidP="00E169F4">
      <w:pPr>
        <w:widowControl/>
        <w:rPr>
          <w:szCs w:val="24"/>
        </w:rPr>
      </w:pPr>
    </w:p>
    <w:p w14:paraId="456070DA" w14:textId="2C2695BB" w:rsidR="003F225D" w:rsidRDefault="003F225D" w:rsidP="00E169F4">
      <w:pPr>
        <w:widowControl/>
        <w:rPr>
          <w:szCs w:val="24"/>
        </w:rPr>
      </w:pPr>
      <w:r w:rsidRPr="009934FA">
        <w:rPr>
          <w:szCs w:val="24"/>
        </w:rPr>
        <w:t xml:space="preserve">Due to persistent concerns, the school received five visits from the Department in the school’s first four years of operation. These visits documented concerns about the school’s faithfulness to its charter, the quality of the academic program, the school’s poor academic results, the quality and amount of support for diverse learners, and the school’s lack of compliance with </w:t>
      </w:r>
      <w:r w:rsidR="00B72B84">
        <w:rPr>
          <w:szCs w:val="24"/>
        </w:rPr>
        <w:t>legal</w:t>
      </w:r>
      <w:r w:rsidR="00B72B84" w:rsidRPr="009934FA">
        <w:rPr>
          <w:szCs w:val="24"/>
        </w:rPr>
        <w:t xml:space="preserve"> </w:t>
      </w:r>
      <w:r w:rsidRPr="009934FA">
        <w:rPr>
          <w:szCs w:val="24"/>
        </w:rPr>
        <w:t>requirements</w:t>
      </w:r>
      <w:r>
        <w:rPr>
          <w:szCs w:val="24"/>
        </w:rPr>
        <w:t>.</w:t>
      </w:r>
      <w:r w:rsidRPr="00E848D9">
        <w:rPr>
          <w:rStyle w:val="FootnoteReference"/>
          <w:szCs w:val="24"/>
          <w:vertAlign w:val="superscript"/>
        </w:rPr>
        <w:footnoteReference w:id="5"/>
      </w:r>
      <w:r w:rsidRPr="009934FA">
        <w:rPr>
          <w:szCs w:val="24"/>
        </w:rPr>
        <w:t xml:space="preserve"> </w:t>
      </w:r>
    </w:p>
    <w:p w14:paraId="1FD63EED" w14:textId="77777777" w:rsidR="003F225D" w:rsidRDefault="003F225D" w:rsidP="00E169F4">
      <w:pPr>
        <w:widowControl/>
        <w:rPr>
          <w:szCs w:val="24"/>
        </w:rPr>
      </w:pPr>
    </w:p>
    <w:p w14:paraId="7938DADE" w14:textId="47CC865F" w:rsidR="00B023B8" w:rsidRDefault="003F225D" w:rsidP="00A6254A">
      <w:pPr>
        <w:widowControl/>
        <w:autoSpaceDE w:val="0"/>
        <w:autoSpaceDN w:val="0"/>
        <w:adjustRightInd w:val="0"/>
      </w:pPr>
      <w:r w:rsidRPr="009934FA">
        <w:rPr>
          <w:szCs w:val="24"/>
        </w:rPr>
        <w:t>In October 2014, the Board voted to put BGA on probation with eight conditions related to finance, governance, and academics.</w:t>
      </w:r>
      <w:r>
        <w:rPr>
          <w:szCs w:val="24"/>
        </w:rPr>
        <w:t xml:space="preserve"> </w:t>
      </w:r>
      <w:r>
        <w:t xml:space="preserve">In February 2016, </w:t>
      </w:r>
      <w:r w:rsidR="00016AAA">
        <w:t xml:space="preserve">the Board renewed </w:t>
      </w:r>
      <w:r>
        <w:t>BGA</w:t>
      </w:r>
      <w:r w:rsidR="00016AAA">
        <w:t xml:space="preserve">’s </w:t>
      </w:r>
      <w:r>
        <w:t xml:space="preserve">charter </w:t>
      </w:r>
      <w:r w:rsidR="00852B66">
        <w:t xml:space="preserve">and </w:t>
      </w:r>
      <w:r>
        <w:t xml:space="preserve">continued </w:t>
      </w:r>
      <w:r w:rsidR="00852B66">
        <w:t xml:space="preserve">the school’s </w:t>
      </w:r>
      <w:r>
        <w:t>probation. The school had met the conditions related to compliance, but conditions related to academic achievement and governance were extended</w:t>
      </w:r>
      <w:r w:rsidR="00DC3D9C">
        <w:t xml:space="preserve"> due to ongoing concerns</w:t>
      </w:r>
      <w:r>
        <w:t xml:space="preserve">. In January 2017, Commissioner </w:t>
      </w:r>
      <w:r w:rsidR="007D4824">
        <w:t xml:space="preserve">Mitchell D. </w:t>
      </w:r>
      <w:r>
        <w:t>Chester</w:t>
      </w:r>
      <w:r w:rsidR="00B268C2">
        <w:t xml:space="preserve"> commended the improved results for BGA’s high school students but stated that BGA must improve the quality of the academic program and outcomes for its middle school students. </w:t>
      </w:r>
      <w:r w:rsidR="00D7187D">
        <w:t xml:space="preserve">In January 2017, </w:t>
      </w:r>
      <w:r>
        <w:t>the Board voted</w:t>
      </w:r>
      <w:r w:rsidR="00D7187D">
        <w:t xml:space="preserve"> to extend probation and impose</w:t>
      </w:r>
      <w:r w:rsidR="00D91D66">
        <w:t>d</w:t>
      </w:r>
      <w:r>
        <w:t xml:space="preserve"> a set of</w:t>
      </w:r>
      <w:r w:rsidR="004F3856">
        <w:t xml:space="preserve"> five</w:t>
      </w:r>
      <w:r>
        <w:t xml:space="preserve"> conditions on the charter</w:t>
      </w:r>
      <w:r w:rsidR="00DC3D9C">
        <w:t xml:space="preserve"> to require further improvement in the school’s academic program</w:t>
      </w:r>
      <w:r>
        <w:t>.</w:t>
      </w:r>
      <w:r w:rsidR="00626989">
        <w:t xml:space="preserve"> </w:t>
      </w:r>
    </w:p>
    <w:p w14:paraId="0C4BD0B8" w14:textId="5392CD07" w:rsidR="00E86C95" w:rsidRDefault="00E86C95" w:rsidP="00A6254A">
      <w:pPr>
        <w:widowControl/>
        <w:autoSpaceDE w:val="0"/>
        <w:autoSpaceDN w:val="0"/>
        <w:adjustRightInd w:val="0"/>
      </w:pPr>
    </w:p>
    <w:p w14:paraId="0298AD74" w14:textId="7DE1592E" w:rsidR="00125FE3" w:rsidRDefault="00E86C95" w:rsidP="00125FE3">
      <w:pPr>
        <w:pStyle w:val="BodyText2"/>
        <w:rPr>
          <w:szCs w:val="24"/>
        </w:rPr>
      </w:pPr>
      <w:r>
        <w:t xml:space="preserve">In January 2020, I presented a report on the five probationary conditions to the Board. The report noted that the school met four of the five conditions and partially met the condition requiring significant and sustained academic improvement. </w:t>
      </w:r>
      <w:r>
        <w:rPr>
          <w:szCs w:val="24"/>
        </w:rPr>
        <w:t>I commend</w:t>
      </w:r>
      <w:r w:rsidR="00986A1E">
        <w:rPr>
          <w:szCs w:val="24"/>
        </w:rPr>
        <w:t>ed</w:t>
      </w:r>
      <w:r>
        <w:rPr>
          <w:szCs w:val="24"/>
        </w:rPr>
        <w:t xml:space="preserve"> the school for </w:t>
      </w:r>
      <w:r w:rsidR="0070327E">
        <w:rPr>
          <w:szCs w:val="24"/>
        </w:rPr>
        <w:t xml:space="preserve">meeting a majority of conditions and </w:t>
      </w:r>
      <w:r>
        <w:rPr>
          <w:szCs w:val="24"/>
        </w:rPr>
        <w:t xml:space="preserve">making progress in its academic outcomes, particularly for the </w:t>
      </w:r>
      <w:r w:rsidR="00986A1E">
        <w:rPr>
          <w:szCs w:val="24"/>
        </w:rPr>
        <w:t xml:space="preserve">2019 </w:t>
      </w:r>
      <w:r>
        <w:rPr>
          <w:szCs w:val="24"/>
        </w:rPr>
        <w:t xml:space="preserve">improved growth scores for students in grades 6 through 8. </w:t>
      </w:r>
      <w:r w:rsidR="00986A1E">
        <w:rPr>
          <w:szCs w:val="24"/>
        </w:rPr>
        <w:t xml:space="preserve">I was concerned, however, about overall achievement for middle school grades and for the school’s </w:t>
      </w:r>
      <w:r>
        <w:rPr>
          <w:szCs w:val="24"/>
        </w:rPr>
        <w:t>Hispanic/Latin</w:t>
      </w:r>
      <w:r w:rsidR="001C79A0">
        <w:rPr>
          <w:szCs w:val="24"/>
        </w:rPr>
        <w:t>x</w:t>
      </w:r>
      <w:r>
        <w:rPr>
          <w:szCs w:val="24"/>
        </w:rPr>
        <w:t xml:space="preserve"> student</w:t>
      </w:r>
      <w:r w:rsidR="00986A1E">
        <w:rPr>
          <w:szCs w:val="24"/>
        </w:rPr>
        <w:t xml:space="preserve"> group, who comprise 40 percent of the total school population</w:t>
      </w:r>
      <w:r>
        <w:rPr>
          <w:szCs w:val="24"/>
        </w:rPr>
        <w:t>.</w:t>
      </w:r>
      <w:r w:rsidR="00515150">
        <w:rPr>
          <w:szCs w:val="24"/>
        </w:rPr>
        <w:t xml:space="preserve"> </w:t>
      </w:r>
    </w:p>
    <w:p w14:paraId="40E5B3C8" w14:textId="77777777" w:rsidR="00125FE3" w:rsidRDefault="00125FE3" w:rsidP="00125FE3">
      <w:pPr>
        <w:pStyle w:val="BodyText2"/>
        <w:rPr>
          <w:szCs w:val="24"/>
        </w:rPr>
      </w:pPr>
    </w:p>
    <w:p w14:paraId="5BB3959E" w14:textId="1A20B30C" w:rsidR="00125FE3" w:rsidRDefault="00515150" w:rsidP="00125FE3">
      <w:pPr>
        <w:pStyle w:val="BodyText2"/>
        <w:rPr>
          <w:szCs w:val="24"/>
        </w:rPr>
      </w:pPr>
      <w:r>
        <w:rPr>
          <w:szCs w:val="24"/>
        </w:rPr>
        <w:t xml:space="preserve">Based on </w:t>
      </w:r>
      <w:r w:rsidR="00125FE3">
        <w:rPr>
          <w:szCs w:val="24"/>
        </w:rPr>
        <w:t>evidence presented to the Board in January 2020</w:t>
      </w:r>
      <w:r>
        <w:rPr>
          <w:szCs w:val="24"/>
        </w:rPr>
        <w:t xml:space="preserve">, </w:t>
      </w:r>
      <w:r w:rsidR="00125FE3" w:rsidRPr="00EC7C09">
        <w:rPr>
          <w:szCs w:val="24"/>
        </w:rPr>
        <w:t>I recommend</w:t>
      </w:r>
      <w:r w:rsidR="00125FE3">
        <w:rPr>
          <w:szCs w:val="24"/>
        </w:rPr>
        <w:t>ed</w:t>
      </w:r>
      <w:r w:rsidR="00125FE3" w:rsidRPr="00EC7C09">
        <w:rPr>
          <w:szCs w:val="24"/>
        </w:rPr>
        <w:t xml:space="preserve"> that the Board extend probation for a year</w:t>
      </w:r>
      <w:r w:rsidR="00125FE3">
        <w:rPr>
          <w:szCs w:val="24"/>
        </w:rPr>
        <w:t xml:space="preserve">, remove the conditions related to the </w:t>
      </w:r>
      <w:r w:rsidR="0070327E">
        <w:rPr>
          <w:szCs w:val="24"/>
        </w:rPr>
        <w:t xml:space="preserve">completed </w:t>
      </w:r>
      <w:r w:rsidR="00125FE3">
        <w:rPr>
          <w:szCs w:val="24"/>
        </w:rPr>
        <w:t>comprehensive evaluation and action plan,</w:t>
      </w:r>
      <w:r w:rsidR="00125FE3" w:rsidRPr="00EC7C09">
        <w:rPr>
          <w:szCs w:val="24"/>
        </w:rPr>
        <w:t xml:space="preserve"> and extend three existing conditions as part of the school’s probation.</w:t>
      </w:r>
      <w:r w:rsidR="00125FE3" w:rsidRPr="00642F22">
        <w:rPr>
          <w:szCs w:val="24"/>
        </w:rPr>
        <w:t xml:space="preserve"> </w:t>
      </w:r>
      <w:r w:rsidR="00125FE3">
        <w:rPr>
          <w:szCs w:val="24"/>
        </w:rPr>
        <w:t xml:space="preserve">What follows is a report on the school’s performance in terms of these three conditions. </w:t>
      </w:r>
    </w:p>
    <w:p w14:paraId="48F0CF96" w14:textId="59587F76" w:rsidR="00125FE3" w:rsidRDefault="00125FE3" w:rsidP="00125FE3">
      <w:pPr>
        <w:pStyle w:val="BodyText2"/>
        <w:rPr>
          <w:szCs w:val="24"/>
        </w:rPr>
      </w:pPr>
    </w:p>
    <w:p w14:paraId="3ECA2118" w14:textId="77777777" w:rsidR="00125FE3" w:rsidRPr="00061C4A" w:rsidRDefault="00125FE3" w:rsidP="00125FE3">
      <w:pPr>
        <w:pStyle w:val="BodyText2"/>
        <w:ind w:right="-360"/>
        <w:rPr>
          <w:b/>
          <w:szCs w:val="24"/>
          <w:u w:val="single"/>
        </w:rPr>
      </w:pPr>
      <w:r w:rsidRPr="00061C4A">
        <w:rPr>
          <w:b/>
          <w:szCs w:val="24"/>
          <w:u w:val="single"/>
        </w:rPr>
        <w:t>Report on Probation</w:t>
      </w:r>
    </w:p>
    <w:p w14:paraId="6B6462F8" w14:textId="77777777" w:rsidR="00125FE3" w:rsidRDefault="00125FE3" w:rsidP="00125FE3">
      <w:pPr>
        <w:widowControl/>
        <w:tabs>
          <w:tab w:val="left" w:pos="1350"/>
        </w:tabs>
        <w:contextualSpacing/>
      </w:pPr>
    </w:p>
    <w:p w14:paraId="0535A85A" w14:textId="20DB46A2" w:rsidR="00125FE3" w:rsidRDefault="00125FE3" w:rsidP="00125FE3">
      <w:pPr>
        <w:widowControl/>
        <w:tabs>
          <w:tab w:val="left" w:pos="1350"/>
        </w:tabs>
        <w:contextualSpacing/>
      </w:pPr>
      <w:r>
        <w:t xml:space="preserve">Below is a summary of the school’s progress toward meeting the three conditions imposed on the school’s charter. </w:t>
      </w:r>
    </w:p>
    <w:p w14:paraId="173183C1" w14:textId="77777777" w:rsidR="00125FE3" w:rsidRDefault="00125FE3" w:rsidP="00125FE3">
      <w:pPr>
        <w:widowControl/>
        <w:tabs>
          <w:tab w:val="left" w:pos="1350"/>
        </w:tabs>
        <w:contextualSpacing/>
      </w:pPr>
    </w:p>
    <w:p w14:paraId="0DD12C9A" w14:textId="77777777" w:rsidR="00125FE3" w:rsidRDefault="00125FE3" w:rsidP="00125FE3">
      <w:pPr>
        <w:widowControl/>
        <w:contextualSpacing/>
      </w:pPr>
      <w:bookmarkStart w:id="4" w:name="_Hlk62677770"/>
      <w:r w:rsidRPr="009C1DC1">
        <w:rPr>
          <w:b/>
        </w:rPr>
        <w:lastRenderedPageBreak/>
        <w:t>Condition 1:</w:t>
      </w:r>
      <w:r w:rsidRPr="009C1DC1">
        <w:t xml:space="preserve"> </w:t>
      </w:r>
      <w:r w:rsidRPr="00642F22">
        <w:t xml:space="preserve">Until further notice, </w:t>
      </w:r>
      <w:r>
        <w:t>Boston Green Academy Horace Mann Charter School</w:t>
      </w:r>
      <w:r w:rsidRPr="00642F22">
        <w:t xml:space="preserve"> must submit to the Department, at </w:t>
      </w:r>
      <w:hyperlink r:id="rId16" w:history="1">
        <w:r w:rsidRPr="00642F22">
          <w:rPr>
            <w:rStyle w:val="Hyperlink"/>
          </w:rPr>
          <w:t>charterschools@doe.mass.edu</w:t>
        </w:r>
      </w:hyperlink>
      <w:r w:rsidRPr="00642F22">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2CA8D46E" w14:textId="77777777" w:rsidR="00125FE3" w:rsidRDefault="00125FE3" w:rsidP="00125FE3">
      <w:pPr>
        <w:widowControl/>
        <w:contextualSpacing/>
        <w:rPr>
          <w:b/>
        </w:rPr>
      </w:pPr>
    </w:p>
    <w:p w14:paraId="63EA5A8C" w14:textId="77777777" w:rsidR="00125FE3" w:rsidRDefault="00125FE3" w:rsidP="00125FE3">
      <w:pPr>
        <w:widowControl/>
        <w:ind w:firstLine="720"/>
        <w:rPr>
          <w:b/>
        </w:rPr>
      </w:pPr>
      <w:r w:rsidRPr="009C1DC1">
        <w:rPr>
          <w:b/>
        </w:rPr>
        <w:t xml:space="preserve">Status: </w:t>
      </w:r>
      <w:r>
        <w:rPr>
          <w:b/>
        </w:rPr>
        <w:t>Met/Ongoing</w:t>
      </w:r>
    </w:p>
    <w:p w14:paraId="30A09DDA" w14:textId="7F183053" w:rsidR="00125FE3" w:rsidRDefault="00125FE3" w:rsidP="00125FE3">
      <w:pPr>
        <w:widowControl/>
        <w:ind w:left="720"/>
      </w:pPr>
      <w:r w:rsidRPr="00FC776D">
        <w:t>This condition has been in place since 2014, when the school was first placed on probation. Since that time, the school has regularly submitted the school’s board minutes and related documents, including board agendas</w:t>
      </w:r>
      <w:r>
        <w:t>,</w:t>
      </w:r>
      <w:r w:rsidRPr="00FC776D">
        <w:t xml:space="preserve"> headmaster reports, </w:t>
      </w:r>
      <w:r>
        <w:t xml:space="preserve">and </w:t>
      </w:r>
      <w:r w:rsidRPr="00FC776D">
        <w:t xml:space="preserve">financial statements. </w:t>
      </w:r>
      <w:r>
        <w:t xml:space="preserve">The school’s audits have been free of findings from fiscal year (FY) 2015 through FY20; the school’s current </w:t>
      </w:r>
      <w:hyperlink r:id="rId17" w:history="1">
        <w:r w:rsidRPr="00F70B3A">
          <w:rPr>
            <w:rStyle w:val="Hyperlink"/>
          </w:rPr>
          <w:t>fiscal dashboard</w:t>
        </w:r>
      </w:hyperlink>
      <w:r w:rsidRPr="00182B69">
        <w:rPr>
          <w:rStyle w:val="FootnoteReference"/>
          <w:vertAlign w:val="superscript"/>
        </w:rPr>
        <w:footnoteReference w:id="6"/>
      </w:r>
      <w:r>
        <w:t xml:space="preserve"> demonstrates a financially healthy organization.</w:t>
      </w:r>
    </w:p>
    <w:p w14:paraId="5680F65E" w14:textId="2C78654B" w:rsidR="00125FE3" w:rsidRDefault="00125FE3" w:rsidP="00125FE3">
      <w:pPr>
        <w:widowControl/>
        <w:tabs>
          <w:tab w:val="left" w:pos="1350"/>
        </w:tabs>
        <w:contextualSpacing/>
      </w:pPr>
    </w:p>
    <w:p w14:paraId="17B5E90F" w14:textId="77777777" w:rsidR="00170A5E" w:rsidRDefault="00170A5E" w:rsidP="00170A5E">
      <w:pPr>
        <w:widowControl/>
      </w:pPr>
      <w:r w:rsidRPr="009C1DC1">
        <w:rPr>
          <w:b/>
        </w:rPr>
        <w:t>Condition 2:</w:t>
      </w:r>
      <w:r w:rsidRPr="009C1DC1">
        <w:t xml:space="preserve"> </w:t>
      </w:r>
      <w:r w:rsidRPr="00642F22">
        <w:t>The school must maintain the established escrow account to pay for any potential closing, legal, and audit expenses associated with closure, should that occur.</w:t>
      </w:r>
    </w:p>
    <w:p w14:paraId="38BA9D3F" w14:textId="77777777" w:rsidR="00170A5E" w:rsidRDefault="00170A5E" w:rsidP="00170A5E">
      <w:pPr>
        <w:widowControl/>
      </w:pPr>
    </w:p>
    <w:p w14:paraId="6A2F4796" w14:textId="77777777" w:rsidR="00170A5E" w:rsidRDefault="00170A5E" w:rsidP="00170A5E">
      <w:pPr>
        <w:widowControl/>
        <w:ind w:firstLine="720"/>
      </w:pPr>
      <w:r w:rsidRPr="009C1DC1">
        <w:rPr>
          <w:b/>
        </w:rPr>
        <w:t>Status: Met</w:t>
      </w:r>
    </w:p>
    <w:p w14:paraId="32DA2D32" w14:textId="0C7D51E6" w:rsidR="00170A5E" w:rsidRPr="00FA285B" w:rsidRDefault="00170A5E" w:rsidP="00170A5E">
      <w:pPr>
        <w:widowControl/>
        <w:ind w:left="720"/>
        <w:rPr>
          <w:szCs w:val="24"/>
        </w:rPr>
      </w:pPr>
      <w:r w:rsidRPr="00805326">
        <w:t xml:space="preserve">The school </w:t>
      </w:r>
      <w:r w:rsidR="00A12590">
        <w:t>collaborated</w:t>
      </w:r>
      <w:r w:rsidRPr="00805326">
        <w:t xml:space="preserve"> with the Department and </w:t>
      </w:r>
      <w:r>
        <w:t>BPS</w:t>
      </w:r>
      <w:r w:rsidRPr="00805326">
        <w:t xml:space="preserve"> to set up this account on August 12, 2015. The board of the school established an escrow account of $15,000, an amount approved by the Department. </w:t>
      </w:r>
      <w:r>
        <w:rPr>
          <w:szCs w:val="24"/>
        </w:rPr>
        <w:t>BGA maintains this</w:t>
      </w:r>
      <w:r w:rsidRPr="00805326">
        <w:rPr>
          <w:szCs w:val="24"/>
        </w:rPr>
        <w:t xml:space="preserve"> escrow account</w:t>
      </w:r>
      <w:r w:rsidRPr="008149ED">
        <w:rPr>
          <w:szCs w:val="24"/>
        </w:rPr>
        <w:t xml:space="preserve">. As of </w:t>
      </w:r>
      <w:r w:rsidR="008149ED" w:rsidRPr="008149ED">
        <w:rPr>
          <w:szCs w:val="24"/>
        </w:rPr>
        <w:t xml:space="preserve">December </w:t>
      </w:r>
      <w:r w:rsidRPr="008149ED">
        <w:rPr>
          <w:szCs w:val="24"/>
        </w:rPr>
        <w:t>3</w:t>
      </w:r>
      <w:r w:rsidR="008149ED" w:rsidRPr="008149ED">
        <w:rPr>
          <w:szCs w:val="24"/>
        </w:rPr>
        <w:t>1</w:t>
      </w:r>
      <w:r w:rsidRPr="008149ED">
        <w:rPr>
          <w:szCs w:val="24"/>
        </w:rPr>
        <w:t>, 20</w:t>
      </w:r>
      <w:r w:rsidR="008149ED" w:rsidRPr="008149ED">
        <w:rPr>
          <w:szCs w:val="24"/>
        </w:rPr>
        <w:t>20</w:t>
      </w:r>
      <w:r w:rsidRPr="008149ED">
        <w:rPr>
          <w:szCs w:val="24"/>
        </w:rPr>
        <w:t>, the amount held in the separate escrow account was $15,000.</w:t>
      </w:r>
      <w:r w:rsidRPr="00FA285B">
        <w:rPr>
          <w:szCs w:val="24"/>
        </w:rPr>
        <w:t xml:space="preserve"> </w:t>
      </w:r>
    </w:p>
    <w:bookmarkEnd w:id="4"/>
    <w:p w14:paraId="3E90A47B" w14:textId="4E02D4A8" w:rsidR="00361B9F" w:rsidRDefault="00361B9F" w:rsidP="00361B9F">
      <w:pPr>
        <w:widowControl/>
      </w:pPr>
    </w:p>
    <w:p w14:paraId="1DFB3191" w14:textId="16A8F162" w:rsidR="00361B9F" w:rsidRPr="006B67B7" w:rsidRDefault="00361B9F" w:rsidP="00361B9F">
      <w:pPr>
        <w:widowControl/>
      </w:pPr>
      <w:r>
        <w:rPr>
          <w:b/>
          <w:szCs w:val="24"/>
        </w:rPr>
        <w:t xml:space="preserve">Condition 3: </w:t>
      </w:r>
      <w:r>
        <w:t>By December 31, 2020</w:t>
      </w:r>
      <w:r w:rsidRPr="006B67B7">
        <w:t>, the school must demonstrate significant and sustained academic improvement in mathematics, English language arts, and science.</w:t>
      </w:r>
      <w:r>
        <w:t xml:space="preserve"> </w:t>
      </w:r>
    </w:p>
    <w:p w14:paraId="48A954ED" w14:textId="77777777" w:rsidR="00361B9F" w:rsidRPr="00601185" w:rsidRDefault="00361B9F" w:rsidP="00361B9F">
      <w:pPr>
        <w:widowControl/>
        <w:rPr>
          <w:color w:val="000000"/>
          <w:szCs w:val="24"/>
        </w:rPr>
      </w:pPr>
    </w:p>
    <w:p w14:paraId="232BEC5B" w14:textId="73966A37" w:rsidR="00361B9F" w:rsidRPr="00A207F4" w:rsidRDefault="00361B9F" w:rsidP="00361B9F">
      <w:pPr>
        <w:widowControl/>
        <w:ind w:firstLine="720"/>
        <w:rPr>
          <w:b/>
        </w:rPr>
      </w:pPr>
      <w:r w:rsidRPr="00142621">
        <w:rPr>
          <w:b/>
        </w:rPr>
        <w:t>Status:</w:t>
      </w:r>
      <w:r w:rsidRPr="009C1DC1">
        <w:rPr>
          <w:b/>
        </w:rPr>
        <w:t xml:space="preserve"> </w:t>
      </w:r>
      <w:r w:rsidR="002E192B">
        <w:rPr>
          <w:b/>
        </w:rPr>
        <w:t>Partially Met</w:t>
      </w:r>
    </w:p>
    <w:p w14:paraId="712C08A7" w14:textId="4AF7F0B4" w:rsidR="0070327E" w:rsidRDefault="00361B9F" w:rsidP="00361B9F">
      <w:pPr>
        <w:widowControl/>
        <w:ind w:left="720"/>
      </w:pPr>
      <w:r w:rsidRPr="00A22C54">
        <w:rPr>
          <w:szCs w:val="24"/>
        </w:rPr>
        <w:t xml:space="preserve">The </w:t>
      </w:r>
      <w:r>
        <w:rPr>
          <w:szCs w:val="24"/>
        </w:rPr>
        <w:t xml:space="preserve">current academic condition was imposed based on BGA’s academic results on the 2016 statewide assessment, with particular concern about the low student growth percentiles (SGP) and achievement in </w:t>
      </w:r>
      <w:r w:rsidR="0070327E">
        <w:rPr>
          <w:szCs w:val="24"/>
        </w:rPr>
        <w:t>its newly added</w:t>
      </w:r>
      <w:r>
        <w:rPr>
          <w:szCs w:val="24"/>
        </w:rPr>
        <w:t xml:space="preserve"> middle grades</w:t>
      </w:r>
      <w:r w:rsidRPr="00A22C54">
        <w:rPr>
          <w:szCs w:val="24"/>
        </w:rPr>
        <w:t xml:space="preserve">. </w:t>
      </w:r>
      <w:r w:rsidR="002A5745">
        <w:t xml:space="preserve">BGA demonstrated some progress in 2017 through 2019, the last year the statewide assessment was administered, </w:t>
      </w:r>
      <w:r w:rsidR="002815E3">
        <w:t>and</w:t>
      </w:r>
      <w:r w:rsidR="002A5745">
        <w:t xml:space="preserve"> progress in graduation and post-secondary metrics. </w:t>
      </w:r>
    </w:p>
    <w:p w14:paraId="1836BF01" w14:textId="074A3EDE" w:rsidR="0070327E" w:rsidRDefault="0070327E" w:rsidP="00361B9F">
      <w:pPr>
        <w:widowControl/>
        <w:ind w:left="720"/>
      </w:pPr>
    </w:p>
    <w:p w14:paraId="465A7249" w14:textId="383F9013" w:rsidR="0070327E" w:rsidRDefault="00DE4A0A" w:rsidP="00361B9F">
      <w:pPr>
        <w:widowControl/>
        <w:ind w:left="720"/>
      </w:pPr>
      <w:r>
        <w:t>In January 2020, I brought the Board a recommendation to extend the academic condition on the charter of BGA based on a mix of evidence: overall improvement in high school results</w:t>
      </w:r>
      <w:r w:rsidR="002815E3">
        <w:t xml:space="preserve"> with</w:t>
      </w:r>
      <w:r>
        <w:t xml:space="preserve"> lingering concerns about </w:t>
      </w:r>
      <w:r w:rsidR="00F960AA">
        <w:t xml:space="preserve">achievement of students in </w:t>
      </w:r>
      <w:r>
        <w:t xml:space="preserve">middle school and </w:t>
      </w:r>
      <w:r w:rsidR="002A5745">
        <w:t xml:space="preserve">the </w:t>
      </w:r>
      <w:r w:rsidR="002A5745">
        <w:rPr>
          <w:szCs w:val="24"/>
        </w:rPr>
        <w:t>Hispanic/Latin</w:t>
      </w:r>
      <w:r w:rsidR="00113F36">
        <w:rPr>
          <w:szCs w:val="24"/>
        </w:rPr>
        <w:t>x</w:t>
      </w:r>
      <w:r w:rsidR="002A5745">
        <w:rPr>
          <w:szCs w:val="24"/>
        </w:rPr>
        <w:t xml:space="preserve"> student group</w:t>
      </w:r>
      <w:r>
        <w:t xml:space="preserve">. </w:t>
      </w:r>
      <w:r w:rsidR="0070327E">
        <w:t xml:space="preserve">The </w:t>
      </w:r>
      <w:r>
        <w:t>extension</w:t>
      </w:r>
      <w:r w:rsidR="0070327E">
        <w:t xml:space="preserve"> of th</w:t>
      </w:r>
      <w:r w:rsidR="00D272A9">
        <w:t>e academic</w:t>
      </w:r>
      <w:r w:rsidR="0070327E">
        <w:t xml:space="preserve"> condition in January 2020 anticipated the administration of the MCAS in 2020; the COVID-19 </w:t>
      </w:r>
      <w:r w:rsidR="00F3542C">
        <w:t>p</w:t>
      </w:r>
      <w:r w:rsidR="0070327E">
        <w:t xml:space="preserve">andemic and cancellation of the 2020 MCAS administration was unforeseeable at the time. </w:t>
      </w:r>
      <w:r w:rsidR="002F5920">
        <w:t xml:space="preserve">Evidence below presents BGA’s academic data </w:t>
      </w:r>
      <w:r w:rsidR="007B1797">
        <w:t>from 2019</w:t>
      </w:r>
      <w:r w:rsidR="002815E3">
        <w:t xml:space="preserve"> and</w:t>
      </w:r>
      <w:r w:rsidR="007B1797">
        <w:t xml:space="preserve"> new data with regard to college and career readiness. </w:t>
      </w:r>
      <w:r w:rsidR="0070327E">
        <w:t xml:space="preserve"> </w:t>
      </w:r>
    </w:p>
    <w:p w14:paraId="6E51E150" w14:textId="77777777" w:rsidR="0070327E" w:rsidRDefault="0070327E" w:rsidP="00361B9F">
      <w:pPr>
        <w:widowControl/>
        <w:ind w:left="720"/>
      </w:pPr>
    </w:p>
    <w:p w14:paraId="671713E2" w14:textId="4B5BA660" w:rsidR="00361B9F" w:rsidRDefault="00361B9F" w:rsidP="00361B9F">
      <w:pPr>
        <w:widowControl/>
        <w:ind w:left="720"/>
      </w:pPr>
      <w:r>
        <w:t>According to the statewide accountability system, the school made substantial progress toward meeting targets</w:t>
      </w:r>
      <w:r w:rsidRPr="000A5080">
        <w:rPr>
          <w:rStyle w:val="FootnoteReference"/>
          <w:vertAlign w:val="superscript"/>
        </w:rPr>
        <w:footnoteReference w:id="7"/>
      </w:r>
      <w:r w:rsidRPr="000A5080">
        <w:rPr>
          <w:vertAlign w:val="superscript"/>
        </w:rPr>
        <w:t xml:space="preserve"> </w:t>
      </w:r>
      <w:r>
        <w:t xml:space="preserve">in 2019, but the school </w:t>
      </w:r>
      <w:r w:rsidR="007B1797">
        <w:t>was</w:t>
      </w:r>
      <w:r>
        <w:t xml:space="preserve"> among the lowest performing 10 percent of schools. Based on 2019 results, BGA </w:t>
      </w:r>
      <w:r w:rsidR="007B1797">
        <w:t>was</w:t>
      </w:r>
      <w:r>
        <w:t xml:space="preserve"> in the 6</w:t>
      </w:r>
      <w:r w:rsidRPr="00734DF0">
        <w:rPr>
          <w:vertAlign w:val="superscript"/>
        </w:rPr>
        <w:t>th</w:t>
      </w:r>
      <w:r>
        <w:t xml:space="preserve"> percentile compared to other middle/high schools statewide. Additionally, BGA </w:t>
      </w:r>
      <w:r w:rsidR="007B1797">
        <w:t>was</w:t>
      </w:r>
      <w:r>
        <w:t xml:space="preserve"> identified as “requiring assistance or intervention” in the statewide system of accountability due to its overall low performance and the low performance of its Hispanic/Latin</w:t>
      </w:r>
      <w:r w:rsidR="00113F36">
        <w:t>x</w:t>
      </w:r>
      <w:r>
        <w:t xml:space="preserve"> student group. </w:t>
      </w:r>
    </w:p>
    <w:p w14:paraId="7B62A11C" w14:textId="77777777" w:rsidR="00361B9F" w:rsidRDefault="00361B9F" w:rsidP="00361B9F">
      <w:pPr>
        <w:widowControl/>
        <w:ind w:left="720"/>
      </w:pPr>
    </w:p>
    <w:p w14:paraId="11CBB17A" w14:textId="1DEB8A9B" w:rsidR="00361B9F" w:rsidRDefault="00092FAE" w:rsidP="00361B9F">
      <w:pPr>
        <w:widowControl/>
        <w:ind w:left="720"/>
      </w:pPr>
      <w:r>
        <w:t>While g</w:t>
      </w:r>
      <w:r w:rsidR="00361B9F">
        <w:t>rade 10 MCAS achievement results remain below state averages, SGP results improved to within the “typical” range in 2019</w:t>
      </w:r>
      <w:r w:rsidR="00D272A9">
        <w:t xml:space="preserve"> for all students and for all student groups</w:t>
      </w:r>
      <w:r w:rsidR="00F3542C">
        <w:t xml:space="preserve">. </w:t>
      </w:r>
      <w:r w:rsidR="00361B9F">
        <w:t>MCAS scores for students in grades 6 through 8 demonstrate</w:t>
      </w:r>
      <w:r w:rsidR="007B1797">
        <w:t>d</w:t>
      </w:r>
      <w:r w:rsidR="00361B9F">
        <w:t xml:space="preserve"> improvement from 2017 to 2019 in </w:t>
      </w:r>
      <w:r w:rsidR="00445C83">
        <w:t>English language arts (</w:t>
      </w:r>
      <w:r w:rsidR="00361B9F">
        <w:t>ELA</w:t>
      </w:r>
      <w:r w:rsidR="00445C83">
        <w:t>)</w:t>
      </w:r>
      <w:r w:rsidR="00361B9F">
        <w:t xml:space="preserve"> and mathematics. </w:t>
      </w:r>
      <w:r w:rsidR="00F3542C">
        <w:t>Since 2017, SGPs improved for students in Grade 6 through 8; they were in the “typical” range in 2018 and 2019 for all students and for a majority of all student groups</w:t>
      </w:r>
      <w:r w:rsidR="00F3542C" w:rsidDel="00F3542C">
        <w:t xml:space="preserve"> </w:t>
      </w:r>
    </w:p>
    <w:p w14:paraId="4E644400" w14:textId="77777777" w:rsidR="00361B9F" w:rsidRDefault="00361B9F" w:rsidP="00361B9F">
      <w:pPr>
        <w:widowControl/>
        <w:ind w:left="720"/>
        <w:rPr>
          <w:szCs w:val="24"/>
        </w:rPr>
      </w:pPr>
    </w:p>
    <w:p w14:paraId="7791940E" w14:textId="177EEB4F" w:rsidR="00361B9F" w:rsidRDefault="00361B9F" w:rsidP="00361B9F">
      <w:pPr>
        <w:widowControl/>
        <w:ind w:left="720"/>
        <w:rPr>
          <w:szCs w:val="24"/>
        </w:rPr>
      </w:pPr>
      <w:r>
        <w:rPr>
          <w:szCs w:val="24"/>
        </w:rPr>
        <w:t xml:space="preserve">BGA </w:t>
      </w:r>
      <w:r w:rsidR="007B1797">
        <w:rPr>
          <w:szCs w:val="24"/>
        </w:rPr>
        <w:t>continues to</w:t>
      </w:r>
      <w:r w:rsidRPr="005A236E">
        <w:rPr>
          <w:szCs w:val="24"/>
        </w:rPr>
        <w:t xml:space="preserve"> improve its graduation rates </w:t>
      </w:r>
      <w:r w:rsidR="00660048" w:rsidRPr="00660048">
        <w:rPr>
          <w:szCs w:val="24"/>
        </w:rPr>
        <w:t xml:space="preserve">dramatically </w:t>
      </w:r>
      <w:r w:rsidRPr="005A236E">
        <w:rPr>
          <w:szCs w:val="24"/>
        </w:rPr>
        <w:t xml:space="preserve">when compared to the graduation rates of the former Odyssey, which were 55.3 percent </w:t>
      </w:r>
      <w:r w:rsidR="00C06A28">
        <w:rPr>
          <w:szCs w:val="24"/>
        </w:rPr>
        <w:t xml:space="preserve">for the </w:t>
      </w:r>
      <w:r w:rsidRPr="005A236E">
        <w:rPr>
          <w:szCs w:val="24"/>
        </w:rPr>
        <w:t>4</w:t>
      </w:r>
      <w:r w:rsidR="00C06A28">
        <w:rPr>
          <w:szCs w:val="24"/>
        </w:rPr>
        <w:t>-</w:t>
      </w:r>
      <w:r w:rsidRPr="005A236E">
        <w:rPr>
          <w:szCs w:val="24"/>
        </w:rPr>
        <w:t>year</w:t>
      </w:r>
      <w:r w:rsidR="00C06A28">
        <w:rPr>
          <w:szCs w:val="24"/>
        </w:rPr>
        <w:t xml:space="preserve"> rate </w:t>
      </w:r>
      <w:r w:rsidRPr="005A236E">
        <w:rPr>
          <w:szCs w:val="24"/>
        </w:rPr>
        <w:t xml:space="preserve">and 58.1 percent </w:t>
      </w:r>
      <w:r w:rsidR="00C06A28">
        <w:rPr>
          <w:szCs w:val="24"/>
        </w:rPr>
        <w:t>for the</w:t>
      </w:r>
      <w:r w:rsidRPr="005A236E">
        <w:rPr>
          <w:szCs w:val="24"/>
        </w:rPr>
        <w:t xml:space="preserve"> 5</w:t>
      </w:r>
      <w:r w:rsidR="00C06A28">
        <w:rPr>
          <w:szCs w:val="24"/>
        </w:rPr>
        <w:t>-</w:t>
      </w:r>
      <w:r w:rsidRPr="005A236E">
        <w:rPr>
          <w:szCs w:val="24"/>
        </w:rPr>
        <w:t>year</w:t>
      </w:r>
      <w:r w:rsidR="00C06A28">
        <w:rPr>
          <w:szCs w:val="24"/>
        </w:rPr>
        <w:t xml:space="preserve"> rate</w:t>
      </w:r>
      <w:r>
        <w:rPr>
          <w:szCs w:val="24"/>
        </w:rPr>
        <w:t xml:space="preserve"> in 2011, </w:t>
      </w:r>
      <w:r w:rsidRPr="005A236E">
        <w:rPr>
          <w:szCs w:val="24"/>
        </w:rPr>
        <w:t xml:space="preserve">the year before </w:t>
      </w:r>
      <w:r>
        <w:rPr>
          <w:szCs w:val="24"/>
        </w:rPr>
        <w:t xml:space="preserve">BGA took over </w:t>
      </w:r>
      <w:r w:rsidRPr="005A236E">
        <w:rPr>
          <w:szCs w:val="24"/>
        </w:rPr>
        <w:t>the school. BGA’s 4-year grad</w:t>
      </w:r>
      <w:r>
        <w:rPr>
          <w:szCs w:val="24"/>
        </w:rPr>
        <w:t>uation rate for the 201</w:t>
      </w:r>
      <w:r w:rsidR="007B1797">
        <w:rPr>
          <w:szCs w:val="24"/>
        </w:rPr>
        <w:t>9</w:t>
      </w:r>
      <w:r>
        <w:rPr>
          <w:szCs w:val="24"/>
        </w:rPr>
        <w:t xml:space="preserve"> cohort was </w:t>
      </w:r>
      <w:r w:rsidR="007B1797">
        <w:rPr>
          <w:szCs w:val="24"/>
        </w:rPr>
        <w:t>83.6</w:t>
      </w:r>
      <w:r w:rsidRPr="005A236E">
        <w:rPr>
          <w:szCs w:val="24"/>
        </w:rPr>
        <w:t xml:space="preserve"> percent</w:t>
      </w:r>
      <w:r>
        <w:rPr>
          <w:szCs w:val="24"/>
        </w:rPr>
        <w:t xml:space="preserve"> with an additional </w:t>
      </w:r>
      <w:r w:rsidR="007B1797">
        <w:rPr>
          <w:szCs w:val="24"/>
        </w:rPr>
        <w:t>5.5</w:t>
      </w:r>
      <w:r>
        <w:rPr>
          <w:szCs w:val="24"/>
        </w:rPr>
        <w:t xml:space="preserve"> percent of students still in school</w:t>
      </w:r>
      <w:r w:rsidRPr="005A236E">
        <w:rPr>
          <w:szCs w:val="24"/>
        </w:rPr>
        <w:t>, and the</w:t>
      </w:r>
      <w:r>
        <w:rPr>
          <w:szCs w:val="24"/>
        </w:rPr>
        <w:t xml:space="preserve"> 5-year graduation rate was </w:t>
      </w:r>
      <w:r w:rsidR="007B1797">
        <w:rPr>
          <w:szCs w:val="24"/>
        </w:rPr>
        <w:t>79.0</w:t>
      </w:r>
      <w:r>
        <w:rPr>
          <w:szCs w:val="24"/>
        </w:rPr>
        <w:t xml:space="preserve"> percent for the 2017</w:t>
      </w:r>
      <w:r w:rsidRPr="005A236E">
        <w:rPr>
          <w:szCs w:val="24"/>
        </w:rPr>
        <w:t xml:space="preserve"> cohort</w:t>
      </w:r>
      <w:r>
        <w:rPr>
          <w:szCs w:val="24"/>
        </w:rPr>
        <w:t xml:space="preserve"> with an additional </w:t>
      </w:r>
      <w:r w:rsidR="007B1797">
        <w:rPr>
          <w:szCs w:val="24"/>
        </w:rPr>
        <w:t>4.8</w:t>
      </w:r>
      <w:r>
        <w:rPr>
          <w:szCs w:val="24"/>
        </w:rPr>
        <w:t xml:space="preserve"> percent still in school</w:t>
      </w:r>
      <w:r w:rsidRPr="005A236E">
        <w:rPr>
          <w:szCs w:val="24"/>
        </w:rPr>
        <w:t xml:space="preserve">. </w:t>
      </w:r>
      <w:r w:rsidR="00B21378">
        <w:rPr>
          <w:szCs w:val="24"/>
        </w:rPr>
        <w:t xml:space="preserve">BGA’s 4- and 5-year graduation rates have </w:t>
      </w:r>
      <w:r w:rsidR="00FF6D9C">
        <w:rPr>
          <w:szCs w:val="24"/>
        </w:rPr>
        <w:t xml:space="preserve">continued to improve and have </w:t>
      </w:r>
      <w:r w:rsidR="00B21378">
        <w:rPr>
          <w:szCs w:val="24"/>
        </w:rPr>
        <w:t>exceed</w:t>
      </w:r>
      <w:r w:rsidR="00A46709">
        <w:rPr>
          <w:szCs w:val="24"/>
        </w:rPr>
        <w:t>ed</w:t>
      </w:r>
      <w:r w:rsidR="00B21378">
        <w:rPr>
          <w:szCs w:val="24"/>
        </w:rPr>
        <w:t xml:space="preserve"> those of BPS for the past four years. </w:t>
      </w:r>
    </w:p>
    <w:p w14:paraId="26E9D80C" w14:textId="77777777" w:rsidR="00361B9F" w:rsidRDefault="00361B9F" w:rsidP="00361B9F">
      <w:pPr>
        <w:widowControl/>
        <w:ind w:left="720"/>
        <w:rPr>
          <w:szCs w:val="24"/>
        </w:rPr>
      </w:pPr>
    </w:p>
    <w:p w14:paraId="7411FAAE" w14:textId="488377E9" w:rsidR="00361B9F" w:rsidRDefault="00361B9F" w:rsidP="00361B9F">
      <w:pPr>
        <w:widowControl/>
        <w:ind w:left="720"/>
        <w:rPr>
          <w:szCs w:val="24"/>
        </w:rPr>
      </w:pPr>
      <w:r w:rsidRPr="005A236E">
        <w:rPr>
          <w:szCs w:val="24"/>
        </w:rPr>
        <w:t xml:space="preserve">BGA’s </w:t>
      </w:r>
      <w:r>
        <w:rPr>
          <w:szCs w:val="24"/>
        </w:rPr>
        <w:t xml:space="preserve">annual </w:t>
      </w:r>
      <w:r w:rsidRPr="005A236E">
        <w:rPr>
          <w:szCs w:val="24"/>
        </w:rPr>
        <w:t>dropout rate continues to d</w:t>
      </w:r>
      <w:r>
        <w:rPr>
          <w:szCs w:val="24"/>
        </w:rPr>
        <w:t>ecline from prior years. In 201</w:t>
      </w:r>
      <w:r w:rsidR="00BC7673">
        <w:rPr>
          <w:szCs w:val="24"/>
        </w:rPr>
        <w:t>9</w:t>
      </w:r>
      <w:r>
        <w:rPr>
          <w:szCs w:val="24"/>
        </w:rPr>
        <w:t xml:space="preserve">, BGA’s annual dropout rate was </w:t>
      </w:r>
      <w:r w:rsidR="00BC7673">
        <w:rPr>
          <w:szCs w:val="24"/>
        </w:rPr>
        <w:t>1.7</w:t>
      </w:r>
      <w:r w:rsidRPr="005A236E">
        <w:rPr>
          <w:szCs w:val="24"/>
        </w:rPr>
        <w:t xml:space="preserve"> percent</w:t>
      </w:r>
      <w:r w:rsidR="0015784F">
        <w:rPr>
          <w:szCs w:val="24"/>
        </w:rPr>
        <w:t>,</w:t>
      </w:r>
      <w:r w:rsidR="00BC7673">
        <w:rPr>
          <w:szCs w:val="24"/>
        </w:rPr>
        <w:t xml:space="preserve"> down from 3.0 percent the prior year</w:t>
      </w:r>
      <w:r w:rsidRPr="005A236E">
        <w:rPr>
          <w:szCs w:val="24"/>
        </w:rPr>
        <w:t xml:space="preserve">. Odyssey’s </w:t>
      </w:r>
      <w:r>
        <w:rPr>
          <w:szCs w:val="24"/>
        </w:rPr>
        <w:t xml:space="preserve">annual </w:t>
      </w:r>
      <w:r w:rsidRPr="005A236E">
        <w:rPr>
          <w:szCs w:val="24"/>
        </w:rPr>
        <w:t>dropout rate was 13.5 percent in 2011</w:t>
      </w:r>
      <w:r>
        <w:rPr>
          <w:szCs w:val="24"/>
        </w:rPr>
        <w:t>.</w:t>
      </w:r>
      <w:r w:rsidRPr="005A236E">
        <w:rPr>
          <w:szCs w:val="24"/>
        </w:rPr>
        <w:t xml:space="preserve"> </w:t>
      </w:r>
    </w:p>
    <w:p w14:paraId="34822DAD" w14:textId="011F2084" w:rsidR="00BC7673" w:rsidRDefault="00BC7673" w:rsidP="00361B9F">
      <w:pPr>
        <w:widowControl/>
        <w:ind w:left="720"/>
        <w:rPr>
          <w:szCs w:val="24"/>
        </w:rPr>
      </w:pPr>
    </w:p>
    <w:p w14:paraId="222F1330" w14:textId="769BF152" w:rsidR="00BC7673" w:rsidRDefault="00BC7673" w:rsidP="00361B9F">
      <w:pPr>
        <w:widowControl/>
        <w:ind w:left="720"/>
        <w:rPr>
          <w:szCs w:val="24"/>
        </w:rPr>
      </w:pPr>
      <w:r>
        <w:rPr>
          <w:szCs w:val="24"/>
        </w:rPr>
        <w:t>According to Department data, 76 percent of BGA’s class of 2019 is attending a 2</w:t>
      </w:r>
      <w:r w:rsidR="0015784F">
        <w:rPr>
          <w:szCs w:val="24"/>
        </w:rPr>
        <w:t>-</w:t>
      </w:r>
      <w:r>
        <w:rPr>
          <w:szCs w:val="24"/>
        </w:rPr>
        <w:t xml:space="preserve"> or 4-year college or university</w:t>
      </w:r>
      <w:r w:rsidR="0015784F">
        <w:rPr>
          <w:szCs w:val="24"/>
        </w:rPr>
        <w:t>.</w:t>
      </w:r>
      <w:r w:rsidR="000A5083">
        <w:rPr>
          <w:szCs w:val="24"/>
        </w:rPr>
        <w:t xml:space="preserve"> </w:t>
      </w:r>
      <w:r w:rsidR="0015784F">
        <w:rPr>
          <w:szCs w:val="24"/>
        </w:rPr>
        <w:t>I</w:t>
      </w:r>
      <w:r w:rsidR="000A5083">
        <w:rPr>
          <w:szCs w:val="24"/>
        </w:rPr>
        <w:t>n 2019-20</w:t>
      </w:r>
      <w:r w:rsidR="00FF6D9C">
        <w:rPr>
          <w:szCs w:val="24"/>
        </w:rPr>
        <w:t>,</w:t>
      </w:r>
      <w:r w:rsidR="000A5083">
        <w:rPr>
          <w:szCs w:val="24"/>
        </w:rPr>
        <w:t xml:space="preserve"> 59 percent of BGA’s grade 11 and 12 students completed advanced coursework.</w:t>
      </w:r>
    </w:p>
    <w:p w14:paraId="11B361F1" w14:textId="77777777" w:rsidR="00936BD1" w:rsidRDefault="00936BD1" w:rsidP="00851131">
      <w:pPr>
        <w:pStyle w:val="BodyText2"/>
        <w:ind w:right="-360"/>
        <w:rPr>
          <w:bCs/>
          <w:szCs w:val="24"/>
          <w:u w:val="single"/>
        </w:rPr>
      </w:pPr>
    </w:p>
    <w:p w14:paraId="2BE10518" w14:textId="03A12BDC" w:rsidR="008155ED" w:rsidRDefault="00FA5674" w:rsidP="00061C4A">
      <w:pPr>
        <w:pStyle w:val="BodyText2"/>
        <w:rPr>
          <w:b/>
          <w:szCs w:val="24"/>
          <w:u w:val="single"/>
        </w:rPr>
      </w:pPr>
      <w:r>
        <w:rPr>
          <w:b/>
          <w:snapToGrid w:val="0"/>
          <w:u w:val="single"/>
        </w:rPr>
        <w:t>Renewal of Charter</w:t>
      </w:r>
    </w:p>
    <w:p w14:paraId="30A083F9" w14:textId="5D461FB6" w:rsidR="008155ED" w:rsidRDefault="008155ED" w:rsidP="00061C4A">
      <w:pPr>
        <w:pStyle w:val="BodyText2"/>
        <w:rPr>
          <w:bCs/>
          <w:szCs w:val="24"/>
        </w:rPr>
      </w:pPr>
    </w:p>
    <w:p w14:paraId="340D5F5B" w14:textId="7E9517E1" w:rsidR="00FA5674" w:rsidRDefault="00FA5674" w:rsidP="00FA5674">
      <w:pPr>
        <w:widowControl/>
        <w:rPr>
          <w:snapToGrid/>
        </w:rPr>
      </w:pPr>
      <w:r>
        <w:t xml:space="preserve">BGA’s charter is currently under consideration for renewal. The school’s ratings from the Summary of Review (SOR) follow. Evidence from the attached SOR is also provided below, as context. </w:t>
      </w:r>
    </w:p>
    <w:p w14:paraId="663B6953" w14:textId="062D1768" w:rsidR="00FA5674" w:rsidRDefault="00FA5674" w:rsidP="00061C4A">
      <w:pPr>
        <w:pStyle w:val="BodyText2"/>
        <w:rPr>
          <w:bCs/>
          <w:szCs w:val="24"/>
        </w:rPr>
      </w:pPr>
    </w:p>
    <w:tbl>
      <w:tblPr>
        <w:tblStyle w:val="TableGrid2"/>
        <w:tblW w:w="5000" w:type="pct"/>
        <w:tblLook w:val="04A0" w:firstRow="1" w:lastRow="0" w:firstColumn="1" w:lastColumn="0" w:noHBand="0" w:noVBand="1"/>
        <w:tblCaption w:val="MASSACHUSETTS CHARTER SCHOOL PERFORMANCE CRITERIA"/>
      </w:tblPr>
      <w:tblGrid>
        <w:gridCol w:w="3955"/>
        <w:gridCol w:w="3510"/>
        <w:gridCol w:w="1885"/>
      </w:tblGrid>
      <w:tr w:rsidR="00FA5674" w:rsidRPr="002B34FF" w14:paraId="46EBEAE3" w14:textId="77777777" w:rsidTr="00F73FD5">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4CBBBAE" w14:textId="77777777" w:rsidR="00FA5674" w:rsidRPr="002B34FF" w:rsidRDefault="00FA5674" w:rsidP="00F73FD5">
            <w:pPr>
              <w:pStyle w:val="TableHeading"/>
              <w:spacing w:before="20" w:after="20"/>
            </w:pPr>
            <w:r w:rsidRPr="002B34FF">
              <w:lastRenderedPageBreak/>
              <w:t>Massachusetts Charter School Performance Criteria</w:t>
            </w:r>
          </w:p>
        </w:tc>
      </w:tr>
      <w:tr w:rsidR="00FA5674" w:rsidRPr="000119FB" w14:paraId="72B621E4" w14:textId="77777777" w:rsidTr="00F73FD5">
        <w:trPr>
          <w:trHeight w:val="20"/>
          <w:tblHeader/>
        </w:trPr>
        <w:tc>
          <w:tcPr>
            <w:tcW w:w="3992"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639ED6DC" w14:textId="77777777" w:rsidR="00FA5674" w:rsidRPr="000119FB" w:rsidRDefault="00FA5674" w:rsidP="00F73FD5">
            <w:pPr>
              <w:pStyle w:val="TableHeading"/>
              <w:spacing w:before="20" w:after="20"/>
              <w:rPr>
                <w:rFonts w:cs="Times New Roman"/>
              </w:rPr>
            </w:pPr>
            <w:r w:rsidRPr="000119FB">
              <w:t>Faithfulness to Charter</w:t>
            </w:r>
          </w:p>
        </w:tc>
        <w:tc>
          <w:tcPr>
            <w:tcW w:w="1008" w:type="pct"/>
            <w:tcBorders>
              <w:top w:val="single" w:sz="4" w:space="0" w:color="auto"/>
              <w:left w:val="single" w:sz="4" w:space="0" w:color="auto"/>
              <w:bottom w:val="single" w:sz="4" w:space="0" w:color="auto"/>
              <w:right w:val="single" w:sz="4" w:space="0" w:color="auto"/>
            </w:tcBorders>
            <w:shd w:val="clear" w:color="auto" w:fill="D9D9D9"/>
            <w:vAlign w:val="center"/>
          </w:tcPr>
          <w:p w14:paraId="5FA5B24D" w14:textId="77777777" w:rsidR="00FA5674" w:rsidRPr="000119FB" w:rsidRDefault="00FA5674" w:rsidP="00F73FD5">
            <w:pPr>
              <w:pStyle w:val="TableHeading"/>
              <w:spacing w:before="20" w:after="20"/>
              <w:jc w:val="center"/>
            </w:pPr>
            <w:r w:rsidRPr="000119FB">
              <w:t>Rating</w:t>
            </w:r>
            <w:r w:rsidRPr="003C724E">
              <w:rPr>
                <w:rStyle w:val="FootnoteReference"/>
                <w:rFonts w:cs="Times New Roman"/>
                <w:b w:val="0"/>
                <w:vertAlign w:val="superscript"/>
              </w:rPr>
              <w:footnoteReference w:id="8"/>
            </w:r>
          </w:p>
        </w:tc>
      </w:tr>
      <w:tr w:rsidR="00FA5674" w:rsidRPr="002B34FF" w14:paraId="7572902E" w14:textId="77777777" w:rsidTr="00F73FD5">
        <w:trPr>
          <w:tblHeader/>
        </w:trPr>
        <w:tc>
          <w:tcPr>
            <w:tcW w:w="3992" w:type="pct"/>
            <w:gridSpan w:val="2"/>
            <w:tcBorders>
              <w:top w:val="single" w:sz="4" w:space="0" w:color="auto"/>
              <w:left w:val="single" w:sz="4" w:space="0" w:color="auto"/>
              <w:bottom w:val="single" w:sz="4" w:space="0" w:color="auto"/>
              <w:right w:val="single" w:sz="4" w:space="0" w:color="auto"/>
            </w:tcBorders>
          </w:tcPr>
          <w:p w14:paraId="503F1393" w14:textId="77777777" w:rsidR="00FA5674" w:rsidRDefault="00FA5674" w:rsidP="00F73FD5">
            <w:pPr>
              <w:pStyle w:val="Table"/>
              <w:spacing w:before="20" w:after="20"/>
              <w:rPr>
                <w:b/>
              </w:rPr>
            </w:pPr>
            <w:r>
              <w:rPr>
                <w:b/>
              </w:rPr>
              <w:t xml:space="preserve">Criterion 1: </w:t>
            </w:r>
            <w:r w:rsidRPr="002B34FF">
              <w:rPr>
                <w:b/>
              </w:rPr>
              <w:t>M</w:t>
            </w:r>
            <w:r>
              <w:rPr>
                <w:b/>
              </w:rPr>
              <w:t>ission and Key Design Elements</w:t>
            </w:r>
          </w:p>
          <w:p w14:paraId="1EDED009" w14:textId="106DF8C3" w:rsidR="00FA5674" w:rsidRPr="00046919" w:rsidRDefault="00464CD9" w:rsidP="00F73FD5">
            <w:pPr>
              <w:pStyle w:val="Table"/>
              <w:spacing w:before="20" w:after="20"/>
              <w:rPr>
                <w:b/>
                <w:i/>
                <w:iCs/>
              </w:rPr>
            </w:pPr>
            <w:r w:rsidRPr="000119FB">
              <w:rPr>
                <w:szCs w:val="24"/>
              </w:rPr>
              <w:t>The school is faithful to its mission, implements the key design elements outlined in its charte</w:t>
            </w:r>
            <w:r>
              <w:rPr>
                <w:szCs w:val="24"/>
              </w:rPr>
              <w:t>r, and substantially meets its Accountability P</w:t>
            </w:r>
            <w:r w:rsidRPr="000119FB">
              <w:rPr>
                <w:szCs w:val="24"/>
              </w:rPr>
              <w:t xml:space="preserve">lan goals.  </w:t>
            </w:r>
          </w:p>
        </w:tc>
        <w:tc>
          <w:tcPr>
            <w:tcW w:w="1008" w:type="pct"/>
            <w:tcBorders>
              <w:top w:val="single" w:sz="4" w:space="0" w:color="auto"/>
              <w:left w:val="single" w:sz="4" w:space="0" w:color="auto"/>
              <w:bottom w:val="single" w:sz="4" w:space="0" w:color="auto"/>
              <w:right w:val="single" w:sz="4" w:space="0" w:color="auto"/>
            </w:tcBorders>
            <w:vAlign w:val="center"/>
          </w:tcPr>
          <w:p w14:paraId="64DFB6BE" w14:textId="77777777" w:rsidR="00FA5674" w:rsidRPr="00C92CC8" w:rsidRDefault="00FA5674" w:rsidP="00F73FD5">
            <w:pPr>
              <w:pStyle w:val="Table"/>
              <w:spacing w:before="20" w:after="20"/>
              <w:jc w:val="center"/>
              <w:rPr>
                <w:b/>
              </w:rPr>
            </w:pPr>
            <w:r w:rsidRPr="006B6D17">
              <w:rPr>
                <w:rFonts w:ascii="Wingdings" w:hAnsi="Wingdings"/>
                <w:b/>
                <w:bCs/>
                <w:color w:val="FFC000"/>
                <w:szCs w:val="24"/>
              </w:rPr>
              <w:t></w:t>
            </w:r>
            <w:r>
              <w:rPr>
                <w:b/>
                <w:bCs/>
                <w:color w:val="FFC000"/>
                <w:szCs w:val="24"/>
              </w:rPr>
              <w:t xml:space="preserve"> </w:t>
            </w:r>
            <w:r w:rsidRPr="006B6D17">
              <w:rPr>
                <w:b/>
              </w:rPr>
              <w:t>Partially Meets</w:t>
            </w:r>
          </w:p>
        </w:tc>
      </w:tr>
      <w:tr w:rsidR="00FA5674" w:rsidRPr="002B34FF" w14:paraId="2D5FFC7F" w14:textId="77777777" w:rsidTr="00F73FD5">
        <w:trPr>
          <w:tblHeader/>
        </w:trPr>
        <w:tc>
          <w:tcPr>
            <w:tcW w:w="3992" w:type="pct"/>
            <w:gridSpan w:val="2"/>
            <w:tcBorders>
              <w:top w:val="single" w:sz="4" w:space="0" w:color="auto"/>
              <w:left w:val="single" w:sz="4" w:space="0" w:color="auto"/>
              <w:bottom w:val="single" w:sz="4" w:space="0" w:color="auto"/>
              <w:right w:val="single" w:sz="4" w:space="0" w:color="auto"/>
            </w:tcBorders>
          </w:tcPr>
          <w:p w14:paraId="471229E6" w14:textId="77777777" w:rsidR="00FA5674" w:rsidRDefault="00FA5674" w:rsidP="00F73FD5">
            <w:pPr>
              <w:pStyle w:val="Table"/>
              <w:spacing w:before="20" w:after="20"/>
              <w:rPr>
                <w:b/>
              </w:rPr>
            </w:pPr>
            <w:r>
              <w:rPr>
                <w:b/>
              </w:rPr>
              <w:t>Criterion 2: Access and Equity</w:t>
            </w:r>
          </w:p>
          <w:p w14:paraId="4E580CAC" w14:textId="48468D68" w:rsidR="00FA5674" w:rsidRPr="00FB382D" w:rsidRDefault="00464CD9" w:rsidP="00F73FD5">
            <w:pPr>
              <w:pStyle w:val="Table"/>
              <w:spacing w:before="20" w:after="20"/>
              <w:rPr>
                <w:bCs/>
                <w:i/>
                <w:iCs/>
              </w:rPr>
            </w:pPr>
            <w:r w:rsidRPr="00175394">
              <w:t>The school ensures access and equity for all students eligible to attend the school.</w:t>
            </w:r>
          </w:p>
        </w:tc>
        <w:tc>
          <w:tcPr>
            <w:tcW w:w="1008" w:type="pct"/>
            <w:tcBorders>
              <w:top w:val="single" w:sz="4" w:space="0" w:color="auto"/>
              <w:left w:val="single" w:sz="4" w:space="0" w:color="auto"/>
              <w:bottom w:val="single" w:sz="4" w:space="0" w:color="auto"/>
              <w:right w:val="single" w:sz="4" w:space="0" w:color="auto"/>
            </w:tcBorders>
            <w:vAlign w:val="center"/>
          </w:tcPr>
          <w:p w14:paraId="22EB065E" w14:textId="77777777" w:rsidR="00FA5674" w:rsidRPr="00C92CC8" w:rsidRDefault="00FA5674" w:rsidP="00F73FD5">
            <w:pPr>
              <w:pStyle w:val="Table"/>
              <w:spacing w:before="20" w:after="20"/>
              <w:jc w:val="center"/>
              <w:rPr>
                <w:b/>
              </w:rPr>
            </w:pPr>
            <w:r w:rsidRPr="00567DA8">
              <w:rPr>
                <w:rFonts w:ascii="Wingdings" w:hAnsi="Wingdings"/>
                <w:b/>
                <w:bCs/>
                <w:color w:val="00B050"/>
                <w:szCs w:val="18"/>
              </w:rPr>
              <w:t></w:t>
            </w:r>
            <w:r w:rsidRPr="00567DA8">
              <w:rPr>
                <w:b/>
                <w:bCs/>
                <w:szCs w:val="18"/>
              </w:rPr>
              <w:t xml:space="preserve"> Meets</w:t>
            </w:r>
          </w:p>
        </w:tc>
      </w:tr>
      <w:tr w:rsidR="00FA5674" w:rsidRPr="002B34FF" w14:paraId="168AD8FC" w14:textId="77777777" w:rsidTr="00F73FD5">
        <w:trPr>
          <w:tblHeader/>
        </w:trPr>
        <w:tc>
          <w:tcPr>
            <w:tcW w:w="3992" w:type="pct"/>
            <w:gridSpan w:val="2"/>
            <w:tcBorders>
              <w:top w:val="single" w:sz="4" w:space="0" w:color="auto"/>
              <w:left w:val="single" w:sz="4" w:space="0" w:color="auto"/>
              <w:bottom w:val="single" w:sz="4" w:space="0" w:color="auto"/>
              <w:right w:val="single" w:sz="4" w:space="0" w:color="auto"/>
            </w:tcBorders>
          </w:tcPr>
          <w:p w14:paraId="29C4B10D" w14:textId="77777777" w:rsidR="00FA5674" w:rsidRDefault="00FA5674" w:rsidP="00F73FD5">
            <w:pPr>
              <w:pStyle w:val="Table"/>
              <w:spacing w:before="20" w:after="20"/>
              <w:rPr>
                <w:b/>
              </w:rPr>
            </w:pPr>
            <w:r>
              <w:rPr>
                <w:b/>
              </w:rPr>
              <w:t>Criterion 4: Dissemination</w:t>
            </w:r>
          </w:p>
          <w:p w14:paraId="79C900E8" w14:textId="5286210A" w:rsidR="00FA5674" w:rsidRPr="00046919" w:rsidRDefault="00464CD9" w:rsidP="00F73FD5">
            <w:pPr>
              <w:pStyle w:val="Table"/>
              <w:spacing w:before="20" w:after="20"/>
              <w:rPr>
                <w:b/>
                <w:i/>
                <w:iCs/>
              </w:rPr>
            </w:pPr>
            <w:r w:rsidRPr="00B43C7D">
              <w:rPr>
                <w:szCs w:val="24"/>
              </w:rPr>
              <w:t>The school provides innovative models for replication and best practices to other public schools in the district where the charter school is located.</w:t>
            </w:r>
          </w:p>
        </w:tc>
        <w:tc>
          <w:tcPr>
            <w:tcW w:w="1008" w:type="pct"/>
            <w:tcBorders>
              <w:top w:val="single" w:sz="4" w:space="0" w:color="auto"/>
              <w:left w:val="single" w:sz="4" w:space="0" w:color="auto"/>
              <w:bottom w:val="single" w:sz="4" w:space="0" w:color="auto"/>
              <w:right w:val="single" w:sz="4" w:space="0" w:color="auto"/>
            </w:tcBorders>
            <w:vAlign w:val="center"/>
          </w:tcPr>
          <w:p w14:paraId="2F34C589" w14:textId="77777777" w:rsidR="00FA5674" w:rsidRPr="00C92CC8" w:rsidRDefault="00FA5674" w:rsidP="00F73FD5">
            <w:pPr>
              <w:pStyle w:val="Table"/>
              <w:spacing w:before="20" w:after="20"/>
              <w:jc w:val="center"/>
              <w:rPr>
                <w:b/>
              </w:rPr>
            </w:pPr>
            <w:r w:rsidRPr="00567DA8">
              <w:rPr>
                <w:rFonts w:ascii="Wingdings" w:hAnsi="Wingdings"/>
                <w:b/>
                <w:bCs/>
                <w:color w:val="00B050"/>
                <w:szCs w:val="18"/>
              </w:rPr>
              <w:t></w:t>
            </w:r>
            <w:r w:rsidRPr="00567DA8">
              <w:rPr>
                <w:b/>
                <w:bCs/>
                <w:szCs w:val="18"/>
              </w:rPr>
              <w:t xml:space="preserve"> Meets</w:t>
            </w:r>
          </w:p>
        </w:tc>
      </w:tr>
      <w:tr w:rsidR="00FA5674" w:rsidRPr="000119FB" w14:paraId="330EB34D" w14:textId="77777777" w:rsidTr="00F73FD5">
        <w:trPr>
          <w:trHeight w:val="20"/>
          <w:tblHeader/>
        </w:trPr>
        <w:tc>
          <w:tcPr>
            <w:tcW w:w="3992" w:type="pct"/>
            <w:gridSpan w:val="2"/>
            <w:tcBorders>
              <w:top w:val="single" w:sz="4" w:space="0" w:color="auto"/>
              <w:left w:val="single" w:sz="4" w:space="0" w:color="auto"/>
              <w:bottom w:val="single" w:sz="4" w:space="0" w:color="auto"/>
              <w:right w:val="nil"/>
            </w:tcBorders>
            <w:shd w:val="clear" w:color="auto" w:fill="D9D9D9"/>
            <w:vAlign w:val="bottom"/>
          </w:tcPr>
          <w:p w14:paraId="67B30892" w14:textId="77777777" w:rsidR="00FA5674" w:rsidRPr="000119FB" w:rsidRDefault="00FA5674" w:rsidP="00F73FD5">
            <w:pPr>
              <w:pStyle w:val="TableHeading"/>
              <w:spacing w:before="20" w:after="20"/>
              <w:rPr>
                <w:rFonts w:cs="Times New Roman"/>
              </w:rPr>
            </w:pPr>
            <w:r w:rsidRPr="000119FB">
              <w:t>Academic Program Success</w:t>
            </w:r>
            <w:r w:rsidRPr="000119FB">
              <w:rPr>
                <w:rFonts w:eastAsia="Times New Roman" w:cs="Times New Roman"/>
              </w:rPr>
              <w:t xml:space="preserve"> </w:t>
            </w:r>
          </w:p>
        </w:tc>
        <w:tc>
          <w:tcPr>
            <w:tcW w:w="1008" w:type="pct"/>
            <w:tcBorders>
              <w:top w:val="single" w:sz="4" w:space="0" w:color="auto"/>
              <w:left w:val="nil"/>
              <w:bottom w:val="single" w:sz="4" w:space="0" w:color="auto"/>
              <w:right w:val="single" w:sz="4" w:space="0" w:color="auto"/>
            </w:tcBorders>
            <w:shd w:val="clear" w:color="auto" w:fill="D9D9D9"/>
            <w:vAlign w:val="bottom"/>
          </w:tcPr>
          <w:p w14:paraId="5A5CBEC0" w14:textId="77777777" w:rsidR="00FA5674" w:rsidRPr="000119FB" w:rsidRDefault="00FA5674" w:rsidP="00F73FD5">
            <w:pPr>
              <w:pStyle w:val="TableHeading"/>
              <w:spacing w:before="20" w:after="20"/>
              <w:rPr>
                <w:rFonts w:ascii="Calibri" w:hAnsi="Calibri" w:cs="Times New Roman"/>
                <w:szCs w:val="24"/>
              </w:rPr>
            </w:pPr>
          </w:p>
        </w:tc>
      </w:tr>
      <w:tr w:rsidR="00FA5674" w:rsidRPr="002B34FF" w14:paraId="0841F9AE" w14:textId="77777777" w:rsidTr="00F73FD5">
        <w:trPr>
          <w:trHeight w:val="504"/>
          <w:tblHeader/>
        </w:trPr>
        <w:tc>
          <w:tcPr>
            <w:tcW w:w="2115" w:type="pct"/>
            <w:vMerge w:val="restart"/>
            <w:tcBorders>
              <w:top w:val="single" w:sz="4" w:space="0" w:color="auto"/>
            </w:tcBorders>
          </w:tcPr>
          <w:p w14:paraId="56016BDC" w14:textId="77777777" w:rsidR="00FA5674" w:rsidRDefault="00FA5674" w:rsidP="00F73FD5">
            <w:pPr>
              <w:pStyle w:val="Table"/>
              <w:spacing w:before="20" w:after="20"/>
            </w:pPr>
            <w:r>
              <w:rPr>
                <w:b/>
              </w:rPr>
              <w:t xml:space="preserve">Criterion 5: </w:t>
            </w:r>
            <w:r w:rsidRPr="002B34FF">
              <w:rPr>
                <w:b/>
              </w:rPr>
              <w:t>Student Performan</w:t>
            </w:r>
            <w:r>
              <w:rPr>
                <w:b/>
              </w:rPr>
              <w:t>ce</w:t>
            </w:r>
            <w:r w:rsidRPr="00C70023">
              <w:rPr>
                <w:rStyle w:val="FootnoteReference"/>
                <w:b/>
                <w:vertAlign w:val="superscript"/>
              </w:rPr>
              <w:footnoteReference w:id="9"/>
            </w:r>
            <w:r w:rsidRPr="00C70023">
              <w:rPr>
                <w:vertAlign w:val="superscript"/>
              </w:rPr>
              <w:t xml:space="preserve"> </w:t>
            </w:r>
          </w:p>
          <w:p w14:paraId="0F93BD6D" w14:textId="77777777" w:rsidR="00FA5674" w:rsidRDefault="00FA5674" w:rsidP="00F73FD5">
            <w:pPr>
              <w:pStyle w:val="Table"/>
              <w:spacing w:before="20" w:after="20"/>
              <w:rPr>
                <w:b/>
              </w:rPr>
            </w:pPr>
          </w:p>
        </w:tc>
        <w:tc>
          <w:tcPr>
            <w:tcW w:w="1877" w:type="pct"/>
            <w:tcBorders>
              <w:top w:val="single" w:sz="4" w:space="0" w:color="auto"/>
              <w:bottom w:val="single" w:sz="4" w:space="0" w:color="auto"/>
            </w:tcBorders>
            <w:vAlign w:val="center"/>
          </w:tcPr>
          <w:p w14:paraId="31D6C4A8" w14:textId="77777777" w:rsidR="00FA5674" w:rsidRPr="00C92CC8" w:rsidRDefault="00FA5674" w:rsidP="00F73FD5">
            <w:pPr>
              <w:pStyle w:val="Table"/>
              <w:spacing w:before="20" w:after="20"/>
              <w:jc w:val="right"/>
            </w:pPr>
            <w:r w:rsidRPr="00C92CC8">
              <w:t>2019 Overall Classification:</w:t>
            </w:r>
          </w:p>
        </w:tc>
        <w:tc>
          <w:tcPr>
            <w:tcW w:w="1008" w:type="pct"/>
            <w:tcBorders>
              <w:top w:val="single" w:sz="4" w:space="0" w:color="auto"/>
            </w:tcBorders>
            <w:vAlign w:val="center"/>
          </w:tcPr>
          <w:p w14:paraId="17433481" w14:textId="77777777" w:rsidR="00FA5674" w:rsidRPr="00C92CC8" w:rsidRDefault="00FA5674" w:rsidP="00F73FD5">
            <w:pPr>
              <w:pStyle w:val="Table"/>
              <w:spacing w:before="20" w:after="20"/>
              <w:jc w:val="center"/>
              <w:rPr>
                <w:b/>
              </w:rPr>
            </w:pPr>
            <w:r>
              <w:rPr>
                <w:b/>
              </w:rPr>
              <w:t>R</w:t>
            </w:r>
            <w:r w:rsidRPr="000571BB">
              <w:rPr>
                <w:b/>
              </w:rPr>
              <w:t>equiring assistance or intervention</w:t>
            </w:r>
          </w:p>
        </w:tc>
      </w:tr>
      <w:tr w:rsidR="00FA5674" w:rsidRPr="002B34FF" w14:paraId="5E730268" w14:textId="77777777" w:rsidTr="00F73FD5">
        <w:trPr>
          <w:trHeight w:val="504"/>
          <w:tblHeader/>
        </w:trPr>
        <w:tc>
          <w:tcPr>
            <w:tcW w:w="2115" w:type="pct"/>
            <w:vMerge/>
          </w:tcPr>
          <w:p w14:paraId="66144041" w14:textId="77777777" w:rsidR="00FA5674" w:rsidRDefault="00FA5674" w:rsidP="00F73FD5">
            <w:pPr>
              <w:pStyle w:val="Table"/>
              <w:spacing w:before="20" w:after="20"/>
              <w:rPr>
                <w:b/>
              </w:rPr>
            </w:pPr>
          </w:p>
        </w:tc>
        <w:tc>
          <w:tcPr>
            <w:tcW w:w="1877" w:type="pct"/>
            <w:tcBorders>
              <w:top w:val="single" w:sz="4" w:space="0" w:color="auto"/>
              <w:bottom w:val="single" w:sz="4" w:space="0" w:color="auto"/>
            </w:tcBorders>
            <w:vAlign w:val="center"/>
          </w:tcPr>
          <w:p w14:paraId="31F1F8B9" w14:textId="77777777" w:rsidR="00FA5674" w:rsidRPr="00C92CC8" w:rsidRDefault="00FA5674" w:rsidP="00F73FD5">
            <w:pPr>
              <w:pStyle w:val="Table"/>
              <w:spacing w:before="20" w:after="20"/>
              <w:jc w:val="right"/>
            </w:pPr>
            <w:r>
              <w:t xml:space="preserve">Cumulative </w:t>
            </w:r>
            <w:r w:rsidRPr="00C92CC8">
              <w:t>Progress Toward Improvement Targets</w:t>
            </w:r>
            <w:r>
              <w:t>:</w:t>
            </w:r>
          </w:p>
        </w:tc>
        <w:tc>
          <w:tcPr>
            <w:tcW w:w="1008" w:type="pct"/>
            <w:vAlign w:val="center"/>
          </w:tcPr>
          <w:p w14:paraId="2ADF9565" w14:textId="77777777" w:rsidR="00FA5674" w:rsidRPr="00C92CC8" w:rsidRDefault="00FA5674" w:rsidP="00F73FD5">
            <w:pPr>
              <w:pStyle w:val="Table"/>
              <w:spacing w:before="20" w:after="20"/>
              <w:jc w:val="center"/>
              <w:rPr>
                <w:b/>
              </w:rPr>
            </w:pPr>
            <w:r>
              <w:rPr>
                <w:b/>
              </w:rPr>
              <w:t>55%</w:t>
            </w:r>
          </w:p>
        </w:tc>
      </w:tr>
      <w:tr w:rsidR="00FA5674" w:rsidRPr="002B34FF" w14:paraId="62C37706" w14:textId="77777777" w:rsidTr="00F73FD5">
        <w:trPr>
          <w:trHeight w:val="504"/>
          <w:tblHeader/>
        </w:trPr>
        <w:tc>
          <w:tcPr>
            <w:tcW w:w="2115" w:type="pct"/>
            <w:vMerge/>
            <w:tcBorders>
              <w:bottom w:val="single" w:sz="4" w:space="0" w:color="auto"/>
            </w:tcBorders>
          </w:tcPr>
          <w:p w14:paraId="7D302AE4" w14:textId="77777777" w:rsidR="00FA5674" w:rsidRDefault="00FA5674" w:rsidP="00F73FD5">
            <w:pPr>
              <w:pStyle w:val="Table"/>
              <w:spacing w:before="20" w:after="20"/>
              <w:rPr>
                <w:b/>
              </w:rPr>
            </w:pPr>
          </w:p>
        </w:tc>
        <w:tc>
          <w:tcPr>
            <w:tcW w:w="1877" w:type="pct"/>
            <w:tcBorders>
              <w:top w:val="single" w:sz="4" w:space="0" w:color="auto"/>
              <w:bottom w:val="single" w:sz="4" w:space="0" w:color="auto"/>
            </w:tcBorders>
            <w:vAlign w:val="center"/>
          </w:tcPr>
          <w:p w14:paraId="3BEA683C" w14:textId="77777777" w:rsidR="00FA5674" w:rsidRPr="00C92CC8" w:rsidRDefault="00FA5674" w:rsidP="00F73FD5">
            <w:pPr>
              <w:pStyle w:val="Table"/>
              <w:spacing w:before="20" w:after="20"/>
              <w:jc w:val="right"/>
            </w:pPr>
            <w:r w:rsidRPr="00C92CC8">
              <w:t>2019 Accountability Percentile</w:t>
            </w:r>
            <w:r>
              <w:t>:</w:t>
            </w:r>
          </w:p>
        </w:tc>
        <w:tc>
          <w:tcPr>
            <w:tcW w:w="1008" w:type="pct"/>
            <w:tcBorders>
              <w:bottom w:val="single" w:sz="4" w:space="0" w:color="auto"/>
            </w:tcBorders>
            <w:vAlign w:val="center"/>
          </w:tcPr>
          <w:p w14:paraId="2AADA5EE" w14:textId="77777777" w:rsidR="00FA5674" w:rsidRPr="00C92CC8" w:rsidRDefault="00FA5674" w:rsidP="00F73FD5">
            <w:pPr>
              <w:pStyle w:val="Table"/>
              <w:spacing w:before="20" w:after="20"/>
              <w:jc w:val="center"/>
              <w:rPr>
                <w:b/>
              </w:rPr>
            </w:pPr>
            <w:r>
              <w:rPr>
                <w:b/>
              </w:rPr>
              <w:t>6</w:t>
            </w:r>
          </w:p>
        </w:tc>
      </w:tr>
      <w:tr w:rsidR="00FA5674" w:rsidRPr="000119FB" w14:paraId="0DF4E2C5" w14:textId="77777777" w:rsidTr="00F73FD5">
        <w:trPr>
          <w:trHeight w:val="20"/>
          <w:tblHeader/>
        </w:trPr>
        <w:tc>
          <w:tcPr>
            <w:tcW w:w="3992" w:type="pct"/>
            <w:gridSpan w:val="2"/>
            <w:tcBorders>
              <w:top w:val="single" w:sz="4" w:space="0" w:color="auto"/>
              <w:left w:val="single" w:sz="4" w:space="0" w:color="auto"/>
              <w:bottom w:val="single" w:sz="4" w:space="0" w:color="auto"/>
              <w:right w:val="nil"/>
            </w:tcBorders>
            <w:shd w:val="clear" w:color="auto" w:fill="D9D9D9"/>
            <w:vAlign w:val="center"/>
          </w:tcPr>
          <w:p w14:paraId="7FB9F9AB" w14:textId="77777777" w:rsidR="00FA5674" w:rsidRPr="000119FB" w:rsidRDefault="00FA5674" w:rsidP="00F73FD5">
            <w:pPr>
              <w:pStyle w:val="TableHeading"/>
              <w:spacing w:before="20" w:after="20"/>
              <w:rPr>
                <w:rFonts w:cs="Times New Roman"/>
              </w:rPr>
            </w:pPr>
            <w:r w:rsidRPr="000119FB">
              <w:t>Organizational Viability</w:t>
            </w:r>
          </w:p>
        </w:tc>
        <w:tc>
          <w:tcPr>
            <w:tcW w:w="1008" w:type="pct"/>
            <w:tcBorders>
              <w:top w:val="single" w:sz="4" w:space="0" w:color="auto"/>
              <w:left w:val="nil"/>
              <w:bottom w:val="single" w:sz="4" w:space="0" w:color="auto"/>
              <w:right w:val="single" w:sz="4" w:space="0" w:color="auto"/>
            </w:tcBorders>
            <w:shd w:val="clear" w:color="auto" w:fill="D9D9D9"/>
            <w:vAlign w:val="center"/>
          </w:tcPr>
          <w:p w14:paraId="1CAC02D2" w14:textId="77777777" w:rsidR="00FA5674" w:rsidRPr="000119FB" w:rsidRDefault="00FA5674" w:rsidP="00F73FD5">
            <w:pPr>
              <w:pStyle w:val="TableHeading"/>
              <w:spacing w:before="20" w:after="20"/>
              <w:rPr>
                <w:rFonts w:ascii="Calibri" w:hAnsi="Calibri" w:cs="Times New Roman"/>
                <w:szCs w:val="24"/>
              </w:rPr>
            </w:pPr>
          </w:p>
        </w:tc>
      </w:tr>
      <w:tr w:rsidR="00FA5674" w:rsidRPr="003C724E" w14:paraId="7F1418F3" w14:textId="77777777" w:rsidTr="00F73FD5">
        <w:trPr>
          <w:tblHeader/>
        </w:trPr>
        <w:tc>
          <w:tcPr>
            <w:tcW w:w="3992" w:type="pct"/>
            <w:gridSpan w:val="2"/>
          </w:tcPr>
          <w:p w14:paraId="06AC670D" w14:textId="77777777" w:rsidR="00FA5674" w:rsidRPr="003C724E" w:rsidRDefault="00FA5674" w:rsidP="00F73FD5">
            <w:pPr>
              <w:pStyle w:val="Table"/>
              <w:spacing w:before="20" w:after="20"/>
              <w:rPr>
                <w:b/>
              </w:rPr>
            </w:pPr>
            <w:r w:rsidRPr="003C724E">
              <w:rPr>
                <w:b/>
              </w:rPr>
              <w:t xml:space="preserve">Criterion 9: Governance </w:t>
            </w:r>
          </w:p>
          <w:p w14:paraId="1EFA1C24" w14:textId="33D14BCB" w:rsidR="00FA5674" w:rsidRPr="003C724E" w:rsidRDefault="00464CD9" w:rsidP="00F73FD5">
            <w:pPr>
              <w:pStyle w:val="Table"/>
              <w:spacing w:before="20" w:after="20"/>
              <w:rPr>
                <w:b/>
              </w:rPr>
            </w:pPr>
            <w:r w:rsidRPr="003C724E">
              <w:rPr>
                <w:szCs w:val="24"/>
              </w:rPr>
              <w:t>Members of the board of trustees uphold their responsibilities under Massachusetts law and regulations to act as public agents authorized by the state and provide competent and appropriate governance to ensure the success and sustainability of the school.</w:t>
            </w:r>
          </w:p>
        </w:tc>
        <w:tc>
          <w:tcPr>
            <w:tcW w:w="1008" w:type="pct"/>
            <w:vAlign w:val="center"/>
          </w:tcPr>
          <w:p w14:paraId="7C165050" w14:textId="77777777" w:rsidR="00FA5674" w:rsidRPr="003C724E" w:rsidRDefault="00FA5674" w:rsidP="00F73FD5">
            <w:pPr>
              <w:pStyle w:val="Table"/>
              <w:spacing w:before="20" w:after="20"/>
              <w:jc w:val="center"/>
              <w:rPr>
                <w:b/>
              </w:rPr>
            </w:pPr>
            <w:r w:rsidRPr="003C724E">
              <w:rPr>
                <w:rFonts w:ascii="Wingdings" w:hAnsi="Wingdings"/>
                <w:b/>
                <w:bCs/>
                <w:color w:val="00B050"/>
                <w:szCs w:val="18"/>
              </w:rPr>
              <w:t></w:t>
            </w:r>
            <w:r w:rsidRPr="003C724E">
              <w:rPr>
                <w:b/>
                <w:bCs/>
                <w:szCs w:val="18"/>
              </w:rPr>
              <w:t xml:space="preserve"> Meets</w:t>
            </w:r>
          </w:p>
        </w:tc>
      </w:tr>
    </w:tbl>
    <w:p w14:paraId="0AE7AC5A" w14:textId="77777777" w:rsidR="00FA5674" w:rsidRPr="003C724E" w:rsidRDefault="00FA5674" w:rsidP="00061C4A">
      <w:pPr>
        <w:pStyle w:val="BodyText2"/>
        <w:rPr>
          <w:bCs/>
          <w:szCs w:val="24"/>
        </w:rPr>
      </w:pPr>
    </w:p>
    <w:p w14:paraId="0E0CFF22" w14:textId="5785C229" w:rsidR="00464CD9" w:rsidRDefault="00464CD9" w:rsidP="00464CD9">
      <w:pPr>
        <w:pStyle w:val="Default"/>
        <w:rPr>
          <w:b/>
        </w:rPr>
      </w:pPr>
      <w:r w:rsidRPr="003C724E">
        <w:rPr>
          <w:b/>
        </w:rPr>
        <w:t>Faithfulness to Charter (Criteria 1</w:t>
      </w:r>
      <w:r w:rsidR="0011576B" w:rsidRPr="003C724E">
        <w:rPr>
          <w:b/>
        </w:rPr>
        <w:t>, 2, and 4</w:t>
      </w:r>
      <w:r w:rsidRPr="003C724E">
        <w:rPr>
          <w:b/>
        </w:rPr>
        <w:t>)</w:t>
      </w:r>
    </w:p>
    <w:p w14:paraId="0C39EBE9" w14:textId="77777777" w:rsidR="00C234D9" w:rsidRPr="003C724E" w:rsidRDefault="00C234D9" w:rsidP="00464CD9">
      <w:pPr>
        <w:pStyle w:val="Default"/>
        <w:rPr>
          <w:b/>
        </w:rPr>
      </w:pPr>
      <w:bookmarkStart w:id="5" w:name="_GoBack"/>
      <w:bookmarkEnd w:id="5"/>
    </w:p>
    <w:p w14:paraId="531680C8" w14:textId="417683F9" w:rsidR="0011576B" w:rsidRPr="003C724E" w:rsidRDefault="0011576B" w:rsidP="003C724E">
      <w:pPr>
        <w:widowControl/>
        <w:numPr>
          <w:ilvl w:val="0"/>
          <w:numId w:val="18"/>
        </w:numPr>
        <w:snapToGrid w:val="0"/>
        <w:contextualSpacing/>
        <w:rPr>
          <w:szCs w:val="24"/>
        </w:rPr>
      </w:pPr>
      <w:r w:rsidRPr="003C724E">
        <w:rPr>
          <w:szCs w:val="24"/>
        </w:rPr>
        <w:t xml:space="preserve">Aligned with its mission, BGA serves a diverse student population and implements a program that seeks to prepare students for success in college and career and to take active roles in sustainability projects. </w:t>
      </w:r>
      <w:r w:rsidR="00C63D0A">
        <w:rPr>
          <w:szCs w:val="24"/>
        </w:rPr>
        <w:t>T</w:t>
      </w:r>
      <w:r w:rsidRPr="003C724E">
        <w:rPr>
          <w:szCs w:val="24"/>
        </w:rPr>
        <w:t xml:space="preserve">he school’s academic performance data suggests that the school has achieved limited success in preparing students with the academic skills needed for success in college. </w:t>
      </w:r>
    </w:p>
    <w:p w14:paraId="21575ABD" w14:textId="62AE8873" w:rsidR="0011576B" w:rsidRPr="003C724E" w:rsidRDefault="0011576B" w:rsidP="003C724E">
      <w:pPr>
        <w:pStyle w:val="ListParagraph"/>
        <w:widowControl/>
        <w:numPr>
          <w:ilvl w:val="0"/>
          <w:numId w:val="18"/>
        </w:numPr>
        <w:contextualSpacing/>
        <w:rPr>
          <w:szCs w:val="24"/>
        </w:rPr>
      </w:pPr>
      <w:r w:rsidRPr="003C724E">
        <w:rPr>
          <w:szCs w:val="24"/>
        </w:rPr>
        <w:t xml:space="preserve">The school </w:t>
      </w:r>
      <w:r w:rsidR="004E73B6" w:rsidRPr="003C724E">
        <w:rPr>
          <w:szCs w:val="24"/>
        </w:rPr>
        <w:t>is implementing</w:t>
      </w:r>
      <w:r w:rsidRPr="003C724E">
        <w:rPr>
          <w:szCs w:val="24"/>
        </w:rPr>
        <w:t xml:space="preserve"> </w:t>
      </w:r>
      <w:r w:rsidR="00092FAE">
        <w:rPr>
          <w:szCs w:val="24"/>
        </w:rPr>
        <w:t xml:space="preserve">its </w:t>
      </w:r>
      <w:r w:rsidRPr="003C724E">
        <w:rPr>
          <w:szCs w:val="24"/>
        </w:rPr>
        <w:t xml:space="preserve">four key design elements: prepare students for success in college and career; prepare students to be leaders in the sustainability of their community and world; welcome and enroll a diverse group of students; and provide a trauma-sensitive school environment. </w:t>
      </w:r>
    </w:p>
    <w:p w14:paraId="680CEE15" w14:textId="0636C9DA" w:rsidR="0011576B" w:rsidRPr="003C724E" w:rsidRDefault="003C724E" w:rsidP="003C724E">
      <w:pPr>
        <w:widowControl/>
        <w:numPr>
          <w:ilvl w:val="0"/>
          <w:numId w:val="18"/>
        </w:numPr>
        <w:snapToGrid w:val="0"/>
        <w:rPr>
          <w:szCs w:val="24"/>
        </w:rPr>
      </w:pPr>
      <w:r w:rsidRPr="003C724E">
        <w:rPr>
          <w:szCs w:val="24"/>
        </w:rPr>
        <w:t xml:space="preserve">The school met a majority of its Accountability Plan </w:t>
      </w:r>
      <w:r w:rsidR="007C3058">
        <w:rPr>
          <w:szCs w:val="24"/>
        </w:rPr>
        <w:t>measures</w:t>
      </w:r>
      <w:r w:rsidRPr="003C724E">
        <w:rPr>
          <w:szCs w:val="24"/>
        </w:rPr>
        <w:t xml:space="preserve"> during the charter term. </w:t>
      </w:r>
    </w:p>
    <w:p w14:paraId="62972602" w14:textId="7AB1C291" w:rsidR="00464CD9" w:rsidRDefault="003C724E" w:rsidP="00464CD9">
      <w:pPr>
        <w:widowControl/>
        <w:numPr>
          <w:ilvl w:val="0"/>
          <w:numId w:val="18"/>
        </w:numPr>
        <w:snapToGrid w:val="0"/>
        <w:rPr>
          <w:szCs w:val="24"/>
        </w:rPr>
      </w:pPr>
      <w:r w:rsidRPr="003C724E">
        <w:rPr>
          <w:szCs w:val="22"/>
        </w:rPr>
        <w:t xml:space="preserve">BGA ensures access to the program and equity for all students eligible to attend the school. </w:t>
      </w:r>
      <w:r>
        <w:rPr>
          <w:szCs w:val="24"/>
        </w:rPr>
        <w:t>BGA’s in-school</w:t>
      </w:r>
      <w:r w:rsidR="006C5BEF">
        <w:rPr>
          <w:szCs w:val="24"/>
        </w:rPr>
        <w:t xml:space="preserve"> </w:t>
      </w:r>
      <w:r>
        <w:rPr>
          <w:szCs w:val="24"/>
        </w:rPr>
        <w:t xml:space="preserve">suspension rates have been consistently below statewide averages. During the charter term, BGA’s out-of-school suspension rates have been above, or slightly above, statewide averages. </w:t>
      </w:r>
    </w:p>
    <w:p w14:paraId="3F4E9187" w14:textId="10823016" w:rsidR="00C234D9" w:rsidRPr="003C724E" w:rsidRDefault="00C234D9" w:rsidP="00464CD9">
      <w:pPr>
        <w:widowControl/>
        <w:numPr>
          <w:ilvl w:val="0"/>
          <w:numId w:val="18"/>
        </w:numPr>
        <w:snapToGrid w:val="0"/>
        <w:rPr>
          <w:szCs w:val="24"/>
        </w:rPr>
      </w:pPr>
      <w:r w:rsidRPr="003C724E">
        <w:rPr>
          <w:szCs w:val="24"/>
        </w:rPr>
        <w:t>The school implements its recruitment and retention plan and has been successful in recruiting and retaining a demographically comparable population.</w:t>
      </w:r>
      <w:r>
        <w:rPr>
          <w:szCs w:val="24"/>
        </w:rPr>
        <w:t xml:space="preserve"> BGA enrolls a greater </w:t>
      </w:r>
      <w:r>
        <w:rPr>
          <w:szCs w:val="24"/>
        </w:rPr>
        <w:lastRenderedPageBreak/>
        <w:t xml:space="preserve">percentage of students with disabilities (31.8 percent), English learners (16.8 percent), and economically disadvantaged students (60.8 percent) than comparison schools in Boston. </w:t>
      </w:r>
    </w:p>
    <w:p w14:paraId="5B9A00DA" w14:textId="5EA81699" w:rsidR="00464CD9" w:rsidRDefault="00464CD9" w:rsidP="00464CD9">
      <w:pPr>
        <w:widowControl/>
        <w:numPr>
          <w:ilvl w:val="0"/>
          <w:numId w:val="18"/>
        </w:numPr>
        <w:snapToGrid w:val="0"/>
        <w:rPr>
          <w:szCs w:val="24"/>
        </w:rPr>
      </w:pPr>
      <w:r>
        <w:rPr>
          <w:szCs w:val="24"/>
        </w:rPr>
        <w:t>The school has disseminated best practices this charter term</w:t>
      </w:r>
      <w:r w:rsidR="003C724E">
        <w:rPr>
          <w:szCs w:val="24"/>
        </w:rPr>
        <w:t xml:space="preserve"> to other public schools within its district, across the state, and outside the state</w:t>
      </w:r>
      <w:r>
        <w:rPr>
          <w:szCs w:val="24"/>
        </w:rPr>
        <w:t xml:space="preserve">. </w:t>
      </w:r>
    </w:p>
    <w:p w14:paraId="3E1F9B23" w14:textId="77777777" w:rsidR="00464CD9" w:rsidRDefault="00464CD9" w:rsidP="00464CD9">
      <w:pPr>
        <w:widowControl/>
        <w:rPr>
          <w:szCs w:val="24"/>
        </w:rPr>
      </w:pPr>
    </w:p>
    <w:p w14:paraId="5D8F75CA" w14:textId="34619567" w:rsidR="00464CD9" w:rsidRDefault="00464CD9" w:rsidP="00464CD9">
      <w:pPr>
        <w:pStyle w:val="Default"/>
        <w:rPr>
          <w:b/>
        </w:rPr>
      </w:pPr>
      <w:r>
        <w:rPr>
          <w:b/>
        </w:rPr>
        <w:t>Academic Program Success (Criteri</w:t>
      </w:r>
      <w:r w:rsidR="008E7AF1">
        <w:rPr>
          <w:b/>
        </w:rPr>
        <w:t>on</w:t>
      </w:r>
      <w:r>
        <w:rPr>
          <w:b/>
        </w:rPr>
        <w:t xml:space="preserve"> 5 </w:t>
      </w:r>
      <w:r w:rsidR="006B4566">
        <w:rPr>
          <w:b/>
        </w:rPr>
        <w:t>and other evidence</w:t>
      </w:r>
      <w:r>
        <w:rPr>
          <w:b/>
        </w:rPr>
        <w:t>)</w:t>
      </w:r>
    </w:p>
    <w:p w14:paraId="63A6ABAF" w14:textId="77777777" w:rsidR="00464CD9" w:rsidRDefault="00464CD9" w:rsidP="00464CD9">
      <w:pPr>
        <w:pStyle w:val="Default"/>
        <w:rPr>
          <w:b/>
        </w:rPr>
      </w:pPr>
    </w:p>
    <w:p w14:paraId="0C154898" w14:textId="238EA6FF" w:rsidR="00464CD9" w:rsidRDefault="00464CD9" w:rsidP="00464CD9">
      <w:pPr>
        <w:widowControl/>
        <w:numPr>
          <w:ilvl w:val="0"/>
          <w:numId w:val="19"/>
        </w:numPr>
        <w:snapToGrid w:val="0"/>
        <w:rPr>
          <w:szCs w:val="24"/>
        </w:rPr>
      </w:pPr>
      <w:r>
        <w:rPr>
          <w:szCs w:val="24"/>
        </w:rPr>
        <w:t xml:space="preserve">As shown above and in the attached SOR, BGA has demonstrated </w:t>
      </w:r>
      <w:r w:rsidR="007E361A">
        <w:rPr>
          <w:szCs w:val="24"/>
        </w:rPr>
        <w:t xml:space="preserve">some </w:t>
      </w:r>
      <w:r>
        <w:rPr>
          <w:szCs w:val="24"/>
        </w:rPr>
        <w:t xml:space="preserve">improvement in academic </w:t>
      </w:r>
      <w:r w:rsidR="00C234D9">
        <w:rPr>
          <w:szCs w:val="24"/>
        </w:rPr>
        <w:t>achievement</w:t>
      </w:r>
      <w:r>
        <w:rPr>
          <w:szCs w:val="24"/>
        </w:rPr>
        <w:t xml:space="preserve"> during the charter term.</w:t>
      </w:r>
      <w:r w:rsidR="008E7AF1">
        <w:rPr>
          <w:szCs w:val="24"/>
        </w:rPr>
        <w:t xml:space="preserve"> Data gathered from the 2019-20 school year points to improvements in post-secondary outcomes. </w:t>
      </w:r>
    </w:p>
    <w:p w14:paraId="1F6617B2" w14:textId="2A9A10B5" w:rsidR="008E7AF1" w:rsidRDefault="008E7AF1" w:rsidP="00464CD9">
      <w:pPr>
        <w:widowControl/>
        <w:numPr>
          <w:ilvl w:val="0"/>
          <w:numId w:val="19"/>
        </w:numPr>
        <w:snapToGrid w:val="0"/>
        <w:rPr>
          <w:szCs w:val="24"/>
        </w:rPr>
      </w:pPr>
      <w:r>
        <w:rPr>
          <w:szCs w:val="24"/>
        </w:rPr>
        <w:t xml:space="preserve">During the charter term, BGA staff, teachers, and board members have engaged in coordinated efforts to improve academic performance. BGA has implemented an action plan focused on improving the quality and rigor of instruction, evaluating and aligning curricula, implementing Star benchmark assessments, creating an intervention block for all students, increasing teacher professional development, and creating a schoolwide independent reading program. </w:t>
      </w:r>
    </w:p>
    <w:p w14:paraId="622802A7" w14:textId="6234DBB8" w:rsidR="008E7AF1" w:rsidRPr="008E7AF1" w:rsidRDefault="008E7AF1" w:rsidP="008E7AF1">
      <w:pPr>
        <w:pStyle w:val="ListParagraph"/>
        <w:numPr>
          <w:ilvl w:val="0"/>
          <w:numId w:val="19"/>
        </w:numPr>
        <w:rPr>
          <w:szCs w:val="24"/>
        </w:rPr>
      </w:pPr>
      <w:r w:rsidRPr="008E7AF1">
        <w:rPr>
          <w:szCs w:val="24"/>
        </w:rPr>
        <w:t xml:space="preserve">During the charter term, BGA </w:t>
      </w:r>
      <w:r>
        <w:rPr>
          <w:szCs w:val="24"/>
        </w:rPr>
        <w:t>developed and implemented</w:t>
      </w:r>
      <w:r w:rsidRPr="008E7AF1">
        <w:rPr>
          <w:szCs w:val="24"/>
        </w:rPr>
        <w:t xml:space="preserve"> a proactive, data-based system to identify all students’ strengths and needs for academic, behavioral, and social-emotional development.</w:t>
      </w:r>
    </w:p>
    <w:p w14:paraId="4097C767" w14:textId="6A9A4B6B" w:rsidR="008E7AF1" w:rsidRPr="008E7AF1" w:rsidRDefault="008E7AF1" w:rsidP="008E7AF1">
      <w:pPr>
        <w:pStyle w:val="ListParagraph"/>
        <w:numPr>
          <w:ilvl w:val="0"/>
          <w:numId w:val="19"/>
        </w:numPr>
        <w:rPr>
          <w:szCs w:val="24"/>
        </w:rPr>
      </w:pPr>
      <w:r w:rsidRPr="008E7AF1">
        <w:rPr>
          <w:szCs w:val="24"/>
        </w:rPr>
        <w:t>The school implements a tiered support model to address the strengths and needs of students across all subgroups. School leaders and teachers reported that the school has devoted more resources to serving the needs of Latin</w:t>
      </w:r>
      <w:r w:rsidR="00113F36">
        <w:rPr>
          <w:szCs w:val="24"/>
        </w:rPr>
        <w:t>x</w:t>
      </w:r>
      <w:r w:rsidRPr="008E7AF1">
        <w:rPr>
          <w:szCs w:val="24"/>
        </w:rPr>
        <w:t xml:space="preserve"> students and students with disabilities because of low achievement in the past by those groups.</w:t>
      </w:r>
    </w:p>
    <w:p w14:paraId="49A2613C" w14:textId="77777777" w:rsidR="00464CD9" w:rsidRDefault="00464CD9" w:rsidP="00464CD9">
      <w:pPr>
        <w:widowControl/>
        <w:rPr>
          <w:szCs w:val="24"/>
        </w:rPr>
      </w:pPr>
    </w:p>
    <w:p w14:paraId="75790470" w14:textId="53499B8F" w:rsidR="00464CD9" w:rsidRDefault="00464CD9" w:rsidP="00464CD9">
      <w:pPr>
        <w:pStyle w:val="Default"/>
        <w:rPr>
          <w:b/>
        </w:rPr>
      </w:pPr>
      <w:r>
        <w:rPr>
          <w:b/>
        </w:rPr>
        <w:t>Organizational Viability (Criteri</w:t>
      </w:r>
      <w:r w:rsidR="006B4566">
        <w:rPr>
          <w:b/>
        </w:rPr>
        <w:t>on</w:t>
      </w:r>
      <w:r>
        <w:rPr>
          <w:b/>
        </w:rPr>
        <w:t xml:space="preserve"> </w:t>
      </w:r>
      <w:r w:rsidR="006B4566">
        <w:rPr>
          <w:b/>
        </w:rPr>
        <w:t>9</w:t>
      </w:r>
      <w:r>
        <w:rPr>
          <w:b/>
        </w:rPr>
        <w:t xml:space="preserve"> </w:t>
      </w:r>
      <w:r w:rsidR="006B4566">
        <w:rPr>
          <w:b/>
        </w:rPr>
        <w:t>and other evidence</w:t>
      </w:r>
      <w:r>
        <w:rPr>
          <w:b/>
        </w:rPr>
        <w:t>)</w:t>
      </w:r>
    </w:p>
    <w:p w14:paraId="3EAC42CF" w14:textId="77777777" w:rsidR="00464CD9" w:rsidRDefault="00464CD9" w:rsidP="00464CD9">
      <w:pPr>
        <w:widowControl/>
        <w:rPr>
          <w:szCs w:val="24"/>
        </w:rPr>
      </w:pPr>
    </w:p>
    <w:p w14:paraId="51BA3977" w14:textId="77777777" w:rsidR="006B4566" w:rsidRPr="006B4566" w:rsidRDefault="006B4566" w:rsidP="00464CD9">
      <w:pPr>
        <w:widowControl/>
        <w:numPr>
          <w:ilvl w:val="0"/>
          <w:numId w:val="21"/>
        </w:numPr>
        <w:snapToGrid w:val="0"/>
        <w:rPr>
          <w:iCs/>
          <w:szCs w:val="24"/>
        </w:rPr>
      </w:pPr>
      <w:r w:rsidRPr="006B4566">
        <w:rPr>
          <w:iCs/>
          <w:szCs w:val="24"/>
        </w:rPr>
        <w:t>Throughout the charter term, members of the BGA board have developed in their roles as public agents. Board members have strengthened the systems and structures that enable the board to provide competent and appropriate governance and oversight of the school.</w:t>
      </w:r>
    </w:p>
    <w:p w14:paraId="25D2DC7C" w14:textId="769A31B7" w:rsidR="008E7AF1" w:rsidRPr="008E7AF1" w:rsidRDefault="008E7AF1" w:rsidP="008E7AF1">
      <w:pPr>
        <w:pStyle w:val="ListParagraph"/>
        <w:numPr>
          <w:ilvl w:val="0"/>
          <w:numId w:val="21"/>
        </w:numPr>
        <w:rPr>
          <w:szCs w:val="22"/>
        </w:rPr>
      </w:pPr>
      <w:r w:rsidRPr="006B4566">
        <w:rPr>
          <w:iCs/>
          <w:szCs w:val="22"/>
        </w:rPr>
        <w:t>The BGA board of trustees, the BGA head of school, and BPS district administrators all have a clear understanding of their roles and responsibilities under the Memorandum of Understanding</w:t>
      </w:r>
      <w:r w:rsidRPr="008E7AF1">
        <w:rPr>
          <w:szCs w:val="22"/>
        </w:rPr>
        <w:t xml:space="preserve"> (MOU) between the board and BPS.</w:t>
      </w:r>
    </w:p>
    <w:p w14:paraId="188E679F" w14:textId="77777777" w:rsidR="006B4566" w:rsidRPr="006B4566" w:rsidRDefault="006B4566" w:rsidP="006B4566">
      <w:pPr>
        <w:pStyle w:val="ListParagraph"/>
        <w:numPr>
          <w:ilvl w:val="0"/>
          <w:numId w:val="21"/>
        </w:numPr>
        <w:rPr>
          <w:szCs w:val="22"/>
        </w:rPr>
      </w:pPr>
      <w:bookmarkStart w:id="6" w:name="_Hlk54187938"/>
      <w:bookmarkStart w:id="7" w:name="_Hlk54188179"/>
      <w:r w:rsidRPr="006B4566">
        <w:rPr>
          <w:szCs w:val="22"/>
        </w:rPr>
        <w:t>The BGA board of trustees and head of school</w:t>
      </w:r>
      <w:bookmarkEnd w:id="6"/>
      <w:r w:rsidRPr="006B4566">
        <w:rPr>
          <w:szCs w:val="22"/>
        </w:rPr>
        <w:t xml:space="preserve"> </w:t>
      </w:r>
      <w:bookmarkEnd w:id="7"/>
      <w:r w:rsidRPr="006B4566">
        <w:rPr>
          <w:szCs w:val="22"/>
        </w:rPr>
        <w:t>have an effective working relationship with BPS.</w:t>
      </w:r>
    </w:p>
    <w:p w14:paraId="68913E69" w14:textId="7B804864" w:rsidR="006B4566" w:rsidRPr="008E7AF1" w:rsidRDefault="006B4566" w:rsidP="006B4566">
      <w:pPr>
        <w:widowControl/>
        <w:numPr>
          <w:ilvl w:val="0"/>
          <w:numId w:val="21"/>
        </w:numPr>
        <w:snapToGrid w:val="0"/>
        <w:rPr>
          <w:szCs w:val="24"/>
        </w:rPr>
      </w:pPr>
      <w:r>
        <w:rPr>
          <w:iCs/>
          <w:szCs w:val="24"/>
        </w:rPr>
        <w:t>During the charter term, BGA’s fiscal audits were free of findings.</w:t>
      </w:r>
    </w:p>
    <w:p w14:paraId="5635015B" w14:textId="77777777" w:rsidR="008155ED" w:rsidRDefault="008155ED" w:rsidP="00061C4A">
      <w:pPr>
        <w:pStyle w:val="BodyText2"/>
        <w:rPr>
          <w:b/>
          <w:szCs w:val="24"/>
          <w:u w:val="single"/>
        </w:rPr>
      </w:pPr>
    </w:p>
    <w:p w14:paraId="1DB021D0" w14:textId="728D4517" w:rsidR="00061C4A" w:rsidRPr="00122B09" w:rsidRDefault="00061C4A" w:rsidP="00061C4A">
      <w:pPr>
        <w:pStyle w:val="BodyText2"/>
        <w:rPr>
          <w:b/>
          <w:i/>
          <w:iCs/>
          <w:szCs w:val="24"/>
          <w:u w:val="single"/>
        </w:rPr>
      </w:pPr>
      <w:r w:rsidRPr="00122B09">
        <w:rPr>
          <w:b/>
          <w:szCs w:val="24"/>
          <w:u w:val="single"/>
        </w:rPr>
        <w:t xml:space="preserve">Recommendation </w:t>
      </w:r>
    </w:p>
    <w:p w14:paraId="090DF238" w14:textId="77777777" w:rsidR="00061C4A" w:rsidRPr="00122B09" w:rsidRDefault="00061C4A" w:rsidP="00061C4A">
      <w:pPr>
        <w:pStyle w:val="BodyText2"/>
        <w:rPr>
          <w:i/>
          <w:iCs/>
          <w:szCs w:val="24"/>
        </w:rPr>
      </w:pPr>
    </w:p>
    <w:p w14:paraId="1E2960F9" w14:textId="35F8A358" w:rsidR="008D7D49" w:rsidRPr="00B50970" w:rsidRDefault="00835DE2" w:rsidP="008D7D49">
      <w:pPr>
        <w:pStyle w:val="CommentText"/>
        <w:rPr>
          <w:sz w:val="24"/>
          <w:szCs w:val="24"/>
        </w:rPr>
      </w:pPr>
      <w:r>
        <w:rPr>
          <w:sz w:val="24"/>
          <w:szCs w:val="24"/>
        </w:rPr>
        <w:t>Last year, in my January 2020 memorandum to the Board recommending the extension of probation for BGA for one more year, I noted that “BGA</w:t>
      </w:r>
      <w:r w:rsidR="008D7D49" w:rsidRPr="00B50970">
        <w:rPr>
          <w:sz w:val="24"/>
          <w:szCs w:val="24"/>
        </w:rPr>
        <w:t xml:space="preserve"> will submit an application for renewal of its charter by August 1, 2020, and will undergo an extensive renewal inspection during the fall of 2020. With further evidence gathered during the renewal inspection and another year of MCAS assessment data, I will assess the school’s academic outcomes and make a recommendation regarding BGA’s renewal next year.”</w:t>
      </w:r>
      <w:r>
        <w:rPr>
          <w:sz w:val="24"/>
          <w:szCs w:val="24"/>
        </w:rPr>
        <w:t xml:space="preserve"> </w:t>
      </w:r>
      <w:r w:rsidR="008D7D49" w:rsidRPr="00B50970">
        <w:rPr>
          <w:sz w:val="24"/>
          <w:szCs w:val="24"/>
        </w:rPr>
        <w:t xml:space="preserve">During its current charter term, the Department has conducted three visits to monitor </w:t>
      </w:r>
      <w:r>
        <w:rPr>
          <w:sz w:val="24"/>
          <w:szCs w:val="24"/>
        </w:rPr>
        <w:t>BGA’s</w:t>
      </w:r>
      <w:r w:rsidR="008D7D49" w:rsidRPr="00B50970">
        <w:rPr>
          <w:sz w:val="24"/>
          <w:szCs w:val="24"/>
        </w:rPr>
        <w:t xml:space="preserve"> progress, one of which was a renewal </w:t>
      </w:r>
      <w:r w:rsidR="008D7D49" w:rsidRPr="00B50970">
        <w:rPr>
          <w:sz w:val="24"/>
          <w:szCs w:val="24"/>
        </w:rPr>
        <w:lastRenderedPageBreak/>
        <w:t xml:space="preserve">inspection conducted remotely </w:t>
      </w:r>
      <w:r w:rsidR="00F837F2">
        <w:rPr>
          <w:sz w:val="24"/>
          <w:szCs w:val="24"/>
        </w:rPr>
        <w:t>in October</w:t>
      </w:r>
      <w:r w:rsidR="008D7D49" w:rsidRPr="00B50970">
        <w:rPr>
          <w:sz w:val="24"/>
          <w:szCs w:val="24"/>
        </w:rPr>
        <w:t xml:space="preserve"> 2020. Evidence of the school’s performance during the charter term</w:t>
      </w:r>
      <w:r w:rsidR="00F238BA">
        <w:rPr>
          <w:sz w:val="24"/>
          <w:szCs w:val="24"/>
        </w:rPr>
        <w:t xml:space="preserve"> and</w:t>
      </w:r>
      <w:r w:rsidR="008D7D49" w:rsidRPr="00B50970">
        <w:rPr>
          <w:sz w:val="24"/>
          <w:szCs w:val="24"/>
        </w:rPr>
        <w:t xml:space="preserve"> from </w:t>
      </w:r>
      <w:r w:rsidR="00F238BA">
        <w:rPr>
          <w:sz w:val="24"/>
          <w:szCs w:val="24"/>
        </w:rPr>
        <w:t>its</w:t>
      </w:r>
      <w:r w:rsidR="00F238BA" w:rsidRPr="00B50970">
        <w:rPr>
          <w:sz w:val="24"/>
          <w:szCs w:val="24"/>
        </w:rPr>
        <w:t xml:space="preserve"> </w:t>
      </w:r>
      <w:r w:rsidR="008D7D49" w:rsidRPr="00B50970">
        <w:rPr>
          <w:sz w:val="24"/>
          <w:szCs w:val="24"/>
        </w:rPr>
        <w:t xml:space="preserve">renewal inspection is presented in the </w:t>
      </w:r>
      <w:r w:rsidR="00577518">
        <w:rPr>
          <w:sz w:val="24"/>
          <w:szCs w:val="24"/>
        </w:rPr>
        <w:t>SOR</w:t>
      </w:r>
      <w:r w:rsidR="008D7D49" w:rsidRPr="00B50970">
        <w:rPr>
          <w:sz w:val="24"/>
          <w:szCs w:val="24"/>
        </w:rPr>
        <w:t xml:space="preserve">, which is attached to this memorandum. </w:t>
      </w:r>
    </w:p>
    <w:p w14:paraId="3479ECC6" w14:textId="77777777" w:rsidR="008D7D49" w:rsidRPr="00B50970" w:rsidRDefault="008D7D49" w:rsidP="008D7D49">
      <w:pPr>
        <w:pStyle w:val="CommentText"/>
        <w:rPr>
          <w:sz w:val="24"/>
          <w:szCs w:val="24"/>
        </w:rPr>
      </w:pPr>
    </w:p>
    <w:p w14:paraId="2DCB5F32" w14:textId="6C443C2F" w:rsidR="008D7D49" w:rsidRPr="00B50970" w:rsidRDefault="008D7D49" w:rsidP="008D7D49">
      <w:pPr>
        <w:pStyle w:val="CommentText"/>
        <w:rPr>
          <w:sz w:val="24"/>
          <w:szCs w:val="24"/>
        </w:rPr>
      </w:pPr>
      <w:r w:rsidRPr="00B50970">
        <w:rPr>
          <w:sz w:val="24"/>
          <w:szCs w:val="24"/>
        </w:rPr>
        <w:t>W</w:t>
      </w:r>
      <w:r w:rsidR="00835DE2">
        <w:rPr>
          <w:sz w:val="24"/>
          <w:szCs w:val="24"/>
        </w:rPr>
        <w:t xml:space="preserve">hile we lack another year </w:t>
      </w:r>
      <w:r w:rsidRPr="00B50970">
        <w:rPr>
          <w:sz w:val="24"/>
          <w:szCs w:val="24"/>
        </w:rPr>
        <w:t xml:space="preserve">of MCAS assessment data, </w:t>
      </w:r>
      <w:r w:rsidR="00835DE2">
        <w:rPr>
          <w:sz w:val="24"/>
          <w:szCs w:val="24"/>
        </w:rPr>
        <w:t xml:space="preserve">BGA’s </w:t>
      </w:r>
      <w:r w:rsidR="00FD3AED">
        <w:rPr>
          <w:sz w:val="24"/>
          <w:szCs w:val="24"/>
        </w:rPr>
        <w:t xml:space="preserve">rates for </w:t>
      </w:r>
      <w:r w:rsidR="00835DE2">
        <w:rPr>
          <w:sz w:val="24"/>
          <w:szCs w:val="24"/>
        </w:rPr>
        <w:t>graduation</w:t>
      </w:r>
      <w:r w:rsidR="00FD3AED">
        <w:rPr>
          <w:sz w:val="24"/>
          <w:szCs w:val="24"/>
        </w:rPr>
        <w:t>,</w:t>
      </w:r>
      <w:r w:rsidR="00835DE2">
        <w:rPr>
          <w:sz w:val="24"/>
          <w:szCs w:val="24"/>
        </w:rPr>
        <w:t xml:space="preserve"> dropout, college attendance, and completion of advanced coursework</w:t>
      </w:r>
      <w:r w:rsidR="00A05864">
        <w:rPr>
          <w:sz w:val="24"/>
          <w:szCs w:val="24"/>
        </w:rPr>
        <w:t xml:space="preserve"> </w:t>
      </w:r>
      <w:r w:rsidR="00835DE2">
        <w:rPr>
          <w:sz w:val="24"/>
          <w:szCs w:val="24"/>
        </w:rPr>
        <w:t xml:space="preserve">all improved, as </w:t>
      </w:r>
      <w:r w:rsidR="005A4085">
        <w:rPr>
          <w:sz w:val="24"/>
          <w:szCs w:val="24"/>
        </w:rPr>
        <w:t>presented earlier</w:t>
      </w:r>
      <w:r w:rsidRPr="00B50970">
        <w:rPr>
          <w:sz w:val="24"/>
          <w:szCs w:val="24"/>
        </w:rPr>
        <w:t>.</w:t>
      </w:r>
      <w:r w:rsidR="00835DE2">
        <w:rPr>
          <w:sz w:val="24"/>
          <w:szCs w:val="24"/>
        </w:rPr>
        <w:t xml:space="preserve"> Additionally, </w:t>
      </w:r>
      <w:r w:rsidR="008E7AF1">
        <w:rPr>
          <w:sz w:val="24"/>
          <w:szCs w:val="24"/>
        </w:rPr>
        <w:t xml:space="preserve">as noted above, </w:t>
      </w:r>
      <w:r w:rsidR="00835DE2">
        <w:rPr>
          <w:sz w:val="24"/>
          <w:szCs w:val="24"/>
        </w:rPr>
        <w:t>t</w:t>
      </w:r>
      <w:r w:rsidRPr="00B50970">
        <w:rPr>
          <w:sz w:val="24"/>
          <w:szCs w:val="24"/>
        </w:rPr>
        <w:t xml:space="preserve">he renewal inspection team found that </w:t>
      </w:r>
      <w:r w:rsidR="00835DE2">
        <w:rPr>
          <w:sz w:val="24"/>
          <w:szCs w:val="24"/>
        </w:rPr>
        <w:t>BGA</w:t>
      </w:r>
      <w:r w:rsidRPr="00B50970">
        <w:rPr>
          <w:sz w:val="24"/>
          <w:szCs w:val="24"/>
        </w:rPr>
        <w:t xml:space="preserve"> has improve</w:t>
      </w:r>
      <w:r w:rsidR="00C234D9">
        <w:rPr>
          <w:sz w:val="24"/>
          <w:szCs w:val="24"/>
        </w:rPr>
        <w:t>d</w:t>
      </w:r>
      <w:r w:rsidRPr="00B50970">
        <w:rPr>
          <w:sz w:val="24"/>
          <w:szCs w:val="24"/>
        </w:rPr>
        <w:t xml:space="preserve"> the academic program over the past few years, including strengthening professional development related to instruction, using benchmark assessments to monitor student learning, adding an intervention block, and revising curriculum to better align with </w:t>
      </w:r>
      <w:r w:rsidR="00835DE2">
        <w:rPr>
          <w:sz w:val="24"/>
          <w:szCs w:val="24"/>
        </w:rPr>
        <w:t>Massachusetts</w:t>
      </w:r>
      <w:r w:rsidRPr="00B50970">
        <w:rPr>
          <w:sz w:val="24"/>
          <w:szCs w:val="24"/>
        </w:rPr>
        <w:t xml:space="preserve"> curriculum frameworks.</w:t>
      </w:r>
    </w:p>
    <w:p w14:paraId="6E0FD35C" w14:textId="77777777" w:rsidR="008D7D49" w:rsidRPr="00B50970" w:rsidRDefault="008D7D49" w:rsidP="008D7D49">
      <w:pPr>
        <w:pStyle w:val="CommentText"/>
        <w:rPr>
          <w:sz w:val="24"/>
          <w:szCs w:val="24"/>
        </w:rPr>
      </w:pPr>
    </w:p>
    <w:p w14:paraId="702C5439" w14:textId="23D2B3A0" w:rsidR="008D7D49" w:rsidRPr="00B50970" w:rsidRDefault="006B4566" w:rsidP="008D7D49">
      <w:pPr>
        <w:pStyle w:val="CommentText"/>
        <w:rPr>
          <w:sz w:val="24"/>
          <w:szCs w:val="24"/>
        </w:rPr>
      </w:pPr>
      <w:r>
        <w:rPr>
          <w:sz w:val="24"/>
          <w:szCs w:val="24"/>
        </w:rPr>
        <w:t xml:space="preserve">Evidence </w:t>
      </w:r>
      <w:r w:rsidRPr="007E361A">
        <w:rPr>
          <w:sz w:val="24"/>
          <w:szCs w:val="24"/>
        </w:rPr>
        <w:t xml:space="preserve">gathered </w:t>
      </w:r>
      <w:r w:rsidR="007E361A" w:rsidRPr="007A1BB8">
        <w:rPr>
          <w:sz w:val="24"/>
          <w:szCs w:val="24"/>
        </w:rPr>
        <w:t xml:space="preserve">during the renewal inspection </w:t>
      </w:r>
      <w:r w:rsidR="00950CD1">
        <w:rPr>
          <w:sz w:val="24"/>
          <w:szCs w:val="24"/>
        </w:rPr>
        <w:t xml:space="preserve">in </w:t>
      </w:r>
      <w:r w:rsidR="00950CD1" w:rsidRPr="00950CD1">
        <w:rPr>
          <w:sz w:val="24"/>
          <w:szCs w:val="24"/>
        </w:rPr>
        <w:t xml:space="preserve">October 2020 </w:t>
      </w:r>
      <w:r>
        <w:rPr>
          <w:sz w:val="24"/>
          <w:szCs w:val="24"/>
        </w:rPr>
        <w:t>indicate</w:t>
      </w:r>
      <w:r w:rsidR="00950CD1">
        <w:rPr>
          <w:sz w:val="24"/>
          <w:szCs w:val="24"/>
        </w:rPr>
        <w:t>s</w:t>
      </w:r>
      <w:r>
        <w:rPr>
          <w:sz w:val="24"/>
          <w:szCs w:val="24"/>
        </w:rPr>
        <w:t xml:space="preserve"> that BGA has improved its programming and outcomes during its second charter term. </w:t>
      </w:r>
      <w:r w:rsidR="007E361A">
        <w:rPr>
          <w:sz w:val="24"/>
          <w:szCs w:val="24"/>
        </w:rPr>
        <w:t>Five year</w:t>
      </w:r>
      <w:r w:rsidR="00E93594">
        <w:rPr>
          <w:sz w:val="24"/>
          <w:szCs w:val="24"/>
        </w:rPr>
        <w:t>s</w:t>
      </w:r>
      <w:r w:rsidR="007E361A">
        <w:rPr>
          <w:sz w:val="24"/>
          <w:szCs w:val="24"/>
        </w:rPr>
        <w:t xml:space="preserve"> ago</w:t>
      </w:r>
      <w:r>
        <w:rPr>
          <w:sz w:val="24"/>
          <w:szCs w:val="24"/>
        </w:rPr>
        <w:t xml:space="preserve">, the renewal process identified numerous areas for improvement. In its current tenth year of operation, BGA </w:t>
      </w:r>
      <w:r w:rsidR="00E93594">
        <w:rPr>
          <w:sz w:val="24"/>
          <w:szCs w:val="24"/>
        </w:rPr>
        <w:t>has clear</w:t>
      </w:r>
      <w:r>
        <w:rPr>
          <w:sz w:val="24"/>
          <w:szCs w:val="24"/>
        </w:rPr>
        <w:t xml:space="preserve"> affirmative evidence of </w:t>
      </w:r>
      <w:r w:rsidR="007E4C34">
        <w:rPr>
          <w:sz w:val="24"/>
          <w:szCs w:val="24"/>
        </w:rPr>
        <w:t>organizational viability</w:t>
      </w:r>
      <w:r>
        <w:rPr>
          <w:sz w:val="24"/>
          <w:szCs w:val="24"/>
        </w:rPr>
        <w:t xml:space="preserve">. Prior concerns related to governance, finances, and </w:t>
      </w:r>
      <w:r w:rsidR="007E361A">
        <w:rPr>
          <w:sz w:val="24"/>
          <w:szCs w:val="24"/>
        </w:rPr>
        <w:t>clarity of its MOU with BPS</w:t>
      </w:r>
      <w:r>
        <w:rPr>
          <w:sz w:val="24"/>
          <w:szCs w:val="24"/>
        </w:rPr>
        <w:t xml:space="preserve"> have been resolved. Evidence gathered during the Department’s monitoring point</w:t>
      </w:r>
      <w:r w:rsidR="006C5BEF">
        <w:rPr>
          <w:sz w:val="24"/>
          <w:szCs w:val="24"/>
        </w:rPr>
        <w:t>s</w:t>
      </w:r>
      <w:r>
        <w:rPr>
          <w:sz w:val="24"/>
          <w:szCs w:val="24"/>
        </w:rPr>
        <w:t xml:space="preserve"> to the careful implementation of a</w:t>
      </w:r>
      <w:r w:rsidR="007E4C34">
        <w:rPr>
          <w:sz w:val="24"/>
          <w:szCs w:val="24"/>
        </w:rPr>
        <w:t>n action plan to improve academic programming. The school has implemented various</w:t>
      </w:r>
      <w:r w:rsidR="00C234D9">
        <w:rPr>
          <w:sz w:val="24"/>
          <w:szCs w:val="24"/>
        </w:rPr>
        <w:t xml:space="preserve"> </w:t>
      </w:r>
      <w:r w:rsidR="007E4C34">
        <w:rPr>
          <w:sz w:val="24"/>
          <w:szCs w:val="24"/>
        </w:rPr>
        <w:t xml:space="preserve">mission aligned programs in order to engage students in college, career, and sustainability paths. </w:t>
      </w:r>
    </w:p>
    <w:p w14:paraId="7AB48DD9" w14:textId="77777777" w:rsidR="00061C4A" w:rsidRDefault="00061C4A" w:rsidP="00851131">
      <w:pPr>
        <w:pStyle w:val="BodyText2"/>
        <w:ind w:right="-360"/>
        <w:rPr>
          <w:bCs/>
          <w:szCs w:val="24"/>
          <w:u w:val="single"/>
        </w:rPr>
      </w:pPr>
    </w:p>
    <w:p w14:paraId="51AF99FC" w14:textId="3E8CEB80" w:rsidR="00D67F0F" w:rsidRDefault="00D67F0F">
      <w:pPr>
        <w:pStyle w:val="BodyText2"/>
        <w:rPr>
          <w:szCs w:val="24"/>
        </w:rPr>
      </w:pPr>
      <w:r w:rsidRPr="00EC7C09">
        <w:t>Given this evidence</w:t>
      </w:r>
      <w:r w:rsidR="006C5BEF">
        <w:t>,</w:t>
      </w:r>
      <w:r w:rsidR="00C234D9">
        <w:t xml:space="preserve"> </w:t>
      </w:r>
      <w:r w:rsidR="007E4C34">
        <w:t xml:space="preserve">and </w:t>
      </w:r>
      <w:r w:rsidR="006C5BEF">
        <w:t>consistent with the approach we have taken with</w:t>
      </w:r>
      <w:r w:rsidR="007E4C34" w:rsidRPr="00B50970">
        <w:rPr>
          <w:szCs w:val="24"/>
        </w:rPr>
        <w:t xml:space="preserve"> other schools </w:t>
      </w:r>
      <w:r w:rsidR="007E4C34">
        <w:rPr>
          <w:szCs w:val="24"/>
        </w:rPr>
        <w:t>with similar academic outcomes</w:t>
      </w:r>
      <w:r w:rsidR="007E4C34" w:rsidRPr="00B50970">
        <w:rPr>
          <w:szCs w:val="24"/>
        </w:rPr>
        <w:t xml:space="preserve">, </w:t>
      </w:r>
      <w:r w:rsidR="007E4C34">
        <w:rPr>
          <w:szCs w:val="24"/>
        </w:rPr>
        <w:t>I</w:t>
      </w:r>
      <w:r w:rsidR="007E4C34" w:rsidRPr="00B50970">
        <w:rPr>
          <w:szCs w:val="24"/>
        </w:rPr>
        <w:t xml:space="preserve"> recommend removing the school from probation </w:t>
      </w:r>
      <w:r w:rsidR="009902BA">
        <w:rPr>
          <w:szCs w:val="24"/>
        </w:rPr>
        <w:t>and</w:t>
      </w:r>
      <w:r w:rsidR="009902BA" w:rsidRPr="00B50970">
        <w:rPr>
          <w:szCs w:val="24"/>
        </w:rPr>
        <w:t xml:space="preserve"> </w:t>
      </w:r>
      <w:r w:rsidR="007E4C34" w:rsidRPr="00B50970">
        <w:rPr>
          <w:szCs w:val="24"/>
        </w:rPr>
        <w:t xml:space="preserve">extending </w:t>
      </w:r>
      <w:r w:rsidR="009902BA">
        <w:rPr>
          <w:szCs w:val="24"/>
        </w:rPr>
        <w:t>the</w:t>
      </w:r>
      <w:r w:rsidR="009902BA" w:rsidRPr="00B50970">
        <w:rPr>
          <w:szCs w:val="24"/>
        </w:rPr>
        <w:t xml:space="preserve"> </w:t>
      </w:r>
      <w:r w:rsidR="007E4C34" w:rsidRPr="00B50970">
        <w:rPr>
          <w:szCs w:val="24"/>
        </w:rPr>
        <w:t>condition related to academic performance.</w:t>
      </w:r>
      <w:r w:rsidR="007E4C34">
        <w:rPr>
          <w:szCs w:val="24"/>
        </w:rPr>
        <w:t xml:space="preserve"> </w:t>
      </w:r>
      <w:r w:rsidR="001E1E02">
        <w:rPr>
          <w:szCs w:val="24"/>
        </w:rPr>
        <w:t>Th</w:t>
      </w:r>
      <w:r w:rsidR="007E4C34">
        <w:rPr>
          <w:szCs w:val="24"/>
        </w:rPr>
        <w:t>is</w:t>
      </w:r>
      <w:r w:rsidR="001E1E02">
        <w:rPr>
          <w:szCs w:val="24"/>
        </w:rPr>
        <w:t xml:space="preserve"> condition follow</w:t>
      </w:r>
      <w:r w:rsidR="007E4C34">
        <w:rPr>
          <w:szCs w:val="24"/>
        </w:rPr>
        <w:t>s</w:t>
      </w:r>
      <w:r w:rsidR="001E1E02">
        <w:rPr>
          <w:szCs w:val="24"/>
        </w:rPr>
        <w:t>.</w:t>
      </w:r>
    </w:p>
    <w:p w14:paraId="58B342B8" w14:textId="77777777" w:rsidR="00D67F0F" w:rsidRDefault="00D67F0F">
      <w:pPr>
        <w:pStyle w:val="BodyText2"/>
        <w:rPr>
          <w:szCs w:val="24"/>
        </w:rPr>
      </w:pPr>
    </w:p>
    <w:p w14:paraId="0BE7B228" w14:textId="72F0B47C" w:rsidR="00D67F0F" w:rsidRPr="006B67B7" w:rsidRDefault="00D67F0F">
      <w:pPr>
        <w:widowControl/>
        <w:numPr>
          <w:ilvl w:val="0"/>
          <w:numId w:val="2"/>
        </w:numPr>
      </w:pPr>
      <w:r>
        <w:t xml:space="preserve">By </w:t>
      </w:r>
      <w:r w:rsidRPr="00EC7C09">
        <w:t>December 3</w:t>
      </w:r>
      <w:r w:rsidR="00EC7C09" w:rsidRPr="00EC7C09">
        <w:t>1, 202</w:t>
      </w:r>
      <w:r w:rsidR="004E43B5">
        <w:t>3</w:t>
      </w:r>
      <w:r w:rsidRPr="00EC7C09">
        <w:t>, the</w:t>
      </w:r>
      <w:r w:rsidRPr="006B67B7">
        <w:t xml:space="preserve"> school must demonstrate significant and sustained academic improvement in mathematics, English language arts, and science.</w:t>
      </w:r>
      <w:r>
        <w:t xml:space="preserve"> </w:t>
      </w:r>
    </w:p>
    <w:p w14:paraId="52AA55CA" w14:textId="77777777" w:rsidR="00D67F0F" w:rsidRDefault="00D67F0F">
      <w:pPr>
        <w:widowControl/>
      </w:pPr>
    </w:p>
    <w:p w14:paraId="6BA9F521" w14:textId="571D1EC1" w:rsidR="00D67F0F" w:rsidRDefault="00EC7C09">
      <w:pPr>
        <w:widowControl/>
      </w:pPr>
      <w:r w:rsidRPr="00055848">
        <w:t xml:space="preserve">In addition to meeting the terms of </w:t>
      </w:r>
      <w:r>
        <w:t>th</w:t>
      </w:r>
      <w:r w:rsidR="00A05864">
        <w:t>is</w:t>
      </w:r>
      <w:r>
        <w:t xml:space="preserve"> condition</w:t>
      </w:r>
      <w:r w:rsidRPr="00055848">
        <w:t xml:space="preserve">, </w:t>
      </w:r>
      <w:r>
        <w:t>BGA</w:t>
      </w:r>
      <w:r w:rsidRPr="00055848">
        <w:t xml:space="preserve">, like all charter schools, must comply with the terms of its charter. </w:t>
      </w:r>
      <w:r>
        <w:t>Failure of BGA to meet the conditions within the timelines specified may result in</w:t>
      </w:r>
      <w:r w:rsidR="004E43B5">
        <w:t xml:space="preserve"> the imposition of </w:t>
      </w:r>
      <w:r w:rsidR="00515604">
        <w:t xml:space="preserve">further sanctions including, but not limited to, </w:t>
      </w:r>
      <w:r w:rsidR="004E43B5">
        <w:t xml:space="preserve">probation. </w:t>
      </w:r>
    </w:p>
    <w:p w14:paraId="2DA14B24" w14:textId="77777777" w:rsidR="003F225D" w:rsidRDefault="003F225D" w:rsidP="00FC4C1C">
      <w:pPr>
        <w:widowControl/>
      </w:pPr>
    </w:p>
    <w:p w14:paraId="7955594F" w14:textId="77777777" w:rsidR="00D67F0F" w:rsidRDefault="00D67F0F" w:rsidP="00AA75D4">
      <w:pPr>
        <w:widowControl/>
        <w:jc w:val="center"/>
        <w:rPr>
          <w:szCs w:val="24"/>
        </w:rPr>
      </w:pPr>
      <w:r w:rsidRPr="00590C1F">
        <w:rPr>
          <w:szCs w:val="24"/>
        </w:rPr>
        <w:t>**********************</w:t>
      </w:r>
    </w:p>
    <w:p w14:paraId="5A502A07" w14:textId="77777777" w:rsidR="00D67F0F" w:rsidRDefault="00D67F0F" w:rsidP="00FF56E6">
      <w:pPr>
        <w:widowControl/>
        <w:rPr>
          <w:color w:val="000000"/>
          <w:szCs w:val="24"/>
        </w:rPr>
      </w:pPr>
    </w:p>
    <w:p w14:paraId="506931F9" w14:textId="764C863E" w:rsidR="00D67F0F" w:rsidRDefault="00D67F0F" w:rsidP="00BE1D1B">
      <w:pPr>
        <w:pStyle w:val="BodyTextIndent3"/>
        <w:widowControl/>
        <w:ind w:left="0"/>
        <w:rPr>
          <w:sz w:val="24"/>
          <w:szCs w:val="24"/>
        </w:rPr>
      </w:pPr>
      <w:r w:rsidRPr="00A15B56">
        <w:rPr>
          <w:color w:val="000000"/>
          <w:sz w:val="24"/>
          <w:szCs w:val="24"/>
        </w:rPr>
        <w:t xml:space="preserve">If you have any questions </w:t>
      </w:r>
      <w:r w:rsidR="00863327">
        <w:rPr>
          <w:color w:val="000000"/>
          <w:sz w:val="24"/>
          <w:szCs w:val="24"/>
        </w:rPr>
        <w:t xml:space="preserve">about these matters </w:t>
      </w:r>
      <w:r w:rsidRPr="00A15B56">
        <w:rPr>
          <w:color w:val="000000"/>
          <w:sz w:val="24"/>
          <w:szCs w:val="24"/>
        </w:rPr>
        <w:t>or require additional information, please contact Alison Bagg, Director (781-338-3218); Cliff Chuang, Senior Associate Commissioner (781-338-3222); or me.</w:t>
      </w:r>
    </w:p>
    <w:p w14:paraId="6EAEF8B8" w14:textId="77777777" w:rsidR="00D67F0F" w:rsidRDefault="00D67F0F" w:rsidP="008E522C">
      <w:pPr>
        <w:widowControl/>
        <w:jc w:val="center"/>
        <w:rPr>
          <w:szCs w:val="24"/>
        </w:rPr>
      </w:pPr>
    </w:p>
    <w:p w14:paraId="49888DD3" w14:textId="77777777" w:rsidR="00D67F0F" w:rsidRDefault="00D67F0F" w:rsidP="008631FF">
      <w:pPr>
        <w:widowControl/>
        <w:jc w:val="center"/>
        <w:rPr>
          <w:szCs w:val="24"/>
        </w:rPr>
      </w:pPr>
    </w:p>
    <w:p w14:paraId="64A25C95" w14:textId="4954E5D2" w:rsidR="000E4C69" w:rsidRDefault="00D67F0F" w:rsidP="00AC536F">
      <w:pPr>
        <w:widowControl/>
        <w:ind w:left="2160" w:hanging="2160"/>
        <w:rPr>
          <w:szCs w:val="24"/>
        </w:rPr>
      </w:pPr>
      <w:r w:rsidRPr="00590C1F">
        <w:rPr>
          <w:szCs w:val="24"/>
        </w:rPr>
        <w:t>Attachment</w:t>
      </w:r>
      <w:r w:rsidR="00BE5ACC">
        <w:rPr>
          <w:szCs w:val="24"/>
        </w:rPr>
        <w:t>s</w:t>
      </w:r>
      <w:r w:rsidRPr="00590C1F">
        <w:rPr>
          <w:szCs w:val="24"/>
        </w:rPr>
        <w:t>:</w:t>
      </w:r>
      <w:r w:rsidR="00AC536F">
        <w:rPr>
          <w:szCs w:val="24"/>
        </w:rPr>
        <w:t xml:space="preserve"> ***</w:t>
      </w:r>
      <w:r w:rsidRPr="00590C1F">
        <w:rPr>
          <w:szCs w:val="24"/>
        </w:rPr>
        <w:t xml:space="preserve"> </w:t>
      </w:r>
      <w:r w:rsidRPr="00590C1F">
        <w:rPr>
          <w:szCs w:val="24"/>
        </w:rPr>
        <w:tab/>
      </w:r>
      <w:r w:rsidR="00A05864">
        <w:rPr>
          <w:szCs w:val="24"/>
        </w:rPr>
        <w:t xml:space="preserve">Boston Green Academy Horace Mann Charter School Summary of Review </w:t>
      </w:r>
    </w:p>
    <w:p w14:paraId="4F4F4F34" w14:textId="77777777" w:rsidR="00BE5ACC" w:rsidRDefault="00BE5ACC" w:rsidP="00A03211">
      <w:pPr>
        <w:widowControl/>
        <w:rPr>
          <w:szCs w:val="24"/>
        </w:rPr>
      </w:pPr>
    </w:p>
    <w:p w14:paraId="309E5E8D" w14:textId="3D108CB4" w:rsidR="00BE5ACC" w:rsidRDefault="00BE5ACC" w:rsidP="00AC536F">
      <w:pPr>
        <w:widowControl/>
        <w:ind w:left="2160"/>
      </w:pPr>
      <w:r>
        <w:t xml:space="preserve">Motion for Board Action on </w:t>
      </w:r>
      <w:r>
        <w:rPr>
          <w:szCs w:val="24"/>
        </w:rPr>
        <w:t>Boston Green Academy Horace Mann Charter School</w:t>
      </w:r>
    </w:p>
    <w:p w14:paraId="531C43CF" w14:textId="77777777" w:rsidR="00D67F0F" w:rsidRDefault="00D67F0F" w:rsidP="00FE76F9">
      <w:pPr>
        <w:widowControl/>
      </w:pPr>
    </w:p>
    <w:sectPr w:rsidR="00D67F0F" w:rsidSect="006440BC">
      <w:footerReference w:type="default" r:id="rId1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BFCF" w14:textId="77777777" w:rsidR="00BB29D3" w:rsidRDefault="00BB29D3" w:rsidP="00DB7A42">
      <w:r>
        <w:separator/>
      </w:r>
    </w:p>
  </w:endnote>
  <w:endnote w:type="continuationSeparator" w:id="0">
    <w:p w14:paraId="34B0441F" w14:textId="77777777" w:rsidR="00BB29D3" w:rsidRDefault="00BB29D3" w:rsidP="00DB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731503"/>
      <w:docPartObj>
        <w:docPartGallery w:val="Page Numbers (Bottom of Page)"/>
        <w:docPartUnique/>
      </w:docPartObj>
    </w:sdtPr>
    <w:sdtEndPr>
      <w:rPr>
        <w:noProof/>
      </w:rPr>
    </w:sdtEndPr>
    <w:sdtContent>
      <w:p w14:paraId="1E3A6C1A" w14:textId="671D2679" w:rsidR="00371BC9" w:rsidRDefault="00BB29D3" w:rsidP="006440B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890767"/>
      <w:docPartObj>
        <w:docPartGallery w:val="Page Numbers (Bottom of Page)"/>
        <w:docPartUnique/>
      </w:docPartObj>
    </w:sdtPr>
    <w:sdtEndPr>
      <w:rPr>
        <w:noProof/>
      </w:rPr>
    </w:sdtEndPr>
    <w:sdtContent>
      <w:p w14:paraId="6F09D429" w14:textId="6AA6000D" w:rsidR="00BA66C5" w:rsidRDefault="00BA66C5" w:rsidP="006440BC">
        <w:pPr>
          <w:pStyle w:val="Footer"/>
          <w:jc w:val="right"/>
        </w:pPr>
        <w:r>
          <w:fldChar w:fldCharType="begin"/>
        </w:r>
        <w:r>
          <w:instrText xml:space="preserve"> PAGE   \* MERGEFORMAT </w:instrText>
        </w:r>
        <w:r>
          <w:fldChar w:fldCharType="separate"/>
        </w:r>
        <w:r w:rsidR="00915D96">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EABBE" w14:textId="77777777" w:rsidR="00BB29D3" w:rsidRDefault="00BB29D3" w:rsidP="00DB7A42">
      <w:r>
        <w:separator/>
      </w:r>
    </w:p>
  </w:footnote>
  <w:footnote w:type="continuationSeparator" w:id="0">
    <w:p w14:paraId="0F517C80" w14:textId="77777777" w:rsidR="00BB29D3" w:rsidRDefault="00BB29D3" w:rsidP="00DB7A42">
      <w:r>
        <w:continuationSeparator/>
      </w:r>
    </w:p>
  </w:footnote>
  <w:footnote w:id="1">
    <w:p w14:paraId="4840111C" w14:textId="64775C51" w:rsidR="00E169F4" w:rsidRPr="001C4D9D" w:rsidRDefault="00E169F4" w:rsidP="00D961B4">
      <w:pPr>
        <w:rPr>
          <w:color w:val="333333"/>
          <w:sz w:val="20"/>
          <w:shd w:val="clear" w:color="auto" w:fill="FFFFFF"/>
        </w:rPr>
      </w:pPr>
      <w:r w:rsidRPr="0076527F">
        <w:rPr>
          <w:rStyle w:val="FootnoteReference"/>
          <w:sz w:val="20"/>
          <w:vertAlign w:val="superscript"/>
        </w:rPr>
        <w:footnoteRef/>
      </w:r>
      <w:r w:rsidRPr="0076527F">
        <w:rPr>
          <w:vertAlign w:val="superscript"/>
        </w:rPr>
        <w:t xml:space="preserve">  </w:t>
      </w:r>
      <w:r w:rsidRPr="001C4D9D">
        <w:rPr>
          <w:color w:val="333333"/>
          <w:sz w:val="20"/>
          <w:shd w:val="clear" w:color="auto" w:fill="FFFFFF"/>
        </w:rPr>
        <w:t>Pursuant to 603 CMR 1.12(2), the Board</w:t>
      </w:r>
    </w:p>
    <w:p w14:paraId="7C969DBD" w14:textId="056AD371" w:rsidR="00E169F4" w:rsidRPr="001C4D9D" w:rsidRDefault="00E169F4" w:rsidP="001C4D9D">
      <w:pPr>
        <w:ind w:left="720"/>
        <w:rPr>
          <w:rFonts w:asciiTheme="minorHAnsi" w:hAnsiTheme="minorHAnsi" w:cstheme="minorHAnsi"/>
          <w:b/>
          <w:bCs/>
          <w:sz w:val="20"/>
          <w:u w:val="single"/>
          <w:vertAlign w:val="superscript"/>
        </w:rPr>
      </w:pPr>
      <w:r w:rsidRPr="001C4D9D">
        <w:rPr>
          <w:color w:val="333333"/>
          <w:sz w:val="20"/>
          <w:shd w:val="clear" w:color="auto" w:fill="FFFFFF"/>
        </w:rPr>
        <w:t xml:space="preserve">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p>
    <w:p w14:paraId="392E54E5" w14:textId="77777777" w:rsidR="00E169F4" w:rsidRDefault="00E169F4" w:rsidP="007D2A0B">
      <w:pPr>
        <w:pStyle w:val="FootnoteText"/>
      </w:pPr>
    </w:p>
  </w:footnote>
  <w:footnote w:id="2">
    <w:p w14:paraId="38C60285" w14:textId="77777777" w:rsidR="00FB7A43" w:rsidRPr="00B12ED8" w:rsidRDefault="00FB7A43" w:rsidP="00FB7A43">
      <w:pPr>
        <w:widowControl/>
        <w:autoSpaceDE w:val="0"/>
        <w:autoSpaceDN w:val="0"/>
        <w:rPr>
          <w:snapToGrid/>
          <w:sz w:val="18"/>
          <w:szCs w:val="22"/>
        </w:rPr>
      </w:pPr>
      <w:r w:rsidRPr="00FB7A43">
        <w:rPr>
          <w:rStyle w:val="FootnoteReference"/>
          <w:vertAlign w:val="superscript"/>
        </w:rPr>
        <w:footnoteRef/>
      </w:r>
      <w:r>
        <w:t xml:space="preserve"> </w:t>
      </w:r>
      <w:r w:rsidRPr="00B12ED8">
        <w:rPr>
          <w:snapToGrid/>
          <w:sz w:val="18"/>
          <w:szCs w:val="22"/>
        </w:rPr>
        <w:t>The charter school regulations, at 603 CMR 1.11(2), provide as follows.</w:t>
      </w:r>
    </w:p>
    <w:p w14:paraId="1F5B79B1" w14:textId="77777777" w:rsidR="00FB7A43" w:rsidRPr="00B12ED8" w:rsidRDefault="00FB7A43" w:rsidP="00FB7A43">
      <w:pPr>
        <w:widowControl/>
        <w:autoSpaceDE w:val="0"/>
        <w:autoSpaceDN w:val="0"/>
        <w:ind w:left="720"/>
        <w:rPr>
          <w:snapToGrid/>
          <w:sz w:val="18"/>
          <w:szCs w:val="22"/>
        </w:rPr>
      </w:pPr>
      <w:r w:rsidRPr="00B12ED8">
        <w:rPr>
          <w:snapToGrid/>
          <w:sz w:val="18"/>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135838D2" w14:textId="77777777" w:rsidR="00FB7A43" w:rsidRPr="00B12ED8" w:rsidRDefault="00FB7A43" w:rsidP="00FB7A43">
      <w:pPr>
        <w:widowControl/>
        <w:autoSpaceDE w:val="0"/>
        <w:autoSpaceDN w:val="0"/>
        <w:ind w:left="720"/>
        <w:rPr>
          <w:snapToGrid/>
          <w:sz w:val="18"/>
          <w:szCs w:val="22"/>
        </w:rPr>
      </w:pPr>
      <w:r w:rsidRPr="00B12ED8">
        <w:rPr>
          <w:snapToGrid/>
          <w:sz w:val="18"/>
          <w:szCs w:val="22"/>
        </w:rPr>
        <w:t xml:space="preserve">All charter schools will be evaluated on the same performance criteria as provided in the guidelines, provided, however, that the criteria will </w:t>
      </w:r>
      <w:proofErr w:type="gramStart"/>
      <w:r w:rsidRPr="00B12ED8">
        <w:rPr>
          <w:snapToGrid/>
          <w:sz w:val="18"/>
          <w:szCs w:val="22"/>
        </w:rPr>
        <w:t>take into account</w:t>
      </w:r>
      <w:proofErr w:type="gramEnd"/>
      <w:r w:rsidRPr="00B12ED8">
        <w:rPr>
          <w:snapToGrid/>
          <w:sz w:val="18"/>
          <w:szCs w:val="22"/>
        </w:rPr>
        <w:t xml:space="preserve"> each school's charter and accountability plan. Evidence of academic success for all students is essential for charter renewal.</w:t>
      </w:r>
    </w:p>
    <w:p w14:paraId="4711D883" w14:textId="3A8888A3" w:rsidR="00FB7A43" w:rsidRDefault="00FB7A43">
      <w:pPr>
        <w:pStyle w:val="FootnoteText"/>
      </w:pPr>
    </w:p>
  </w:footnote>
  <w:footnote w:id="3">
    <w:p w14:paraId="3EBB9A1F" w14:textId="055126A2" w:rsidR="00E169F4" w:rsidRPr="001C4D9D" w:rsidRDefault="00E169F4">
      <w:pPr>
        <w:pStyle w:val="FootnoteText"/>
        <w:rPr>
          <w:sz w:val="20"/>
        </w:rPr>
      </w:pPr>
      <w:r w:rsidRPr="001C4D9D">
        <w:rPr>
          <w:rStyle w:val="FootnoteReference"/>
          <w:vertAlign w:val="superscript"/>
        </w:rPr>
        <w:footnoteRef/>
      </w:r>
      <w:r>
        <w:t xml:space="preserve"> </w:t>
      </w:r>
      <w:r w:rsidRPr="001C4D9D">
        <w:rPr>
          <w:rFonts w:cstheme="minorHAnsi"/>
          <w:sz w:val="20"/>
        </w:rPr>
        <w:t>Boston Public Schools set a limit on the number of grade 6, 7, and 8 students that can attend BGA of 60 students per grade leve</w:t>
      </w:r>
      <w:r>
        <w:rPr>
          <w:rFonts w:cstheme="minorHAnsi"/>
          <w:sz w:val="20"/>
        </w:rPr>
        <w:t>l</w:t>
      </w:r>
      <w:r w:rsidRPr="001C4D9D">
        <w:rPr>
          <w:rFonts w:cstheme="minorHAnsi"/>
          <w:sz w:val="20"/>
        </w:rPr>
        <w:t xml:space="preserve">, creating </w:t>
      </w:r>
      <w:r>
        <w:rPr>
          <w:rFonts w:cstheme="minorHAnsi"/>
          <w:sz w:val="20"/>
        </w:rPr>
        <w:t xml:space="preserve">an </w:t>
      </w:r>
      <w:r w:rsidRPr="001C4D9D">
        <w:rPr>
          <w:rFonts w:cstheme="minorHAnsi"/>
          <w:sz w:val="20"/>
        </w:rPr>
        <w:t xml:space="preserve">enrollment limit lower than </w:t>
      </w:r>
      <w:r w:rsidR="00841975">
        <w:rPr>
          <w:rFonts w:cstheme="minorHAnsi"/>
          <w:sz w:val="20"/>
        </w:rPr>
        <w:t>what is specified</w:t>
      </w:r>
      <w:r w:rsidRPr="001C4D9D">
        <w:rPr>
          <w:rFonts w:cstheme="minorHAnsi"/>
          <w:sz w:val="20"/>
        </w:rPr>
        <w:t xml:space="preserve"> in the school’s charter.  </w:t>
      </w:r>
    </w:p>
  </w:footnote>
  <w:footnote w:id="4">
    <w:p w14:paraId="0D64A61D" w14:textId="602DC6C9" w:rsidR="00E169F4" w:rsidRPr="00A64F3B" w:rsidRDefault="00E169F4" w:rsidP="003F225D">
      <w:r w:rsidRPr="00DB22CD">
        <w:rPr>
          <w:rStyle w:val="FootnoteReference"/>
          <w:sz w:val="18"/>
          <w:szCs w:val="18"/>
          <w:vertAlign w:val="superscript"/>
        </w:rPr>
        <w:footnoteRef/>
      </w:r>
      <w:r w:rsidRPr="00DB22CD">
        <w:rPr>
          <w:sz w:val="18"/>
          <w:szCs w:val="18"/>
          <w:vertAlign w:val="superscript"/>
        </w:rPr>
        <w:t xml:space="preserve"> </w:t>
      </w:r>
      <w:r w:rsidRPr="001C4D9D">
        <w:rPr>
          <w:color w:val="000000"/>
          <w:sz w:val="20"/>
        </w:rPr>
        <w:t>The revision of G.L. c. 71, § 89, in 2010, created three types of Horace Mann charter schools, each with a particular set of requirements. Requirements for the involvement of the collective bargaining unit vary by type. While an application for a Horace Mann III charter school must be submitted with the approval of the school committee, approval from the local collective bargaining unit is not required when the application is submitted.</w:t>
      </w:r>
      <w:r>
        <w:rPr>
          <w:color w:val="000000"/>
          <w:sz w:val="20"/>
        </w:rPr>
        <w:t xml:space="preserve"> F</w:t>
      </w:r>
      <w:r w:rsidRPr="00976BFC">
        <w:rPr>
          <w:color w:val="000000"/>
          <w:sz w:val="20"/>
        </w:rPr>
        <w:t>ollowing the award of a charter</w:t>
      </w:r>
      <w:r>
        <w:rPr>
          <w:color w:val="000000"/>
          <w:sz w:val="20"/>
        </w:rPr>
        <w:t>, t</w:t>
      </w:r>
      <w:r w:rsidRPr="001C4D9D">
        <w:rPr>
          <w:color w:val="000000"/>
          <w:sz w:val="20"/>
        </w:rPr>
        <w:t>he board of trustees</w:t>
      </w:r>
      <w:r w:rsidRPr="005F374F">
        <w:rPr>
          <w:color w:val="000000"/>
          <w:sz w:val="20"/>
        </w:rPr>
        <w:t xml:space="preserve"> of the charter school </w:t>
      </w:r>
      <w:r w:rsidRPr="001C4D9D">
        <w:rPr>
          <w:color w:val="000000"/>
          <w:sz w:val="20"/>
        </w:rPr>
        <w:t xml:space="preserve">must negotiate </w:t>
      </w:r>
      <w:r>
        <w:rPr>
          <w:color w:val="000000"/>
          <w:sz w:val="20"/>
        </w:rPr>
        <w:t xml:space="preserve">in good faith </w:t>
      </w:r>
      <w:r w:rsidRPr="001C4D9D">
        <w:rPr>
          <w:color w:val="000000"/>
          <w:sz w:val="20"/>
        </w:rPr>
        <w:t xml:space="preserve">with the collective bargaining unit and the school committee regarding any modifications to collective bargaining agreements. Pursuant to 603 CMR 1.10, </w:t>
      </w:r>
      <w:r w:rsidRPr="005F374F">
        <w:rPr>
          <w:color w:val="000000"/>
          <w:sz w:val="20"/>
        </w:rPr>
        <w:t xml:space="preserve">the local school committee and teachers’ union </w:t>
      </w:r>
      <w:r>
        <w:rPr>
          <w:color w:val="000000"/>
          <w:sz w:val="20"/>
        </w:rPr>
        <w:t xml:space="preserve">must approve applications for renewal of </w:t>
      </w:r>
      <w:r w:rsidRPr="001C4D9D">
        <w:rPr>
          <w:color w:val="000000"/>
          <w:sz w:val="20"/>
        </w:rPr>
        <w:t>all Horace Mann charter</w:t>
      </w:r>
      <w:r>
        <w:rPr>
          <w:color w:val="000000"/>
          <w:sz w:val="20"/>
        </w:rPr>
        <w:t>s</w:t>
      </w:r>
      <w:r w:rsidRPr="001C4D9D">
        <w:rPr>
          <w:color w:val="000000"/>
          <w:sz w:val="20"/>
        </w:rPr>
        <w:t xml:space="preserve"> and </w:t>
      </w:r>
      <w:r>
        <w:rPr>
          <w:color w:val="000000"/>
          <w:sz w:val="20"/>
        </w:rPr>
        <w:t>most Horace Mann</w:t>
      </w:r>
      <w:r w:rsidRPr="001C4D9D">
        <w:rPr>
          <w:color w:val="000000"/>
          <w:sz w:val="20"/>
        </w:rPr>
        <w:t xml:space="preserve"> charter amendments.</w:t>
      </w:r>
    </w:p>
  </w:footnote>
  <w:footnote w:id="5">
    <w:p w14:paraId="694558A9" w14:textId="573001D5" w:rsidR="00E169F4" w:rsidRDefault="00E169F4" w:rsidP="003F225D">
      <w:pPr>
        <w:pStyle w:val="Default"/>
      </w:pPr>
      <w:r w:rsidRPr="001C4D9D">
        <w:rPr>
          <w:rStyle w:val="FootnoteReference"/>
          <w:sz w:val="18"/>
          <w:szCs w:val="18"/>
          <w:vertAlign w:val="superscript"/>
        </w:rPr>
        <w:footnoteRef/>
      </w:r>
      <w:r>
        <w:t xml:space="preserve"> </w:t>
      </w:r>
      <w:r w:rsidRPr="001C4D9D">
        <w:rPr>
          <w:sz w:val="20"/>
          <w:szCs w:val="20"/>
        </w:rPr>
        <w:t xml:space="preserve">BGA’s lack of compliance prior to 2014 included lack of appropriate licensure for two special education staff, failure to request the Commissioner’s approval of board members prior to service, and failure to submit the 2012 end-of-year financial report or the 2013 financial audit in a timely manner. The school remedied these issues by 2016. </w:t>
      </w:r>
    </w:p>
    <w:p w14:paraId="24673917" w14:textId="77777777" w:rsidR="00E169F4" w:rsidRDefault="00E169F4" w:rsidP="003F225D">
      <w:pPr>
        <w:pStyle w:val="FootnoteText"/>
      </w:pPr>
    </w:p>
  </w:footnote>
  <w:footnote w:id="6">
    <w:p w14:paraId="1CD48ABD" w14:textId="77777777" w:rsidR="00125FE3" w:rsidRPr="001C4D9D" w:rsidRDefault="00125FE3" w:rsidP="00125FE3">
      <w:pPr>
        <w:pStyle w:val="FootnoteText"/>
        <w:rPr>
          <w:sz w:val="20"/>
        </w:rPr>
      </w:pPr>
      <w:r w:rsidRPr="00182B69">
        <w:rPr>
          <w:rStyle w:val="FootnoteReference"/>
          <w:vertAlign w:val="superscript"/>
        </w:rPr>
        <w:footnoteRef/>
      </w:r>
      <w:r>
        <w:t xml:space="preserve"> </w:t>
      </w:r>
      <w:r w:rsidRPr="00182B69">
        <w:rPr>
          <w:vertAlign w:val="superscript"/>
        </w:rPr>
        <w:t xml:space="preserve"> </w:t>
      </w:r>
      <w:r w:rsidRPr="001C4D9D">
        <w:rPr>
          <w:sz w:val="20"/>
        </w:rPr>
        <w:t>The fiscal dashboard contains financial data fr</w:t>
      </w:r>
      <w:r>
        <w:rPr>
          <w:sz w:val="20"/>
        </w:rPr>
        <w:t>o</w:t>
      </w:r>
      <w:r w:rsidRPr="001C4D9D">
        <w:rPr>
          <w:sz w:val="20"/>
        </w:rPr>
        <w:t xml:space="preserve">m the most recent five years of operation and is derived from financial reports and independent financial audits submitted by the charter school. The fiscal dashboard aligns with the financial criteria of the Charter School Performance Criteria and provides an overview of the school’s financial health using standard financial indicators, such as the percentage of </w:t>
      </w:r>
      <w:r>
        <w:rPr>
          <w:sz w:val="20"/>
        </w:rPr>
        <w:t xml:space="preserve">the </w:t>
      </w:r>
      <w:r w:rsidRPr="001C4D9D">
        <w:rPr>
          <w:sz w:val="20"/>
        </w:rPr>
        <w:t>program paid by tuition and federal grants, unrestricted days cash, and debt to asset ratio.</w:t>
      </w:r>
    </w:p>
  </w:footnote>
  <w:footnote w:id="7">
    <w:p w14:paraId="70CAD97F" w14:textId="08C88588" w:rsidR="00361B9F" w:rsidRPr="00113F36" w:rsidRDefault="00361B9F" w:rsidP="00361B9F">
      <w:pPr>
        <w:pStyle w:val="FootnoteText"/>
        <w:rPr>
          <w:color w:val="000000" w:themeColor="text1"/>
        </w:rPr>
      </w:pPr>
      <w:r w:rsidRPr="000A5080">
        <w:rPr>
          <w:rStyle w:val="FootnoteReference"/>
          <w:vertAlign w:val="superscript"/>
        </w:rPr>
        <w:footnoteRef/>
      </w:r>
      <w:r w:rsidRPr="000A5080">
        <w:rPr>
          <w:vertAlign w:val="superscript"/>
        </w:rPr>
        <w:t xml:space="preserve"> </w:t>
      </w:r>
      <w:r w:rsidRPr="00B93699">
        <w:rPr>
          <w:sz w:val="20"/>
        </w:rPr>
        <w:t>Progress towards improvement targets is reported as the degree to which targets are met, using a criterion-referenced measure of performance. The cumulative criterion-referenced target percentage combines multiple years of data related to achievement, growth, high school completion, English learner (EL) progress, advanced coursework completion, and chronic absenteeism into a single number between 0 and 100. For a group to be considered to be meeting or exceeding targets, it must have a cumulative criterion-referenced target percentage of 75 percent or higher.</w:t>
      </w:r>
      <w:r>
        <w:t xml:space="preserve"> </w:t>
      </w:r>
    </w:p>
  </w:footnote>
  <w:footnote w:id="8">
    <w:p w14:paraId="410E2746" w14:textId="77777777" w:rsidR="00FA5674" w:rsidRPr="006B6D17" w:rsidRDefault="00FA5674" w:rsidP="00FA5674">
      <w:pPr>
        <w:pStyle w:val="FootnoteText"/>
      </w:pPr>
      <w:r w:rsidRPr="003C724E">
        <w:rPr>
          <w:rStyle w:val="FootnoteReference"/>
          <w:vertAlign w:val="superscript"/>
        </w:rPr>
        <w:footnoteRef/>
      </w:r>
      <w:r>
        <w:t xml:space="preserve"> </w:t>
      </w:r>
      <w:r w:rsidRPr="006B6D17">
        <w:t xml:space="preserve">Rating Key: </w:t>
      </w:r>
    </w:p>
    <w:p w14:paraId="57059227" w14:textId="77777777" w:rsidR="00FA5674" w:rsidRPr="006B6D17" w:rsidRDefault="00FA5674" w:rsidP="00FA5674">
      <w:pPr>
        <w:pStyle w:val="FootnoteText"/>
      </w:pPr>
      <w:r w:rsidRPr="006B6D17">
        <w:rPr>
          <w:rFonts w:ascii="Wingdings" w:hAnsi="Wingdings"/>
          <w:b/>
          <w:bCs/>
          <w:color w:val="0070C0"/>
          <w:szCs w:val="24"/>
        </w:rPr>
        <w:t></w:t>
      </w:r>
      <w:r w:rsidRPr="006B6D17">
        <w:rPr>
          <w:rFonts w:ascii="Wingdings" w:hAnsi="Wingdings"/>
          <w:b/>
          <w:bCs/>
          <w:color w:val="0070C0"/>
          <w:szCs w:val="24"/>
        </w:rPr>
        <w:t></w:t>
      </w:r>
      <w:r w:rsidRPr="006B6D17">
        <w:rPr>
          <w:b/>
        </w:rPr>
        <w:t>Exceeds:</w:t>
      </w:r>
      <w:r w:rsidRPr="006B6D17">
        <w:t xml:space="preserve"> The school fully and consistently meets the criterion and is a potential exemplar in this area.</w:t>
      </w:r>
    </w:p>
    <w:p w14:paraId="0BC4C753" w14:textId="77777777" w:rsidR="00FA5674" w:rsidRPr="006B6D17" w:rsidRDefault="00FA5674" w:rsidP="00FA5674">
      <w:pPr>
        <w:pStyle w:val="FootnoteText"/>
      </w:pPr>
      <w:r w:rsidRPr="006B6D17">
        <w:rPr>
          <w:rFonts w:ascii="Wingdings" w:hAnsi="Wingdings"/>
          <w:b/>
          <w:bCs/>
          <w:color w:val="00B050"/>
          <w:szCs w:val="24"/>
        </w:rPr>
        <w:t></w:t>
      </w:r>
      <w:r w:rsidRPr="006B6D17">
        <w:rPr>
          <w:rFonts w:ascii="Wingdings" w:hAnsi="Wingdings"/>
          <w:b/>
          <w:bCs/>
          <w:color w:val="00B050"/>
          <w:szCs w:val="24"/>
        </w:rPr>
        <w:t></w:t>
      </w:r>
      <w:r w:rsidRPr="006B6D17">
        <w:rPr>
          <w:b/>
        </w:rPr>
        <w:t>Meets:</w:t>
      </w:r>
      <w:r w:rsidRPr="006B6D17">
        <w:t xml:space="preserve"> The school generally meets the criterion and/or minor concern(s) are noted.</w:t>
      </w:r>
    </w:p>
    <w:p w14:paraId="171F76DF" w14:textId="77777777" w:rsidR="00FA5674" w:rsidRPr="006B6D17" w:rsidRDefault="00FA5674" w:rsidP="00FA5674">
      <w:pPr>
        <w:pStyle w:val="FootnoteText"/>
        <w:ind w:left="360" w:hanging="360"/>
      </w:pPr>
      <w:r w:rsidRPr="006B6D17">
        <w:rPr>
          <w:rFonts w:ascii="Wingdings" w:hAnsi="Wingdings"/>
          <w:b/>
          <w:bCs/>
          <w:color w:val="FFC000"/>
          <w:szCs w:val="24"/>
        </w:rPr>
        <w:t></w:t>
      </w:r>
      <w:r w:rsidRPr="006B6D17">
        <w:rPr>
          <w:rFonts w:ascii="Wingdings" w:hAnsi="Wingdings"/>
          <w:b/>
          <w:bCs/>
          <w:color w:val="FFC000"/>
          <w:szCs w:val="24"/>
        </w:rPr>
        <w:t></w:t>
      </w:r>
      <w:r w:rsidRPr="006B6D17">
        <w:rPr>
          <w:b/>
        </w:rPr>
        <w:t>Partially Meets:</w:t>
      </w:r>
      <w:r w:rsidRPr="006B6D17">
        <w:t xml:space="preserve"> The school meets some aspects of the criterion but not others and/or moderate concern(s) are noted.</w:t>
      </w:r>
    </w:p>
    <w:p w14:paraId="2D2019F0" w14:textId="77777777" w:rsidR="00FA5674" w:rsidRPr="006B6D17" w:rsidRDefault="00FA5674" w:rsidP="00FA5674">
      <w:pPr>
        <w:pStyle w:val="FootnoteText"/>
      </w:pPr>
      <w:r w:rsidRPr="006B6D17">
        <w:rPr>
          <w:rFonts w:ascii="Wingdings" w:eastAsiaTheme="minorEastAsia" w:hAnsi="Wingdings" w:cstheme="minorBidi"/>
          <w:b/>
          <w:bCs/>
          <w:color w:val="FF0000"/>
          <w:lang w:bidi="en-US"/>
        </w:rPr>
        <w:t></w:t>
      </w:r>
      <w:r w:rsidRPr="006B6D17">
        <w:rPr>
          <w:rFonts w:ascii="Wingdings" w:eastAsiaTheme="minorEastAsia" w:hAnsi="Wingdings" w:cstheme="minorBidi"/>
          <w:b/>
          <w:bCs/>
          <w:color w:val="FF0000"/>
          <w:lang w:bidi="en-US"/>
        </w:rPr>
        <w:t></w:t>
      </w:r>
      <w:r w:rsidRPr="006B6D17">
        <w:rPr>
          <w:rFonts w:eastAsiaTheme="minorEastAsia" w:cstheme="minorBidi"/>
          <w:b/>
          <w:lang w:bidi="en-US"/>
        </w:rPr>
        <w:t>Falls Far Below:</w:t>
      </w:r>
      <w:r w:rsidRPr="006B6D17">
        <w:rPr>
          <w:rFonts w:eastAsiaTheme="minorEastAsia" w:cstheme="minorBidi"/>
          <w:lang w:bidi="en-US"/>
        </w:rPr>
        <w:t xml:space="preserve"> The school falls far below the criterion and/or significant concerns are noted.</w:t>
      </w:r>
    </w:p>
  </w:footnote>
  <w:footnote w:id="9">
    <w:p w14:paraId="438FC642" w14:textId="77777777" w:rsidR="00FA5674" w:rsidRDefault="00FA5674" w:rsidP="00FA5674">
      <w:pPr>
        <w:pStyle w:val="FootnoteText"/>
      </w:pPr>
      <w:r w:rsidRPr="003C724E">
        <w:rPr>
          <w:rStyle w:val="FootnoteReference"/>
          <w:vertAlign w:val="superscript"/>
        </w:rPr>
        <w:footnoteRef/>
      </w:r>
      <w:r w:rsidRPr="003C724E">
        <w:rPr>
          <w:vertAlign w:val="superscript"/>
        </w:rPr>
        <w:t xml:space="preserve"> </w:t>
      </w:r>
      <w:r>
        <w:t>The school’s most recent student performance data in the statewide accountability system is for 2019. Statewide assessments were not administered 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B33572"/>
    <w:multiLevelType w:val="hybridMultilevel"/>
    <w:tmpl w:val="17535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2C0B4"/>
    <w:multiLevelType w:val="hybridMultilevel"/>
    <w:tmpl w:val="3319EB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0345A"/>
    <w:multiLevelType w:val="hybridMultilevel"/>
    <w:tmpl w:val="E510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4332"/>
    <w:multiLevelType w:val="hybridMultilevel"/>
    <w:tmpl w:val="0138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6BD6"/>
    <w:multiLevelType w:val="hybridMultilevel"/>
    <w:tmpl w:val="7158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9716A"/>
    <w:multiLevelType w:val="hybridMultilevel"/>
    <w:tmpl w:val="4BBA9536"/>
    <w:lvl w:ilvl="0" w:tplc="E8467D96">
      <w:start w:val="1"/>
      <w:numFmt w:val="decimal"/>
      <w:lvlText w:val="%1."/>
      <w:lvlJc w:val="left"/>
      <w:pPr>
        <w:ind w:left="1080" w:hanging="360"/>
      </w:pPr>
      <w:rPr>
        <w:rFonts w:hint="default"/>
        <w:b w:val="0"/>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197605"/>
    <w:multiLevelType w:val="hybridMultilevel"/>
    <w:tmpl w:val="AC44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73F24"/>
    <w:multiLevelType w:val="hybridMultilevel"/>
    <w:tmpl w:val="0940461A"/>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747523B"/>
    <w:multiLevelType w:val="hybridMultilevel"/>
    <w:tmpl w:val="DD5C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72451"/>
    <w:multiLevelType w:val="hybridMultilevel"/>
    <w:tmpl w:val="0EB60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F17324"/>
    <w:multiLevelType w:val="hybridMultilevel"/>
    <w:tmpl w:val="5F00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A2BFC"/>
    <w:multiLevelType w:val="hybridMultilevel"/>
    <w:tmpl w:val="DFFAF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B2006"/>
    <w:multiLevelType w:val="hybridMultilevel"/>
    <w:tmpl w:val="5B704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621ACB"/>
    <w:multiLevelType w:val="hybridMultilevel"/>
    <w:tmpl w:val="2C82C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6B0D25"/>
    <w:multiLevelType w:val="hybridMultilevel"/>
    <w:tmpl w:val="0618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660705"/>
    <w:multiLevelType w:val="hybridMultilevel"/>
    <w:tmpl w:val="283A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D3188"/>
    <w:multiLevelType w:val="hybridMultilevel"/>
    <w:tmpl w:val="79F4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21541"/>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8E12849"/>
    <w:multiLevelType w:val="hybridMultilevel"/>
    <w:tmpl w:val="466E3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10"/>
  </w:num>
  <w:num w:numId="8">
    <w:abstractNumId w:val="12"/>
  </w:num>
  <w:num w:numId="9">
    <w:abstractNumId w:val="1"/>
  </w:num>
  <w:num w:numId="10">
    <w:abstractNumId w:val="0"/>
  </w:num>
  <w:num w:numId="11">
    <w:abstractNumId w:val="3"/>
  </w:num>
  <w:num w:numId="12">
    <w:abstractNumId w:val="17"/>
  </w:num>
  <w:num w:numId="13">
    <w:abstractNumId w:val="14"/>
  </w:num>
  <w:num w:numId="14">
    <w:abstractNumId w:val="11"/>
  </w:num>
  <w:num w:numId="15">
    <w:abstractNumId w:val="4"/>
  </w:num>
  <w:num w:numId="16">
    <w:abstractNumId w:val="5"/>
  </w:num>
  <w:num w:numId="17">
    <w:abstractNumId w:val="2"/>
  </w:num>
  <w:num w:numId="18">
    <w:abstractNumId w:val="16"/>
  </w:num>
  <w:num w:numId="19">
    <w:abstractNumId w:val="8"/>
  </w:num>
  <w:num w:numId="20">
    <w:abstractNumId w:val="15"/>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04342"/>
    <w:rsid w:val="00016AAA"/>
    <w:rsid w:val="00025507"/>
    <w:rsid w:val="000273AF"/>
    <w:rsid w:val="00033E6C"/>
    <w:rsid w:val="00041CA1"/>
    <w:rsid w:val="000426D9"/>
    <w:rsid w:val="00042F14"/>
    <w:rsid w:val="00057EAF"/>
    <w:rsid w:val="00060C19"/>
    <w:rsid w:val="00061C4A"/>
    <w:rsid w:val="000671A4"/>
    <w:rsid w:val="000709A3"/>
    <w:rsid w:val="00076A9B"/>
    <w:rsid w:val="000825E9"/>
    <w:rsid w:val="00087328"/>
    <w:rsid w:val="0008779F"/>
    <w:rsid w:val="00092FAE"/>
    <w:rsid w:val="000A3337"/>
    <w:rsid w:val="000A4006"/>
    <w:rsid w:val="000A5080"/>
    <w:rsid w:val="000A5083"/>
    <w:rsid w:val="000B0987"/>
    <w:rsid w:val="000B15BB"/>
    <w:rsid w:val="000B36E8"/>
    <w:rsid w:val="000C1753"/>
    <w:rsid w:val="000C38D0"/>
    <w:rsid w:val="000E0994"/>
    <w:rsid w:val="000E4853"/>
    <w:rsid w:val="000E4C69"/>
    <w:rsid w:val="000E61C4"/>
    <w:rsid w:val="000E753F"/>
    <w:rsid w:val="000F3760"/>
    <w:rsid w:val="000F47D3"/>
    <w:rsid w:val="00100C95"/>
    <w:rsid w:val="00101213"/>
    <w:rsid w:val="001075BA"/>
    <w:rsid w:val="00113F36"/>
    <w:rsid w:val="0011576B"/>
    <w:rsid w:val="00115D1C"/>
    <w:rsid w:val="001217AF"/>
    <w:rsid w:val="001256CC"/>
    <w:rsid w:val="00125FE3"/>
    <w:rsid w:val="001275CF"/>
    <w:rsid w:val="00132698"/>
    <w:rsid w:val="0014153E"/>
    <w:rsid w:val="00142621"/>
    <w:rsid w:val="0014372F"/>
    <w:rsid w:val="00150191"/>
    <w:rsid w:val="001521A0"/>
    <w:rsid w:val="001550EC"/>
    <w:rsid w:val="0015784F"/>
    <w:rsid w:val="00163174"/>
    <w:rsid w:val="00164434"/>
    <w:rsid w:val="00167965"/>
    <w:rsid w:val="001706BD"/>
    <w:rsid w:val="00170A5E"/>
    <w:rsid w:val="00182B69"/>
    <w:rsid w:val="001879DF"/>
    <w:rsid w:val="00190320"/>
    <w:rsid w:val="0019337F"/>
    <w:rsid w:val="001965A1"/>
    <w:rsid w:val="001A109F"/>
    <w:rsid w:val="001A1AEC"/>
    <w:rsid w:val="001B0E31"/>
    <w:rsid w:val="001B388F"/>
    <w:rsid w:val="001C195D"/>
    <w:rsid w:val="001C24A2"/>
    <w:rsid w:val="001C279B"/>
    <w:rsid w:val="001C3786"/>
    <w:rsid w:val="001C49B9"/>
    <w:rsid w:val="001C4C41"/>
    <w:rsid w:val="001C4D9D"/>
    <w:rsid w:val="001C6689"/>
    <w:rsid w:val="001C79A0"/>
    <w:rsid w:val="001D0329"/>
    <w:rsid w:val="001E1E02"/>
    <w:rsid w:val="001E3835"/>
    <w:rsid w:val="00201172"/>
    <w:rsid w:val="00206025"/>
    <w:rsid w:val="00215A05"/>
    <w:rsid w:val="00233CD0"/>
    <w:rsid w:val="002520F3"/>
    <w:rsid w:val="00261873"/>
    <w:rsid w:val="00263B7D"/>
    <w:rsid w:val="00265634"/>
    <w:rsid w:val="002740FA"/>
    <w:rsid w:val="002815E3"/>
    <w:rsid w:val="0028576B"/>
    <w:rsid w:val="002940C3"/>
    <w:rsid w:val="00295FA5"/>
    <w:rsid w:val="002A3E22"/>
    <w:rsid w:val="002A5745"/>
    <w:rsid w:val="002A652B"/>
    <w:rsid w:val="002A6619"/>
    <w:rsid w:val="002A7FAC"/>
    <w:rsid w:val="002B1139"/>
    <w:rsid w:val="002B1CA4"/>
    <w:rsid w:val="002B304E"/>
    <w:rsid w:val="002B4B10"/>
    <w:rsid w:val="002B7415"/>
    <w:rsid w:val="002C0CF9"/>
    <w:rsid w:val="002C3B33"/>
    <w:rsid w:val="002D3335"/>
    <w:rsid w:val="002D423B"/>
    <w:rsid w:val="002E192B"/>
    <w:rsid w:val="002E2E58"/>
    <w:rsid w:val="002E6CB4"/>
    <w:rsid w:val="002F0DBA"/>
    <w:rsid w:val="002F5424"/>
    <w:rsid w:val="002F5920"/>
    <w:rsid w:val="00304DE6"/>
    <w:rsid w:val="0030583E"/>
    <w:rsid w:val="00307F54"/>
    <w:rsid w:val="00312371"/>
    <w:rsid w:val="0031498D"/>
    <w:rsid w:val="00322284"/>
    <w:rsid w:val="00340F86"/>
    <w:rsid w:val="0034240E"/>
    <w:rsid w:val="00343D7A"/>
    <w:rsid w:val="0034708E"/>
    <w:rsid w:val="0035168F"/>
    <w:rsid w:val="003522D7"/>
    <w:rsid w:val="00353DCB"/>
    <w:rsid w:val="0035565E"/>
    <w:rsid w:val="00361B9F"/>
    <w:rsid w:val="00365D5F"/>
    <w:rsid w:val="003702E7"/>
    <w:rsid w:val="00371BC9"/>
    <w:rsid w:val="00382DB1"/>
    <w:rsid w:val="00384796"/>
    <w:rsid w:val="00392274"/>
    <w:rsid w:val="003953C8"/>
    <w:rsid w:val="00397E28"/>
    <w:rsid w:val="003A3065"/>
    <w:rsid w:val="003B0E94"/>
    <w:rsid w:val="003B4AA4"/>
    <w:rsid w:val="003B7731"/>
    <w:rsid w:val="003C724E"/>
    <w:rsid w:val="003D58FF"/>
    <w:rsid w:val="003E5908"/>
    <w:rsid w:val="003F0B94"/>
    <w:rsid w:val="003F0CCE"/>
    <w:rsid w:val="003F11D8"/>
    <w:rsid w:val="003F225D"/>
    <w:rsid w:val="003F647A"/>
    <w:rsid w:val="00404655"/>
    <w:rsid w:val="0041210C"/>
    <w:rsid w:val="00414CFE"/>
    <w:rsid w:val="00427B79"/>
    <w:rsid w:val="00430501"/>
    <w:rsid w:val="00436A44"/>
    <w:rsid w:val="00444ED9"/>
    <w:rsid w:val="00445C83"/>
    <w:rsid w:val="00447350"/>
    <w:rsid w:val="00451AE6"/>
    <w:rsid w:val="00455CC8"/>
    <w:rsid w:val="00455E79"/>
    <w:rsid w:val="0046333F"/>
    <w:rsid w:val="00464BAF"/>
    <w:rsid w:val="00464CD9"/>
    <w:rsid w:val="004763D2"/>
    <w:rsid w:val="004805F6"/>
    <w:rsid w:val="0048271A"/>
    <w:rsid w:val="004934D3"/>
    <w:rsid w:val="00493BFB"/>
    <w:rsid w:val="00494B8B"/>
    <w:rsid w:val="00496217"/>
    <w:rsid w:val="00497455"/>
    <w:rsid w:val="004A0EC8"/>
    <w:rsid w:val="004A1A05"/>
    <w:rsid w:val="004A24BE"/>
    <w:rsid w:val="004A2BDC"/>
    <w:rsid w:val="004B7B03"/>
    <w:rsid w:val="004D7D35"/>
    <w:rsid w:val="004E43B5"/>
    <w:rsid w:val="004E5697"/>
    <w:rsid w:val="004E5743"/>
    <w:rsid w:val="004E6CF4"/>
    <w:rsid w:val="004E73B6"/>
    <w:rsid w:val="004F1E4F"/>
    <w:rsid w:val="004F3856"/>
    <w:rsid w:val="005047A3"/>
    <w:rsid w:val="00511276"/>
    <w:rsid w:val="00512EAE"/>
    <w:rsid w:val="0051465B"/>
    <w:rsid w:val="00515150"/>
    <w:rsid w:val="00515604"/>
    <w:rsid w:val="00516C8B"/>
    <w:rsid w:val="0052030E"/>
    <w:rsid w:val="005228BA"/>
    <w:rsid w:val="00524848"/>
    <w:rsid w:val="00533EB5"/>
    <w:rsid w:val="00534F5D"/>
    <w:rsid w:val="005430E2"/>
    <w:rsid w:val="00551F73"/>
    <w:rsid w:val="005554E0"/>
    <w:rsid w:val="00557534"/>
    <w:rsid w:val="0056308E"/>
    <w:rsid w:val="00571666"/>
    <w:rsid w:val="00574963"/>
    <w:rsid w:val="0057672E"/>
    <w:rsid w:val="00577518"/>
    <w:rsid w:val="00580DD9"/>
    <w:rsid w:val="00587536"/>
    <w:rsid w:val="0059178C"/>
    <w:rsid w:val="00593F45"/>
    <w:rsid w:val="0059605D"/>
    <w:rsid w:val="005A236E"/>
    <w:rsid w:val="005A4085"/>
    <w:rsid w:val="005C1013"/>
    <w:rsid w:val="005C4061"/>
    <w:rsid w:val="005C6304"/>
    <w:rsid w:val="005D4AEE"/>
    <w:rsid w:val="005E2C61"/>
    <w:rsid w:val="005E3535"/>
    <w:rsid w:val="005E64E2"/>
    <w:rsid w:val="005E6EA1"/>
    <w:rsid w:val="005F1A34"/>
    <w:rsid w:val="005F374F"/>
    <w:rsid w:val="005F4BB7"/>
    <w:rsid w:val="005F5110"/>
    <w:rsid w:val="00612EA8"/>
    <w:rsid w:val="00612EAC"/>
    <w:rsid w:val="00614108"/>
    <w:rsid w:val="00621486"/>
    <w:rsid w:val="00621E94"/>
    <w:rsid w:val="00624B6B"/>
    <w:rsid w:val="00626989"/>
    <w:rsid w:val="00635070"/>
    <w:rsid w:val="00635D2C"/>
    <w:rsid w:val="006440BC"/>
    <w:rsid w:val="00650412"/>
    <w:rsid w:val="00650E6C"/>
    <w:rsid w:val="00660048"/>
    <w:rsid w:val="0066418C"/>
    <w:rsid w:val="00667070"/>
    <w:rsid w:val="00677033"/>
    <w:rsid w:val="00677FAB"/>
    <w:rsid w:val="00680668"/>
    <w:rsid w:val="00684053"/>
    <w:rsid w:val="00685770"/>
    <w:rsid w:val="00687F85"/>
    <w:rsid w:val="006911A3"/>
    <w:rsid w:val="00691538"/>
    <w:rsid w:val="006921FD"/>
    <w:rsid w:val="00692770"/>
    <w:rsid w:val="00693818"/>
    <w:rsid w:val="00695283"/>
    <w:rsid w:val="00695B29"/>
    <w:rsid w:val="006969AA"/>
    <w:rsid w:val="006B2165"/>
    <w:rsid w:val="006B3C4E"/>
    <w:rsid w:val="006B4566"/>
    <w:rsid w:val="006B511D"/>
    <w:rsid w:val="006C52DA"/>
    <w:rsid w:val="006C5BEF"/>
    <w:rsid w:val="006D11DD"/>
    <w:rsid w:val="006D5D08"/>
    <w:rsid w:val="006D76A5"/>
    <w:rsid w:val="006E2B27"/>
    <w:rsid w:val="006F42A2"/>
    <w:rsid w:val="0070327E"/>
    <w:rsid w:val="007043B6"/>
    <w:rsid w:val="00704427"/>
    <w:rsid w:val="00706269"/>
    <w:rsid w:val="00706FA4"/>
    <w:rsid w:val="007168DA"/>
    <w:rsid w:val="00730939"/>
    <w:rsid w:val="00732191"/>
    <w:rsid w:val="00734DF0"/>
    <w:rsid w:val="007354DE"/>
    <w:rsid w:val="007377B9"/>
    <w:rsid w:val="00743241"/>
    <w:rsid w:val="0074386E"/>
    <w:rsid w:val="00744948"/>
    <w:rsid w:val="00744ADB"/>
    <w:rsid w:val="00745FCC"/>
    <w:rsid w:val="00746788"/>
    <w:rsid w:val="0075560E"/>
    <w:rsid w:val="00761C0D"/>
    <w:rsid w:val="00761FD8"/>
    <w:rsid w:val="00765216"/>
    <w:rsid w:val="0076527F"/>
    <w:rsid w:val="007732FB"/>
    <w:rsid w:val="00785934"/>
    <w:rsid w:val="007908D8"/>
    <w:rsid w:val="0079426D"/>
    <w:rsid w:val="007970CA"/>
    <w:rsid w:val="007A1BB8"/>
    <w:rsid w:val="007A39BF"/>
    <w:rsid w:val="007A49D1"/>
    <w:rsid w:val="007B0494"/>
    <w:rsid w:val="007B1797"/>
    <w:rsid w:val="007B204F"/>
    <w:rsid w:val="007B2CFA"/>
    <w:rsid w:val="007C1CDE"/>
    <w:rsid w:val="007C3058"/>
    <w:rsid w:val="007C43E3"/>
    <w:rsid w:val="007C49EA"/>
    <w:rsid w:val="007D1E2A"/>
    <w:rsid w:val="007D2A0B"/>
    <w:rsid w:val="007D4824"/>
    <w:rsid w:val="007E361A"/>
    <w:rsid w:val="007E4C34"/>
    <w:rsid w:val="007F1336"/>
    <w:rsid w:val="007F1952"/>
    <w:rsid w:val="007F6B05"/>
    <w:rsid w:val="007F76FC"/>
    <w:rsid w:val="00805326"/>
    <w:rsid w:val="00807485"/>
    <w:rsid w:val="00812829"/>
    <w:rsid w:val="008149ED"/>
    <w:rsid w:val="008155ED"/>
    <w:rsid w:val="0083535C"/>
    <w:rsid w:val="00835DE2"/>
    <w:rsid w:val="00841975"/>
    <w:rsid w:val="008475F9"/>
    <w:rsid w:val="00851131"/>
    <w:rsid w:val="00852B66"/>
    <w:rsid w:val="0085624D"/>
    <w:rsid w:val="00857F39"/>
    <w:rsid w:val="00860387"/>
    <w:rsid w:val="008631FF"/>
    <w:rsid w:val="00863327"/>
    <w:rsid w:val="00864FE1"/>
    <w:rsid w:val="008654C8"/>
    <w:rsid w:val="00865CED"/>
    <w:rsid w:val="00871B35"/>
    <w:rsid w:val="0087507C"/>
    <w:rsid w:val="008766F6"/>
    <w:rsid w:val="008879E2"/>
    <w:rsid w:val="0089109B"/>
    <w:rsid w:val="00892EC3"/>
    <w:rsid w:val="008A1548"/>
    <w:rsid w:val="008A3314"/>
    <w:rsid w:val="008C238A"/>
    <w:rsid w:val="008C5249"/>
    <w:rsid w:val="008D3286"/>
    <w:rsid w:val="008D7D49"/>
    <w:rsid w:val="008E2FBF"/>
    <w:rsid w:val="008E3C0E"/>
    <w:rsid w:val="008E522C"/>
    <w:rsid w:val="008E7AF1"/>
    <w:rsid w:val="008F1629"/>
    <w:rsid w:val="009021F4"/>
    <w:rsid w:val="00906C60"/>
    <w:rsid w:val="009130E4"/>
    <w:rsid w:val="00915D96"/>
    <w:rsid w:val="009214A8"/>
    <w:rsid w:val="00925D03"/>
    <w:rsid w:val="00936BD1"/>
    <w:rsid w:val="00944BF2"/>
    <w:rsid w:val="00945E0B"/>
    <w:rsid w:val="00950CD1"/>
    <w:rsid w:val="00954EE3"/>
    <w:rsid w:val="009573EC"/>
    <w:rsid w:val="0096124E"/>
    <w:rsid w:val="00967E09"/>
    <w:rsid w:val="00986A1E"/>
    <w:rsid w:val="00986D75"/>
    <w:rsid w:val="00987FB6"/>
    <w:rsid w:val="0099019E"/>
    <w:rsid w:val="009902BA"/>
    <w:rsid w:val="00992AA0"/>
    <w:rsid w:val="009B0AF0"/>
    <w:rsid w:val="009B4D5F"/>
    <w:rsid w:val="009B5FE4"/>
    <w:rsid w:val="009C24DF"/>
    <w:rsid w:val="009C7140"/>
    <w:rsid w:val="009E2333"/>
    <w:rsid w:val="009E2B4A"/>
    <w:rsid w:val="009F32B9"/>
    <w:rsid w:val="009F5E2C"/>
    <w:rsid w:val="00A01806"/>
    <w:rsid w:val="00A03211"/>
    <w:rsid w:val="00A05864"/>
    <w:rsid w:val="00A05C99"/>
    <w:rsid w:val="00A12590"/>
    <w:rsid w:val="00A20194"/>
    <w:rsid w:val="00A207F4"/>
    <w:rsid w:val="00A25570"/>
    <w:rsid w:val="00A374D2"/>
    <w:rsid w:val="00A37962"/>
    <w:rsid w:val="00A40C99"/>
    <w:rsid w:val="00A46709"/>
    <w:rsid w:val="00A5212B"/>
    <w:rsid w:val="00A52712"/>
    <w:rsid w:val="00A6254A"/>
    <w:rsid w:val="00A62699"/>
    <w:rsid w:val="00A63209"/>
    <w:rsid w:val="00A67FA5"/>
    <w:rsid w:val="00A70FE3"/>
    <w:rsid w:val="00A75095"/>
    <w:rsid w:val="00A7681B"/>
    <w:rsid w:val="00A7726B"/>
    <w:rsid w:val="00A81336"/>
    <w:rsid w:val="00A82069"/>
    <w:rsid w:val="00A8344F"/>
    <w:rsid w:val="00A83D55"/>
    <w:rsid w:val="00A85361"/>
    <w:rsid w:val="00A927EE"/>
    <w:rsid w:val="00A944E4"/>
    <w:rsid w:val="00A9524B"/>
    <w:rsid w:val="00AA5A04"/>
    <w:rsid w:val="00AA75D4"/>
    <w:rsid w:val="00AB1C60"/>
    <w:rsid w:val="00AB2A17"/>
    <w:rsid w:val="00AB39BF"/>
    <w:rsid w:val="00AB6AED"/>
    <w:rsid w:val="00AC3D2C"/>
    <w:rsid w:val="00AC4702"/>
    <w:rsid w:val="00AC536F"/>
    <w:rsid w:val="00AC73D9"/>
    <w:rsid w:val="00AD153B"/>
    <w:rsid w:val="00AD2082"/>
    <w:rsid w:val="00AD47AE"/>
    <w:rsid w:val="00AE2404"/>
    <w:rsid w:val="00AF31F6"/>
    <w:rsid w:val="00B023B8"/>
    <w:rsid w:val="00B15E7C"/>
    <w:rsid w:val="00B1728D"/>
    <w:rsid w:val="00B17FED"/>
    <w:rsid w:val="00B21378"/>
    <w:rsid w:val="00B268C2"/>
    <w:rsid w:val="00B34968"/>
    <w:rsid w:val="00B37CE5"/>
    <w:rsid w:val="00B469BF"/>
    <w:rsid w:val="00B50970"/>
    <w:rsid w:val="00B527C0"/>
    <w:rsid w:val="00B53D04"/>
    <w:rsid w:val="00B61594"/>
    <w:rsid w:val="00B635AF"/>
    <w:rsid w:val="00B63872"/>
    <w:rsid w:val="00B66FD7"/>
    <w:rsid w:val="00B7104A"/>
    <w:rsid w:val="00B72B84"/>
    <w:rsid w:val="00B73707"/>
    <w:rsid w:val="00B802CD"/>
    <w:rsid w:val="00B93699"/>
    <w:rsid w:val="00B9592A"/>
    <w:rsid w:val="00B97E4F"/>
    <w:rsid w:val="00BA1482"/>
    <w:rsid w:val="00BA66C5"/>
    <w:rsid w:val="00BB29D3"/>
    <w:rsid w:val="00BB572C"/>
    <w:rsid w:val="00BC2947"/>
    <w:rsid w:val="00BC53C2"/>
    <w:rsid w:val="00BC7673"/>
    <w:rsid w:val="00BD1134"/>
    <w:rsid w:val="00BD1C64"/>
    <w:rsid w:val="00BD5C08"/>
    <w:rsid w:val="00BD6C15"/>
    <w:rsid w:val="00BE1D1B"/>
    <w:rsid w:val="00BE2A59"/>
    <w:rsid w:val="00BE4CF0"/>
    <w:rsid w:val="00BE5ACC"/>
    <w:rsid w:val="00BE74FD"/>
    <w:rsid w:val="00C00819"/>
    <w:rsid w:val="00C06A28"/>
    <w:rsid w:val="00C1485D"/>
    <w:rsid w:val="00C14D37"/>
    <w:rsid w:val="00C1547F"/>
    <w:rsid w:val="00C234D9"/>
    <w:rsid w:val="00C27215"/>
    <w:rsid w:val="00C377DD"/>
    <w:rsid w:val="00C5212D"/>
    <w:rsid w:val="00C56D7F"/>
    <w:rsid w:val="00C62FA9"/>
    <w:rsid w:val="00C63D0A"/>
    <w:rsid w:val="00C655E6"/>
    <w:rsid w:val="00C70023"/>
    <w:rsid w:val="00C70B59"/>
    <w:rsid w:val="00C73A41"/>
    <w:rsid w:val="00C7551C"/>
    <w:rsid w:val="00C8210D"/>
    <w:rsid w:val="00C846DE"/>
    <w:rsid w:val="00C93E3D"/>
    <w:rsid w:val="00C974A6"/>
    <w:rsid w:val="00CA297F"/>
    <w:rsid w:val="00CB0975"/>
    <w:rsid w:val="00CC7F9B"/>
    <w:rsid w:val="00CD190F"/>
    <w:rsid w:val="00CD2695"/>
    <w:rsid w:val="00CD4D5C"/>
    <w:rsid w:val="00CD5B80"/>
    <w:rsid w:val="00CE337D"/>
    <w:rsid w:val="00D1285C"/>
    <w:rsid w:val="00D15B39"/>
    <w:rsid w:val="00D1782C"/>
    <w:rsid w:val="00D26D41"/>
    <w:rsid w:val="00D272A9"/>
    <w:rsid w:val="00D31131"/>
    <w:rsid w:val="00D356E3"/>
    <w:rsid w:val="00D42668"/>
    <w:rsid w:val="00D456B8"/>
    <w:rsid w:val="00D4741E"/>
    <w:rsid w:val="00D50EC3"/>
    <w:rsid w:val="00D53502"/>
    <w:rsid w:val="00D57320"/>
    <w:rsid w:val="00D6565D"/>
    <w:rsid w:val="00D67F0F"/>
    <w:rsid w:val="00D7187D"/>
    <w:rsid w:val="00D73B50"/>
    <w:rsid w:val="00D74A5F"/>
    <w:rsid w:val="00D75B80"/>
    <w:rsid w:val="00D807F5"/>
    <w:rsid w:val="00D81E54"/>
    <w:rsid w:val="00D8338E"/>
    <w:rsid w:val="00D85177"/>
    <w:rsid w:val="00D856BE"/>
    <w:rsid w:val="00D91D66"/>
    <w:rsid w:val="00D961B4"/>
    <w:rsid w:val="00DB22CD"/>
    <w:rsid w:val="00DB3F94"/>
    <w:rsid w:val="00DB7A42"/>
    <w:rsid w:val="00DB7A57"/>
    <w:rsid w:val="00DC0B6B"/>
    <w:rsid w:val="00DC3D9C"/>
    <w:rsid w:val="00DD66AA"/>
    <w:rsid w:val="00DE4A0A"/>
    <w:rsid w:val="00DF7F07"/>
    <w:rsid w:val="00E0019B"/>
    <w:rsid w:val="00E0226D"/>
    <w:rsid w:val="00E114A6"/>
    <w:rsid w:val="00E16403"/>
    <w:rsid w:val="00E169F4"/>
    <w:rsid w:val="00E16BC5"/>
    <w:rsid w:val="00E21D9A"/>
    <w:rsid w:val="00E30711"/>
    <w:rsid w:val="00E30CE7"/>
    <w:rsid w:val="00E34B55"/>
    <w:rsid w:val="00E34EB7"/>
    <w:rsid w:val="00E361E5"/>
    <w:rsid w:val="00E409EF"/>
    <w:rsid w:val="00E43F15"/>
    <w:rsid w:val="00E462F5"/>
    <w:rsid w:val="00E5118E"/>
    <w:rsid w:val="00E52CA2"/>
    <w:rsid w:val="00E56ED7"/>
    <w:rsid w:val="00E63A8B"/>
    <w:rsid w:val="00E71FC9"/>
    <w:rsid w:val="00E746B7"/>
    <w:rsid w:val="00E75348"/>
    <w:rsid w:val="00E77FAD"/>
    <w:rsid w:val="00E80FE9"/>
    <w:rsid w:val="00E80FF1"/>
    <w:rsid w:val="00E833C7"/>
    <w:rsid w:val="00E86C95"/>
    <w:rsid w:val="00E919B9"/>
    <w:rsid w:val="00E93594"/>
    <w:rsid w:val="00EA0A2A"/>
    <w:rsid w:val="00EA3141"/>
    <w:rsid w:val="00EC5A75"/>
    <w:rsid w:val="00EC7C09"/>
    <w:rsid w:val="00EE0A55"/>
    <w:rsid w:val="00EF3ECA"/>
    <w:rsid w:val="00EF5CE6"/>
    <w:rsid w:val="00F00A04"/>
    <w:rsid w:val="00F06515"/>
    <w:rsid w:val="00F06AF8"/>
    <w:rsid w:val="00F218EC"/>
    <w:rsid w:val="00F238BA"/>
    <w:rsid w:val="00F25840"/>
    <w:rsid w:val="00F25E6B"/>
    <w:rsid w:val="00F3002A"/>
    <w:rsid w:val="00F32C52"/>
    <w:rsid w:val="00F3473E"/>
    <w:rsid w:val="00F3502D"/>
    <w:rsid w:val="00F3542C"/>
    <w:rsid w:val="00F364CF"/>
    <w:rsid w:val="00F55436"/>
    <w:rsid w:val="00F55572"/>
    <w:rsid w:val="00F5773F"/>
    <w:rsid w:val="00F70B3A"/>
    <w:rsid w:val="00F76E32"/>
    <w:rsid w:val="00F837F2"/>
    <w:rsid w:val="00F878C5"/>
    <w:rsid w:val="00F9531A"/>
    <w:rsid w:val="00F960AA"/>
    <w:rsid w:val="00FA0313"/>
    <w:rsid w:val="00FA285B"/>
    <w:rsid w:val="00FA5674"/>
    <w:rsid w:val="00FA5C7C"/>
    <w:rsid w:val="00FA6729"/>
    <w:rsid w:val="00FA724C"/>
    <w:rsid w:val="00FB08F7"/>
    <w:rsid w:val="00FB7A43"/>
    <w:rsid w:val="00FC18AF"/>
    <w:rsid w:val="00FC4C1C"/>
    <w:rsid w:val="00FC7633"/>
    <w:rsid w:val="00FC776D"/>
    <w:rsid w:val="00FD1AC7"/>
    <w:rsid w:val="00FD3731"/>
    <w:rsid w:val="00FD3AED"/>
    <w:rsid w:val="00FE07A3"/>
    <w:rsid w:val="00FE1A35"/>
    <w:rsid w:val="00FE5EF1"/>
    <w:rsid w:val="00FE76F9"/>
    <w:rsid w:val="00FF56E6"/>
    <w:rsid w:val="00FF64A6"/>
    <w:rsid w:val="00FF6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5554E"/>
  <w15:docId w15:val="{3EDBFC4A-68C8-4BB6-BF04-1A4CCDD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9">
    <w:name w:val="heading 9"/>
    <w:basedOn w:val="Normal"/>
    <w:next w:val="Normal"/>
    <w:link w:val="Heading9Char"/>
    <w:uiPriority w:val="9"/>
    <w:semiHidden/>
    <w:unhideWhenUsed/>
    <w:qFormat/>
    <w:rsid w:val="00F3473E"/>
    <w:pPr>
      <w:widowControl/>
      <w:spacing w:before="300"/>
      <w:outlineLvl w:val="8"/>
    </w:pPr>
    <w:rPr>
      <w:rFonts w:asciiTheme="minorHAnsi" w:eastAsiaTheme="minorEastAsia" w:hAnsiTheme="minorHAnsi" w:cstheme="minorBidi"/>
      <w:i/>
      <w:caps/>
      <w:snapToGrid/>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customStyle="1" w:styleId="Table">
    <w:name w:val="Table"/>
    <w:basedOn w:val="Normal"/>
    <w:qFormat/>
    <w:rsid w:val="00B023B8"/>
    <w:pPr>
      <w:widowControl/>
      <w:spacing w:before="80" w:after="80"/>
    </w:pPr>
    <w:rPr>
      <w:rFonts w:asciiTheme="minorHAnsi" w:eastAsiaTheme="minorEastAsia" w:hAnsiTheme="minorHAnsi" w:cstheme="minorBidi"/>
      <w:snapToGrid/>
      <w:sz w:val="18"/>
      <w:lang w:bidi="en-US"/>
    </w:rPr>
  </w:style>
  <w:style w:type="paragraph" w:styleId="BodyText2">
    <w:name w:val="Body Text 2"/>
    <w:basedOn w:val="Normal"/>
    <w:link w:val="BodyText2Char"/>
    <w:rsid w:val="00B023B8"/>
    <w:pPr>
      <w:widowControl/>
    </w:pPr>
    <w:rPr>
      <w:snapToGrid/>
    </w:rPr>
  </w:style>
  <w:style w:type="character" w:customStyle="1" w:styleId="BodyText2Char">
    <w:name w:val="Body Text 2 Char"/>
    <w:basedOn w:val="DefaultParagraphFont"/>
    <w:link w:val="BodyText2"/>
    <w:rsid w:val="00B023B8"/>
    <w:rPr>
      <w:sz w:val="24"/>
    </w:rPr>
  </w:style>
  <w:style w:type="paragraph" w:customStyle="1" w:styleId="Default">
    <w:name w:val="Default"/>
    <w:rsid w:val="00B023B8"/>
    <w:pPr>
      <w:autoSpaceDE w:val="0"/>
      <w:autoSpaceDN w:val="0"/>
      <w:adjustRightInd w:val="0"/>
    </w:pPr>
    <w:rPr>
      <w:color w:val="000000"/>
      <w:sz w:val="24"/>
      <w:szCs w:val="24"/>
    </w:rPr>
  </w:style>
  <w:style w:type="paragraph" w:styleId="FootnoteText">
    <w:name w:val="footnote text"/>
    <w:basedOn w:val="Normal"/>
    <w:link w:val="FootnoteTextChar"/>
    <w:rsid w:val="00B023B8"/>
    <w:pPr>
      <w:widowControl/>
    </w:pPr>
    <w:rPr>
      <w:snapToGrid/>
      <w:sz w:val="18"/>
    </w:rPr>
  </w:style>
  <w:style w:type="character" w:customStyle="1" w:styleId="FootnoteTextChar">
    <w:name w:val="Footnote Text Char"/>
    <w:basedOn w:val="DefaultParagraphFont"/>
    <w:link w:val="FootnoteText"/>
    <w:rsid w:val="00B023B8"/>
    <w:rPr>
      <w:sz w:val="18"/>
    </w:rPr>
  </w:style>
  <w:style w:type="character" w:styleId="Hyperlink">
    <w:name w:val="Hyperlink"/>
    <w:basedOn w:val="DefaultParagraphFont"/>
    <w:unhideWhenUsed/>
    <w:rsid w:val="00B023B8"/>
    <w:rPr>
      <w:color w:val="0000FF"/>
      <w:u w:val="single"/>
    </w:rPr>
  </w:style>
  <w:style w:type="paragraph" w:styleId="ListParagraph">
    <w:name w:val="List Paragraph"/>
    <w:basedOn w:val="Normal"/>
    <w:link w:val="ListParagraphChar"/>
    <w:uiPriority w:val="34"/>
    <w:qFormat/>
    <w:rsid w:val="00B023B8"/>
    <w:pPr>
      <w:ind w:left="720"/>
    </w:pPr>
  </w:style>
  <w:style w:type="character" w:customStyle="1" w:styleId="ListParagraphChar">
    <w:name w:val="List Paragraph Char"/>
    <w:basedOn w:val="DefaultParagraphFont"/>
    <w:link w:val="ListParagraph"/>
    <w:uiPriority w:val="34"/>
    <w:rsid w:val="00B023B8"/>
    <w:rPr>
      <w:snapToGrid w:val="0"/>
      <w:sz w:val="24"/>
    </w:rPr>
  </w:style>
  <w:style w:type="paragraph" w:styleId="BodyTextIndent3">
    <w:name w:val="Body Text Indent 3"/>
    <w:basedOn w:val="Normal"/>
    <w:link w:val="BodyTextIndent3Char"/>
    <w:semiHidden/>
    <w:unhideWhenUsed/>
    <w:rsid w:val="00D67F0F"/>
    <w:pPr>
      <w:spacing w:after="120"/>
      <w:ind w:left="360"/>
    </w:pPr>
    <w:rPr>
      <w:sz w:val="16"/>
      <w:szCs w:val="16"/>
    </w:rPr>
  </w:style>
  <w:style w:type="character" w:customStyle="1" w:styleId="BodyTextIndent3Char">
    <w:name w:val="Body Text Indent 3 Char"/>
    <w:basedOn w:val="DefaultParagraphFont"/>
    <w:link w:val="BodyTextIndent3"/>
    <w:semiHidden/>
    <w:rsid w:val="00D67F0F"/>
    <w:rPr>
      <w:snapToGrid w:val="0"/>
      <w:sz w:val="16"/>
      <w:szCs w:val="16"/>
    </w:rPr>
  </w:style>
  <w:style w:type="character" w:styleId="CommentReference">
    <w:name w:val="annotation reference"/>
    <w:basedOn w:val="DefaultParagraphFont"/>
    <w:uiPriority w:val="99"/>
    <w:semiHidden/>
    <w:unhideWhenUsed/>
    <w:rsid w:val="00A374D2"/>
    <w:rPr>
      <w:sz w:val="16"/>
      <w:szCs w:val="16"/>
    </w:rPr>
  </w:style>
  <w:style w:type="paragraph" w:styleId="CommentText">
    <w:name w:val="annotation text"/>
    <w:basedOn w:val="Normal"/>
    <w:link w:val="CommentTextChar"/>
    <w:uiPriority w:val="99"/>
    <w:unhideWhenUsed/>
    <w:rsid w:val="00A374D2"/>
    <w:rPr>
      <w:sz w:val="20"/>
    </w:rPr>
  </w:style>
  <w:style w:type="character" w:customStyle="1" w:styleId="CommentTextChar">
    <w:name w:val="Comment Text Char"/>
    <w:basedOn w:val="DefaultParagraphFont"/>
    <w:link w:val="CommentText"/>
    <w:uiPriority w:val="99"/>
    <w:rsid w:val="00A374D2"/>
    <w:rPr>
      <w:snapToGrid w:val="0"/>
    </w:rPr>
  </w:style>
  <w:style w:type="paragraph" w:styleId="CommentSubject">
    <w:name w:val="annotation subject"/>
    <w:basedOn w:val="CommentText"/>
    <w:next w:val="CommentText"/>
    <w:link w:val="CommentSubjectChar"/>
    <w:semiHidden/>
    <w:unhideWhenUsed/>
    <w:rsid w:val="00A374D2"/>
    <w:rPr>
      <w:b/>
      <w:bCs/>
    </w:rPr>
  </w:style>
  <w:style w:type="character" w:customStyle="1" w:styleId="CommentSubjectChar">
    <w:name w:val="Comment Subject Char"/>
    <w:basedOn w:val="CommentTextChar"/>
    <w:link w:val="CommentSubject"/>
    <w:semiHidden/>
    <w:rsid w:val="00A374D2"/>
    <w:rPr>
      <w:b/>
      <w:bCs/>
      <w:snapToGrid w:val="0"/>
    </w:rPr>
  </w:style>
  <w:style w:type="character" w:styleId="FollowedHyperlink">
    <w:name w:val="FollowedHyperlink"/>
    <w:basedOn w:val="DefaultParagraphFont"/>
    <w:semiHidden/>
    <w:unhideWhenUsed/>
    <w:rsid w:val="0066418C"/>
    <w:rPr>
      <w:color w:val="800080" w:themeColor="followedHyperlink"/>
      <w:u w:val="single"/>
    </w:rPr>
  </w:style>
  <w:style w:type="paragraph" w:customStyle="1" w:styleId="TableHeading">
    <w:name w:val="Table Heading"/>
    <w:basedOn w:val="Table"/>
    <w:qFormat/>
    <w:rsid w:val="00A01806"/>
    <w:pPr>
      <w:spacing w:line="276" w:lineRule="auto"/>
    </w:pPr>
    <w:rPr>
      <w:b/>
      <w:sz w:val="22"/>
    </w:rPr>
  </w:style>
  <w:style w:type="table" w:customStyle="1" w:styleId="TableGrid5">
    <w:name w:val="Table Grid5"/>
    <w:basedOn w:val="TableNormal"/>
    <w:next w:val="TableGrid"/>
    <w:uiPriority w:val="59"/>
    <w:rsid w:val="00A01806"/>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1806"/>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F3473E"/>
    <w:rPr>
      <w:rFonts w:asciiTheme="minorHAnsi" w:eastAsiaTheme="minorEastAsia" w:hAnsiTheme="minorHAnsi" w:cstheme="minorBidi"/>
      <w:i/>
      <w:caps/>
      <w:spacing w:val="10"/>
      <w:sz w:val="18"/>
      <w:szCs w:val="18"/>
      <w:lang w:bidi="en-US"/>
    </w:rPr>
  </w:style>
  <w:style w:type="paragraph" w:styleId="BodyText">
    <w:name w:val="Body Text"/>
    <w:basedOn w:val="Normal"/>
    <w:link w:val="BodyTextChar"/>
    <w:unhideWhenUsed/>
    <w:rsid w:val="00AD153B"/>
    <w:pPr>
      <w:spacing w:after="120"/>
    </w:pPr>
  </w:style>
  <w:style w:type="character" w:customStyle="1" w:styleId="BodyTextChar">
    <w:name w:val="Body Text Char"/>
    <w:basedOn w:val="DefaultParagraphFont"/>
    <w:link w:val="BodyText"/>
    <w:rsid w:val="00AD153B"/>
    <w:rPr>
      <w:snapToGrid w:val="0"/>
      <w:sz w:val="24"/>
    </w:rPr>
  </w:style>
  <w:style w:type="paragraph" w:styleId="Revision">
    <w:name w:val="Revision"/>
    <w:hidden/>
    <w:uiPriority w:val="99"/>
    <w:semiHidden/>
    <w:rsid w:val="00CE337D"/>
    <w:rPr>
      <w:snapToGrid w:val="0"/>
      <w:sz w:val="24"/>
    </w:rPr>
  </w:style>
  <w:style w:type="paragraph" w:styleId="Header">
    <w:name w:val="header"/>
    <w:basedOn w:val="Normal"/>
    <w:link w:val="HeaderChar"/>
    <w:unhideWhenUsed/>
    <w:rsid w:val="00371BC9"/>
    <w:pPr>
      <w:tabs>
        <w:tab w:val="center" w:pos="4680"/>
        <w:tab w:val="right" w:pos="9360"/>
      </w:tabs>
    </w:pPr>
  </w:style>
  <w:style w:type="character" w:customStyle="1" w:styleId="HeaderChar">
    <w:name w:val="Header Char"/>
    <w:basedOn w:val="DefaultParagraphFont"/>
    <w:link w:val="Header"/>
    <w:rsid w:val="00371BC9"/>
    <w:rPr>
      <w:snapToGrid w:val="0"/>
      <w:sz w:val="24"/>
    </w:rPr>
  </w:style>
  <w:style w:type="table" w:customStyle="1" w:styleId="TableGrid2">
    <w:name w:val="Table Grid2"/>
    <w:basedOn w:val="TableNormal"/>
    <w:next w:val="TableGrid"/>
    <w:uiPriority w:val="39"/>
    <w:rsid w:val="00FA5674"/>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qFormat/>
    <w:rsid w:val="00464CD9"/>
    <w:pPr>
      <w:widowControl/>
      <w:spacing w:after="120"/>
      <w:ind w:left="720"/>
      <w:jc w:val="both"/>
    </w:pPr>
    <w:rPr>
      <w:rFonts w:ascii="Cambria" w:hAnsi="Cambr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414">
      <w:bodyDiv w:val="1"/>
      <w:marLeft w:val="0"/>
      <w:marRight w:val="0"/>
      <w:marTop w:val="0"/>
      <w:marBottom w:val="0"/>
      <w:divBdr>
        <w:top w:val="none" w:sz="0" w:space="0" w:color="auto"/>
        <w:left w:val="none" w:sz="0" w:space="0" w:color="auto"/>
        <w:bottom w:val="none" w:sz="0" w:space="0" w:color="auto"/>
        <w:right w:val="none" w:sz="0" w:space="0" w:color="auto"/>
      </w:divBdr>
    </w:div>
    <w:div w:id="109515313">
      <w:bodyDiv w:val="1"/>
      <w:marLeft w:val="0"/>
      <w:marRight w:val="0"/>
      <w:marTop w:val="0"/>
      <w:marBottom w:val="0"/>
      <w:divBdr>
        <w:top w:val="none" w:sz="0" w:space="0" w:color="auto"/>
        <w:left w:val="none" w:sz="0" w:space="0" w:color="auto"/>
        <w:bottom w:val="none" w:sz="0" w:space="0" w:color="auto"/>
        <w:right w:val="none" w:sz="0" w:space="0" w:color="auto"/>
      </w:divBdr>
    </w:div>
    <w:div w:id="154496668">
      <w:bodyDiv w:val="1"/>
      <w:marLeft w:val="0"/>
      <w:marRight w:val="0"/>
      <w:marTop w:val="0"/>
      <w:marBottom w:val="0"/>
      <w:divBdr>
        <w:top w:val="none" w:sz="0" w:space="0" w:color="auto"/>
        <w:left w:val="none" w:sz="0" w:space="0" w:color="auto"/>
        <w:bottom w:val="none" w:sz="0" w:space="0" w:color="auto"/>
        <w:right w:val="none" w:sz="0" w:space="0" w:color="auto"/>
      </w:divBdr>
    </w:div>
    <w:div w:id="204149261">
      <w:bodyDiv w:val="1"/>
      <w:marLeft w:val="0"/>
      <w:marRight w:val="0"/>
      <w:marTop w:val="0"/>
      <w:marBottom w:val="0"/>
      <w:divBdr>
        <w:top w:val="none" w:sz="0" w:space="0" w:color="auto"/>
        <w:left w:val="none" w:sz="0" w:space="0" w:color="auto"/>
        <w:bottom w:val="none" w:sz="0" w:space="0" w:color="auto"/>
        <w:right w:val="none" w:sz="0" w:space="0" w:color="auto"/>
      </w:divBdr>
    </w:div>
    <w:div w:id="237638995">
      <w:bodyDiv w:val="1"/>
      <w:marLeft w:val="0"/>
      <w:marRight w:val="0"/>
      <w:marTop w:val="0"/>
      <w:marBottom w:val="0"/>
      <w:divBdr>
        <w:top w:val="none" w:sz="0" w:space="0" w:color="auto"/>
        <w:left w:val="none" w:sz="0" w:space="0" w:color="auto"/>
        <w:bottom w:val="none" w:sz="0" w:space="0" w:color="auto"/>
        <w:right w:val="none" w:sz="0" w:space="0" w:color="auto"/>
      </w:divBdr>
    </w:div>
    <w:div w:id="463274585">
      <w:bodyDiv w:val="1"/>
      <w:marLeft w:val="0"/>
      <w:marRight w:val="0"/>
      <w:marTop w:val="0"/>
      <w:marBottom w:val="0"/>
      <w:divBdr>
        <w:top w:val="none" w:sz="0" w:space="0" w:color="auto"/>
        <w:left w:val="none" w:sz="0" w:space="0" w:color="auto"/>
        <w:bottom w:val="none" w:sz="0" w:space="0" w:color="auto"/>
        <w:right w:val="none" w:sz="0" w:space="0" w:color="auto"/>
      </w:divBdr>
    </w:div>
    <w:div w:id="728651459">
      <w:bodyDiv w:val="1"/>
      <w:marLeft w:val="0"/>
      <w:marRight w:val="0"/>
      <w:marTop w:val="0"/>
      <w:marBottom w:val="0"/>
      <w:divBdr>
        <w:top w:val="none" w:sz="0" w:space="0" w:color="auto"/>
        <w:left w:val="none" w:sz="0" w:space="0" w:color="auto"/>
        <w:bottom w:val="none" w:sz="0" w:space="0" w:color="auto"/>
        <w:right w:val="none" w:sz="0" w:space="0" w:color="auto"/>
      </w:divBdr>
    </w:div>
    <w:div w:id="778793791">
      <w:bodyDiv w:val="1"/>
      <w:marLeft w:val="0"/>
      <w:marRight w:val="0"/>
      <w:marTop w:val="0"/>
      <w:marBottom w:val="0"/>
      <w:divBdr>
        <w:top w:val="none" w:sz="0" w:space="0" w:color="auto"/>
        <w:left w:val="none" w:sz="0" w:space="0" w:color="auto"/>
        <w:bottom w:val="none" w:sz="0" w:space="0" w:color="auto"/>
        <w:right w:val="none" w:sz="0" w:space="0" w:color="auto"/>
      </w:divBdr>
    </w:div>
    <w:div w:id="1294824533">
      <w:bodyDiv w:val="1"/>
      <w:marLeft w:val="0"/>
      <w:marRight w:val="0"/>
      <w:marTop w:val="0"/>
      <w:marBottom w:val="0"/>
      <w:divBdr>
        <w:top w:val="none" w:sz="0" w:space="0" w:color="auto"/>
        <w:left w:val="none" w:sz="0" w:space="0" w:color="auto"/>
        <w:bottom w:val="none" w:sz="0" w:space="0" w:color="auto"/>
        <w:right w:val="none" w:sz="0" w:space="0" w:color="auto"/>
      </w:divBdr>
    </w:div>
    <w:div w:id="1413352622">
      <w:bodyDiv w:val="1"/>
      <w:marLeft w:val="0"/>
      <w:marRight w:val="0"/>
      <w:marTop w:val="0"/>
      <w:marBottom w:val="0"/>
      <w:divBdr>
        <w:top w:val="none" w:sz="0" w:space="0" w:color="auto"/>
        <w:left w:val="none" w:sz="0" w:space="0" w:color="auto"/>
        <w:bottom w:val="none" w:sz="0" w:space="0" w:color="auto"/>
        <w:right w:val="none" w:sz="0" w:space="0" w:color="auto"/>
      </w:divBdr>
    </w:div>
    <w:div w:id="15923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inance/dashboard/" TargetMode="Externa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news/news.aspx?id=780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acct.html?section=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DESE-231-68381</_dlc_DocId>
    <_dlc_DocIdUrl xmlns="733efe1c-5bbe-4968-87dc-d400e65c879f">
      <Url>https://sharepoint.doemass.org/ese/webteam/cps/_layouts/DocIdRedir.aspx?ID=DESE-231-68381</Url>
      <Description>DESE-231-68381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503CE-2D91-4BAF-96C2-8D1941F30822}">
  <ds:schemaRefs>
    <ds:schemaRef ds:uri="http://schemas.microsoft.com/sharepoint/v3/contenttype/forms"/>
  </ds:schemaRefs>
</ds:datastoreItem>
</file>

<file path=customXml/itemProps2.xml><?xml version="1.0" encoding="utf-8"?>
<ds:datastoreItem xmlns:ds="http://schemas.openxmlformats.org/officeDocument/2006/customXml" ds:itemID="{2F01767F-1211-4B28-A6DE-40FD2DE1452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CC55DD4-FA7C-4F7C-AF41-8AC6F4D2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943A5-4D08-45E0-B115-68505EDDB18A}">
  <ds:schemaRefs>
    <ds:schemaRef ds:uri="http://schemas.microsoft.com/sharepoint/events"/>
  </ds:schemaRefs>
</ds:datastoreItem>
</file>

<file path=customXml/itemProps5.xml><?xml version="1.0" encoding="utf-8"?>
<ds:datastoreItem xmlns:ds="http://schemas.openxmlformats.org/officeDocument/2006/customXml" ds:itemID="{5C6348D5-6655-4D2B-9414-1602E833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BESE 2021 February Regular Meeting Item 3b: Memo BGA Renewal Report on Probation, February 12, 2021</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3b: Memo BGA Renewal Report on Probation, February 12, 2021</dc:title>
  <dc:subject/>
  <dc:creator>DESE</dc:creator>
  <cp:keywords/>
  <dc:description/>
  <cp:lastModifiedBy>Zou, Dong (EOE)</cp:lastModifiedBy>
  <cp:revision>7</cp:revision>
  <cp:lastPrinted>2008-03-05T18:17:00Z</cp:lastPrinted>
  <dcterms:created xsi:type="dcterms:W3CDTF">2021-02-10T15:54:00Z</dcterms:created>
  <dcterms:modified xsi:type="dcterms:W3CDTF">2021-02-16T20:33:00Z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