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6D7DE" w14:textId="77777777" w:rsidR="00A9322D" w:rsidRDefault="00A9322D">
      <w:pPr>
        <w:rPr>
          <w:rFonts w:ascii="Times New Roman" w:hAnsi="Times New Roman" w:cs="Times New Roman"/>
          <w:color w:val="444444"/>
        </w:rPr>
      </w:pPr>
      <w:bookmarkStart w:id="0" w:name="_GoBack"/>
      <w:bookmarkEnd w:id="0"/>
    </w:p>
    <w:p w14:paraId="19DE996F" w14:textId="1282076E" w:rsidR="00041F9B" w:rsidRPr="0048304B" w:rsidRDefault="00041F9B" w:rsidP="0048304B">
      <w:pPr>
        <w:pStyle w:val="Heading2"/>
      </w:pPr>
      <w:r w:rsidRPr="0048304B">
        <w:t>Executive Summary</w:t>
      </w:r>
    </w:p>
    <w:p w14:paraId="3E56CA8C" w14:textId="77777777" w:rsidR="00856CAA" w:rsidRPr="00856CAA" w:rsidRDefault="00856CAA" w:rsidP="00856CAA">
      <w:pPr>
        <w:rPr>
          <w:rFonts w:ascii="Times New Roman" w:hAnsi="Times New Roman" w:cs="Times New Roman"/>
        </w:rPr>
      </w:pPr>
      <w:r w:rsidRPr="00856CAA">
        <w:rPr>
          <w:rFonts w:ascii="Times New Roman" w:hAnsi="Times New Roman" w:cs="Times New Roman"/>
        </w:rPr>
        <w:t>This report summarizes a review by the Department of Elementary and Secondary Education (Department) of data on student admissions and waitlists submitted by Massachusetts vocational technical schools and programs. Although statewide, enrollment trends over the last few years have shown vocational schools and programs are comprised of student populations that generally reflect the communities in their sending districts, the Department’s waitlist review found two kinds of gaps: “awareness gaps” and “opportunity gaps.”  </w:t>
      </w:r>
    </w:p>
    <w:p w14:paraId="22A5344E" w14:textId="25178DA6" w:rsidR="00856CAA" w:rsidRPr="00856CAA" w:rsidRDefault="00856CAA" w:rsidP="00856CAA">
      <w:pPr>
        <w:rPr>
          <w:rFonts w:ascii="Times New Roman" w:hAnsi="Times New Roman" w:cs="Times New Roman"/>
        </w:rPr>
      </w:pPr>
      <w:r w:rsidRPr="00856CAA">
        <w:rPr>
          <w:rFonts w:ascii="Times New Roman" w:hAnsi="Times New Roman" w:cs="Times New Roman"/>
        </w:rPr>
        <w:t>Awareness gaps occurred where vocational schools received fewer applications from students who might otherwise be expected to apply</w:t>
      </w:r>
      <w:r w:rsidR="00261D30">
        <w:rPr>
          <w:rFonts w:ascii="Times New Roman" w:hAnsi="Times New Roman" w:cs="Times New Roman"/>
        </w:rPr>
        <w:t xml:space="preserve">, </w:t>
      </w:r>
      <w:r w:rsidR="00261D30" w:rsidRPr="00261D30">
        <w:rPr>
          <w:rFonts w:ascii="Times New Roman" w:hAnsi="Times New Roman" w:cs="Times New Roman"/>
        </w:rPr>
        <w:t>based on their representation in sending communities</w:t>
      </w:r>
      <w:r w:rsidRPr="00856CAA">
        <w:rPr>
          <w:rFonts w:ascii="Times New Roman" w:hAnsi="Times New Roman" w:cs="Times New Roman"/>
        </w:rPr>
        <w:t xml:space="preserve">. The Department observed awareness gaps for students of color, English Learners, and students whose first language is not English in several Massachusetts vocational schools and programs.  By contrast, opportunity gaps occurred where vocational schools admitted fewer students than </w:t>
      </w:r>
      <w:r w:rsidR="00261D30">
        <w:rPr>
          <w:rFonts w:ascii="Times New Roman" w:hAnsi="Times New Roman" w:cs="Times New Roman"/>
        </w:rPr>
        <w:t xml:space="preserve">might otherwise be </w:t>
      </w:r>
      <w:r w:rsidRPr="00856CAA">
        <w:rPr>
          <w:rFonts w:ascii="Times New Roman" w:hAnsi="Times New Roman" w:cs="Times New Roman"/>
        </w:rPr>
        <w:t>expected from populations present in their sending communities.  The Department observed opportunity gaps in data submitted for students of color, economically-disadvantaged students, students with disabilities, English Learners, and students whose first language is not English in several Massachusetts vocational schools and programs.  </w:t>
      </w:r>
    </w:p>
    <w:p w14:paraId="36D446D7" w14:textId="2AD5DF5E" w:rsidR="00856CAA" w:rsidRPr="00856CAA" w:rsidRDefault="00856CAA" w:rsidP="00856CAA">
      <w:pPr>
        <w:rPr>
          <w:rFonts w:ascii="Times New Roman" w:hAnsi="Times New Roman" w:cs="Times New Roman"/>
        </w:rPr>
      </w:pPr>
      <w:r w:rsidRPr="00856CAA">
        <w:rPr>
          <w:rFonts w:ascii="Times New Roman" w:hAnsi="Times New Roman" w:cs="Times New Roman"/>
        </w:rPr>
        <w:t>It is important to reco</w:t>
      </w:r>
      <w:r w:rsidR="00A9654B">
        <w:rPr>
          <w:rFonts w:ascii="Times New Roman" w:hAnsi="Times New Roman" w:cs="Times New Roman"/>
        </w:rPr>
        <w:t>g</w:t>
      </w:r>
      <w:r w:rsidRPr="00856CAA">
        <w:rPr>
          <w:rFonts w:ascii="Times New Roman" w:hAnsi="Times New Roman" w:cs="Times New Roman"/>
        </w:rPr>
        <w:t xml:space="preserve">nize this waitlist data collection is the first of its kind, limited to one school year, and may be impacted by the effects of COVID-19.  However, the Department believes that there is room for improvement in the ways that </w:t>
      </w:r>
      <w:r w:rsidR="00A9654B">
        <w:rPr>
          <w:rFonts w:ascii="Times New Roman" w:hAnsi="Times New Roman" w:cs="Times New Roman"/>
        </w:rPr>
        <w:t xml:space="preserve">some </w:t>
      </w:r>
      <w:r w:rsidRPr="00856CAA">
        <w:rPr>
          <w:rFonts w:ascii="Times New Roman" w:hAnsi="Times New Roman" w:cs="Times New Roman"/>
        </w:rPr>
        <w:t>vocational schools and programs – particularly in Gateway Cities - attract, admit, and retain students from their communities. </w:t>
      </w:r>
    </w:p>
    <w:p w14:paraId="78FA7AED" w14:textId="66AAF53D" w:rsidR="00856CAA" w:rsidRPr="00856CAA" w:rsidRDefault="00856CAA">
      <w:pPr>
        <w:rPr>
          <w:rFonts w:ascii="Times New Roman" w:hAnsi="Times New Roman" w:cs="Times New Roman"/>
        </w:rPr>
      </w:pPr>
      <w:r w:rsidRPr="00856CAA">
        <w:rPr>
          <w:rFonts w:ascii="Times New Roman" w:hAnsi="Times New Roman" w:cs="Times New Roman"/>
        </w:rPr>
        <w:t>The Department has already begun engaging with these schools and programs</w:t>
      </w:r>
      <w:r w:rsidR="00261D30">
        <w:rPr>
          <w:rFonts w:ascii="Times New Roman" w:hAnsi="Times New Roman" w:cs="Times New Roman"/>
        </w:rPr>
        <w:t>, and their sending communities,</w:t>
      </w:r>
      <w:r w:rsidRPr="00856CAA">
        <w:rPr>
          <w:rFonts w:ascii="Times New Roman" w:hAnsi="Times New Roman" w:cs="Times New Roman"/>
        </w:rPr>
        <w:t xml:space="preserve"> to collaborate to improve </w:t>
      </w:r>
      <w:r w:rsidR="00E353FB">
        <w:rPr>
          <w:rFonts w:ascii="Times New Roman" w:hAnsi="Times New Roman" w:cs="Times New Roman"/>
        </w:rPr>
        <w:t>both these</w:t>
      </w:r>
      <w:r w:rsidR="00E353FB" w:rsidRPr="00856CAA">
        <w:rPr>
          <w:rFonts w:ascii="Times New Roman" w:hAnsi="Times New Roman" w:cs="Times New Roman"/>
        </w:rPr>
        <w:t xml:space="preserve"> </w:t>
      </w:r>
      <w:r w:rsidRPr="00856CAA">
        <w:rPr>
          <w:rFonts w:ascii="Times New Roman" w:hAnsi="Times New Roman" w:cs="Times New Roman"/>
        </w:rPr>
        <w:t>policies</w:t>
      </w:r>
      <w:r w:rsidR="00E353FB">
        <w:rPr>
          <w:rFonts w:ascii="Times New Roman" w:hAnsi="Times New Roman" w:cs="Times New Roman"/>
        </w:rPr>
        <w:t xml:space="preserve"> and </w:t>
      </w:r>
      <w:r w:rsidR="00261D30">
        <w:rPr>
          <w:rFonts w:ascii="Times New Roman" w:hAnsi="Times New Roman" w:cs="Times New Roman"/>
        </w:rPr>
        <w:t>family access to information about vocational education</w:t>
      </w:r>
      <w:r w:rsidRPr="00856CAA">
        <w:rPr>
          <w:rFonts w:ascii="Times New Roman" w:hAnsi="Times New Roman" w:cs="Times New Roman"/>
        </w:rPr>
        <w:t>.</w:t>
      </w:r>
    </w:p>
    <w:p w14:paraId="7E8F158A" w14:textId="6B60BB33" w:rsidR="00041F9B" w:rsidRPr="00D54708" w:rsidRDefault="00D54708" w:rsidP="0048304B">
      <w:pPr>
        <w:pStyle w:val="Heading2"/>
      </w:pPr>
      <w:r w:rsidRPr="00D54708">
        <w:t>Waitlist Data Collection</w:t>
      </w:r>
    </w:p>
    <w:p w14:paraId="2163CA40" w14:textId="1D0FC6F2" w:rsidR="00D54708" w:rsidRDefault="00D54708" w:rsidP="00D54708">
      <w:pPr>
        <w:rPr>
          <w:rFonts w:ascii="Times New Roman" w:hAnsi="Times New Roman" w:cs="Times New Roman"/>
        </w:rPr>
      </w:pPr>
      <w:r w:rsidRPr="00A9322D">
        <w:rPr>
          <w:rFonts w:ascii="Times New Roman" w:hAnsi="Times New Roman" w:cs="Times New Roman"/>
        </w:rPr>
        <w:t>On February 25, 2020, the Board of Elementary and Secondary Education voted to amend the Vocational Technical Education regulations (</w:t>
      </w:r>
      <w:hyperlink r:id="rId12" w:history="1">
        <w:r w:rsidRPr="00A9322D">
          <w:rPr>
            <w:rStyle w:val="Hyperlink"/>
            <w:rFonts w:ascii="Times New Roman" w:hAnsi="Times New Roman" w:cs="Times New Roman"/>
            <w:color w:val="auto"/>
            <w:u w:val="none"/>
          </w:rPr>
          <w:t>603 CMR 4.00</w:t>
        </w:r>
      </w:hyperlink>
      <w:r w:rsidRPr="00A9322D">
        <w:rPr>
          <w:rFonts w:ascii="Times New Roman" w:hAnsi="Times New Roman" w:cs="Times New Roman"/>
        </w:rPr>
        <w:t xml:space="preserve">). The amended regulations include a new requirement </w:t>
      </w:r>
      <w:r>
        <w:rPr>
          <w:rFonts w:ascii="Times New Roman" w:hAnsi="Times New Roman" w:cs="Times New Roman"/>
        </w:rPr>
        <w:t xml:space="preserve">for vocational schools and programs </w:t>
      </w:r>
      <w:r w:rsidRPr="00A9322D">
        <w:rPr>
          <w:rFonts w:ascii="Times New Roman" w:hAnsi="Times New Roman" w:cs="Times New Roman"/>
        </w:rPr>
        <w:t xml:space="preserve">to report </w:t>
      </w:r>
      <w:r w:rsidR="00D97763">
        <w:rPr>
          <w:rFonts w:ascii="Times New Roman" w:hAnsi="Times New Roman" w:cs="Times New Roman"/>
        </w:rPr>
        <w:t xml:space="preserve">to the Department </w:t>
      </w:r>
      <w:r>
        <w:rPr>
          <w:rFonts w:ascii="Times New Roman" w:hAnsi="Times New Roman" w:cs="Times New Roman"/>
        </w:rPr>
        <w:t xml:space="preserve">data concerning </w:t>
      </w:r>
      <w:r w:rsidRPr="00A9322D">
        <w:rPr>
          <w:rFonts w:ascii="Times New Roman" w:hAnsi="Times New Roman" w:cs="Times New Roman"/>
        </w:rPr>
        <w:t>students waitlisted for admission.</w:t>
      </w:r>
    </w:p>
    <w:p w14:paraId="6EA022D8" w14:textId="014FEEE9" w:rsidR="00C611E6" w:rsidRPr="00616674" w:rsidRDefault="00CB5448">
      <w:pPr>
        <w:rPr>
          <w:rFonts w:ascii="Times New Roman" w:hAnsi="Times New Roman" w:cs="Times New Roman"/>
        </w:rPr>
      </w:pPr>
      <w:r w:rsidRPr="00616674">
        <w:rPr>
          <w:rFonts w:ascii="Times New Roman" w:hAnsi="Times New Roman" w:cs="Times New Roman"/>
        </w:rPr>
        <w:t>The Department requested that 5</w:t>
      </w:r>
      <w:r w:rsidR="00322C38" w:rsidRPr="00616674">
        <w:rPr>
          <w:rFonts w:ascii="Times New Roman" w:hAnsi="Times New Roman" w:cs="Times New Roman"/>
        </w:rPr>
        <w:t>8</w:t>
      </w:r>
      <w:r w:rsidRPr="00616674">
        <w:rPr>
          <w:rFonts w:ascii="Times New Roman" w:hAnsi="Times New Roman" w:cs="Times New Roman"/>
        </w:rPr>
        <w:t xml:space="preserve"> </w:t>
      </w:r>
      <w:r w:rsidR="001A3EE5">
        <w:rPr>
          <w:rFonts w:ascii="Times New Roman" w:hAnsi="Times New Roman" w:cs="Times New Roman"/>
        </w:rPr>
        <w:t>career/vocational technical education (</w:t>
      </w:r>
      <w:r w:rsidRPr="00616674">
        <w:rPr>
          <w:rFonts w:ascii="Times New Roman" w:hAnsi="Times New Roman" w:cs="Times New Roman"/>
        </w:rPr>
        <w:t>CVTE</w:t>
      </w:r>
      <w:r w:rsidR="001A3EE5">
        <w:rPr>
          <w:rFonts w:ascii="Times New Roman" w:hAnsi="Times New Roman" w:cs="Times New Roman"/>
        </w:rPr>
        <w:t>)</w:t>
      </w:r>
      <w:r w:rsidRPr="00616674">
        <w:rPr>
          <w:rFonts w:ascii="Times New Roman" w:hAnsi="Times New Roman" w:cs="Times New Roman"/>
        </w:rPr>
        <w:t xml:space="preserve"> schools and programs </w:t>
      </w:r>
      <w:r w:rsidR="00D54708">
        <w:rPr>
          <w:rFonts w:ascii="Times New Roman" w:hAnsi="Times New Roman" w:cs="Times New Roman"/>
        </w:rPr>
        <w:t xml:space="preserve">participate in a </w:t>
      </w:r>
      <w:r w:rsidRPr="00616674">
        <w:rPr>
          <w:rFonts w:ascii="Times New Roman" w:hAnsi="Times New Roman" w:cs="Times New Roman"/>
        </w:rPr>
        <w:t xml:space="preserve">survey </w:t>
      </w:r>
      <w:r w:rsidR="00D54708">
        <w:rPr>
          <w:rFonts w:ascii="Times New Roman" w:hAnsi="Times New Roman" w:cs="Times New Roman"/>
        </w:rPr>
        <w:t>for</w:t>
      </w:r>
      <w:r w:rsidR="001A3EE5">
        <w:rPr>
          <w:rFonts w:ascii="Times New Roman" w:hAnsi="Times New Roman" w:cs="Times New Roman"/>
        </w:rPr>
        <w:t xml:space="preserve"> this data collection effort </w:t>
      </w:r>
      <w:r w:rsidRPr="00616674">
        <w:rPr>
          <w:rFonts w:ascii="Times New Roman" w:hAnsi="Times New Roman" w:cs="Times New Roman"/>
        </w:rPr>
        <w:t xml:space="preserve">by July 10, 2020. The purpose of the survey was to gather information about </w:t>
      </w:r>
      <w:r w:rsidR="001A3EE5">
        <w:rPr>
          <w:rFonts w:ascii="Times New Roman" w:hAnsi="Times New Roman" w:cs="Times New Roman"/>
        </w:rPr>
        <w:t xml:space="preserve">policies and procedures related to </w:t>
      </w:r>
      <w:r w:rsidRPr="00616674">
        <w:rPr>
          <w:rFonts w:ascii="Times New Roman" w:hAnsi="Times New Roman" w:cs="Times New Roman"/>
        </w:rPr>
        <w:t>school enrollment, admissions, and waitlist</w:t>
      </w:r>
      <w:r w:rsidR="001A3EE5">
        <w:rPr>
          <w:rFonts w:ascii="Times New Roman" w:hAnsi="Times New Roman" w:cs="Times New Roman"/>
        </w:rPr>
        <w:t>s</w:t>
      </w:r>
      <w:r w:rsidRPr="00616674">
        <w:rPr>
          <w:rFonts w:ascii="Times New Roman" w:hAnsi="Times New Roman" w:cs="Times New Roman"/>
        </w:rPr>
        <w:t xml:space="preserve">. </w:t>
      </w:r>
      <w:r w:rsidR="00C611E6" w:rsidRPr="00616674">
        <w:rPr>
          <w:rFonts w:ascii="Times New Roman" w:hAnsi="Times New Roman" w:cs="Times New Roman"/>
        </w:rPr>
        <w:t>The Department solicited additional feedback from schools, as well as other stakeholders</w:t>
      </w:r>
      <w:r w:rsidR="00D54708">
        <w:rPr>
          <w:rFonts w:ascii="Times New Roman" w:hAnsi="Times New Roman" w:cs="Times New Roman"/>
        </w:rPr>
        <w:t>,</w:t>
      </w:r>
      <w:r w:rsidR="00C611E6" w:rsidRPr="00616674">
        <w:rPr>
          <w:rFonts w:ascii="Times New Roman" w:hAnsi="Times New Roman" w:cs="Times New Roman"/>
        </w:rPr>
        <w:t xml:space="preserve"> </w:t>
      </w:r>
      <w:r w:rsidR="001A3EE5">
        <w:rPr>
          <w:rFonts w:ascii="Times New Roman" w:hAnsi="Times New Roman" w:cs="Times New Roman"/>
        </w:rPr>
        <w:t>including the Massachusetts Association of Vocational Administrators</w:t>
      </w:r>
      <w:r w:rsidR="00C611E6" w:rsidRPr="00616674">
        <w:rPr>
          <w:rFonts w:ascii="Times New Roman" w:hAnsi="Times New Roman" w:cs="Times New Roman"/>
        </w:rPr>
        <w:t xml:space="preserve"> </w:t>
      </w:r>
      <w:r w:rsidR="001A3EE5">
        <w:rPr>
          <w:rFonts w:ascii="Times New Roman" w:hAnsi="Times New Roman" w:cs="Times New Roman"/>
        </w:rPr>
        <w:t>(</w:t>
      </w:r>
      <w:r w:rsidR="00C611E6" w:rsidRPr="00616674">
        <w:rPr>
          <w:rFonts w:ascii="Times New Roman" w:hAnsi="Times New Roman" w:cs="Times New Roman"/>
        </w:rPr>
        <w:t>MAVA</w:t>
      </w:r>
      <w:r w:rsidR="001A3EE5">
        <w:rPr>
          <w:rFonts w:ascii="Times New Roman" w:hAnsi="Times New Roman" w:cs="Times New Roman"/>
        </w:rPr>
        <w:t>)</w:t>
      </w:r>
      <w:r w:rsidR="00C611E6" w:rsidRPr="00616674">
        <w:rPr>
          <w:rFonts w:ascii="Times New Roman" w:hAnsi="Times New Roman" w:cs="Times New Roman"/>
        </w:rPr>
        <w:t xml:space="preserve">, </w:t>
      </w:r>
      <w:r w:rsidR="001A3EE5">
        <w:rPr>
          <w:rFonts w:ascii="Times New Roman" w:hAnsi="Times New Roman" w:cs="Times New Roman"/>
        </w:rPr>
        <w:t>to create a</w:t>
      </w:r>
      <w:r w:rsidR="00C611E6" w:rsidRPr="00616674">
        <w:rPr>
          <w:rFonts w:ascii="Times New Roman" w:hAnsi="Times New Roman" w:cs="Times New Roman"/>
        </w:rPr>
        <w:t xml:space="preserve"> </w:t>
      </w:r>
      <w:r w:rsidR="003B42FC">
        <w:rPr>
          <w:rFonts w:ascii="Times New Roman" w:hAnsi="Times New Roman" w:cs="Times New Roman"/>
        </w:rPr>
        <w:t>CVTE</w:t>
      </w:r>
      <w:r w:rsidR="00C611E6" w:rsidRPr="00616674">
        <w:rPr>
          <w:rFonts w:ascii="Times New Roman" w:hAnsi="Times New Roman" w:cs="Times New Roman"/>
        </w:rPr>
        <w:t xml:space="preserve"> waitlist </w:t>
      </w:r>
      <w:r w:rsidR="001A3EE5">
        <w:rPr>
          <w:rFonts w:ascii="Times New Roman" w:hAnsi="Times New Roman" w:cs="Times New Roman"/>
        </w:rPr>
        <w:t xml:space="preserve">data </w:t>
      </w:r>
      <w:r w:rsidR="00C611E6" w:rsidRPr="00616674">
        <w:rPr>
          <w:rFonts w:ascii="Times New Roman" w:hAnsi="Times New Roman" w:cs="Times New Roman"/>
        </w:rPr>
        <w:t xml:space="preserve">collection template. </w:t>
      </w:r>
      <w:r w:rsidR="001A3EE5">
        <w:rPr>
          <w:rFonts w:ascii="Times New Roman" w:hAnsi="Times New Roman" w:cs="Times New Roman"/>
        </w:rPr>
        <w:t>T</w:t>
      </w:r>
      <w:r w:rsidR="008445D6" w:rsidRPr="00616674">
        <w:rPr>
          <w:rFonts w:ascii="Times New Roman" w:hAnsi="Times New Roman" w:cs="Times New Roman"/>
        </w:rPr>
        <w:t xml:space="preserve">o </w:t>
      </w:r>
      <w:r w:rsidR="00C611E6" w:rsidRPr="00616674">
        <w:rPr>
          <w:rFonts w:ascii="Times New Roman" w:hAnsi="Times New Roman" w:cs="Times New Roman"/>
        </w:rPr>
        <w:t xml:space="preserve">reduce </w:t>
      </w:r>
      <w:r w:rsidR="001A3EE5">
        <w:rPr>
          <w:rFonts w:ascii="Times New Roman" w:hAnsi="Times New Roman" w:cs="Times New Roman"/>
        </w:rPr>
        <w:t xml:space="preserve">potential burdens on </w:t>
      </w:r>
      <w:r w:rsidR="00C611E6" w:rsidRPr="00616674">
        <w:rPr>
          <w:rFonts w:ascii="Times New Roman" w:hAnsi="Times New Roman" w:cs="Times New Roman"/>
        </w:rPr>
        <w:t>school</w:t>
      </w:r>
      <w:r w:rsidR="001A3EE5">
        <w:rPr>
          <w:rFonts w:ascii="Times New Roman" w:hAnsi="Times New Roman" w:cs="Times New Roman"/>
        </w:rPr>
        <w:t>s and programs and consistent with stakeholder feedback</w:t>
      </w:r>
      <w:r w:rsidR="00C611E6" w:rsidRPr="00616674">
        <w:rPr>
          <w:rFonts w:ascii="Times New Roman" w:hAnsi="Times New Roman" w:cs="Times New Roman"/>
        </w:rPr>
        <w:t>, the Department streamlined the</w:t>
      </w:r>
      <w:r w:rsidR="001A3EE5">
        <w:rPr>
          <w:rFonts w:ascii="Times New Roman" w:hAnsi="Times New Roman" w:cs="Times New Roman"/>
        </w:rPr>
        <w:t xml:space="preserve"> data</w:t>
      </w:r>
      <w:r w:rsidR="00C611E6" w:rsidRPr="00616674">
        <w:rPr>
          <w:rFonts w:ascii="Times New Roman" w:hAnsi="Times New Roman" w:cs="Times New Roman"/>
        </w:rPr>
        <w:t xml:space="preserve"> collection template</w:t>
      </w:r>
      <w:r w:rsidR="000C78C6">
        <w:rPr>
          <w:rFonts w:ascii="Times New Roman" w:hAnsi="Times New Roman" w:cs="Times New Roman"/>
        </w:rPr>
        <w:t xml:space="preserve">, </w:t>
      </w:r>
      <w:r w:rsidR="00C611E6" w:rsidRPr="00616674">
        <w:rPr>
          <w:rFonts w:ascii="Times New Roman" w:hAnsi="Times New Roman" w:cs="Times New Roman"/>
        </w:rPr>
        <w:t xml:space="preserve">made several </w:t>
      </w:r>
      <w:r w:rsidR="00322C38" w:rsidRPr="00616674">
        <w:rPr>
          <w:rFonts w:ascii="Times New Roman" w:hAnsi="Times New Roman" w:cs="Times New Roman"/>
        </w:rPr>
        <w:t xml:space="preserve">requested </w:t>
      </w:r>
      <w:r w:rsidR="00C611E6" w:rsidRPr="00616674">
        <w:rPr>
          <w:rFonts w:ascii="Times New Roman" w:hAnsi="Times New Roman" w:cs="Times New Roman"/>
        </w:rPr>
        <w:t>variables optional</w:t>
      </w:r>
      <w:r w:rsidR="003B42FC">
        <w:rPr>
          <w:rFonts w:ascii="Times New Roman" w:hAnsi="Times New Roman" w:cs="Times New Roman"/>
        </w:rPr>
        <w:t>,</w:t>
      </w:r>
      <w:r w:rsidR="008445D6" w:rsidRPr="00616674">
        <w:rPr>
          <w:rFonts w:ascii="Times New Roman" w:hAnsi="Times New Roman" w:cs="Times New Roman"/>
        </w:rPr>
        <w:t xml:space="preserve"> </w:t>
      </w:r>
      <w:r w:rsidR="001A3EE5">
        <w:rPr>
          <w:rFonts w:ascii="Times New Roman" w:hAnsi="Times New Roman" w:cs="Times New Roman"/>
        </w:rPr>
        <w:t>and extended</w:t>
      </w:r>
      <w:r w:rsidR="008445D6" w:rsidRPr="00616674">
        <w:rPr>
          <w:rFonts w:ascii="Times New Roman" w:hAnsi="Times New Roman" w:cs="Times New Roman"/>
        </w:rPr>
        <w:t xml:space="preserve"> the collection deadline to mid-November</w:t>
      </w:r>
      <w:r w:rsidR="001A3EE5">
        <w:rPr>
          <w:rFonts w:ascii="Times New Roman" w:hAnsi="Times New Roman" w:cs="Times New Roman"/>
        </w:rPr>
        <w:t xml:space="preserve"> 2020</w:t>
      </w:r>
      <w:r w:rsidR="00C611E6" w:rsidRPr="00616674">
        <w:rPr>
          <w:rFonts w:ascii="Times New Roman" w:hAnsi="Times New Roman" w:cs="Times New Roman"/>
        </w:rPr>
        <w:t>.</w:t>
      </w:r>
      <w:r w:rsidR="00705ACC">
        <w:rPr>
          <w:rStyle w:val="FootnoteReference"/>
          <w:rFonts w:ascii="Times New Roman" w:hAnsi="Times New Roman" w:cs="Times New Roman"/>
        </w:rPr>
        <w:footnoteReference w:id="1"/>
      </w:r>
      <w:r w:rsidR="00C611E6" w:rsidRPr="00616674">
        <w:rPr>
          <w:rFonts w:ascii="Times New Roman" w:hAnsi="Times New Roman" w:cs="Times New Roman"/>
        </w:rPr>
        <w:t xml:space="preserve"> </w:t>
      </w:r>
    </w:p>
    <w:p w14:paraId="50F82EE7" w14:textId="405B70DA" w:rsidR="00B33F93" w:rsidRDefault="00801653">
      <w:pPr>
        <w:rPr>
          <w:rFonts w:ascii="Times New Roman" w:hAnsi="Times New Roman" w:cs="Times New Roman"/>
        </w:rPr>
      </w:pPr>
      <w:r>
        <w:rPr>
          <w:rFonts w:ascii="Times New Roman" w:hAnsi="Times New Roman" w:cs="Times New Roman"/>
        </w:rPr>
        <w:lastRenderedPageBreak/>
        <w:t>Out of 58 schools and programs the Department contacted, 44 reported having waitlists for admission in school year 2020-2021</w:t>
      </w:r>
      <w:r w:rsidR="00C611E6" w:rsidRPr="00616674">
        <w:rPr>
          <w:rFonts w:ascii="Times New Roman" w:hAnsi="Times New Roman" w:cs="Times New Roman"/>
        </w:rPr>
        <w:t>.</w:t>
      </w:r>
      <w:r w:rsidR="00CB5448" w:rsidRPr="00616674">
        <w:rPr>
          <w:rFonts w:ascii="Times New Roman" w:hAnsi="Times New Roman" w:cs="Times New Roman"/>
        </w:rPr>
        <w:t xml:space="preserve"> </w:t>
      </w:r>
      <w:r w:rsidR="005C214D" w:rsidRPr="00616674">
        <w:rPr>
          <w:rFonts w:ascii="Times New Roman" w:hAnsi="Times New Roman" w:cs="Times New Roman"/>
        </w:rPr>
        <w:t xml:space="preserve">The Department provided each school with its own collection template, </w:t>
      </w:r>
      <w:r w:rsidR="0081135D">
        <w:rPr>
          <w:rFonts w:ascii="Times New Roman" w:hAnsi="Times New Roman" w:cs="Times New Roman"/>
        </w:rPr>
        <w:t xml:space="preserve">and schools submitted their responses via </w:t>
      </w:r>
      <w:r w:rsidR="009715CB" w:rsidRPr="00616674">
        <w:rPr>
          <w:rFonts w:ascii="Times New Roman" w:hAnsi="Times New Roman" w:cs="Times New Roman"/>
        </w:rPr>
        <w:t>S</w:t>
      </w:r>
      <w:r w:rsidR="005C214D" w:rsidRPr="00616674">
        <w:rPr>
          <w:rFonts w:ascii="Times New Roman" w:hAnsi="Times New Roman" w:cs="Times New Roman"/>
        </w:rPr>
        <w:t xml:space="preserve">ecurity </w:t>
      </w:r>
      <w:r w:rsidR="009715CB" w:rsidRPr="00616674">
        <w:rPr>
          <w:rFonts w:ascii="Times New Roman" w:hAnsi="Times New Roman" w:cs="Times New Roman"/>
        </w:rPr>
        <w:t>P</w:t>
      </w:r>
      <w:r w:rsidR="005C214D" w:rsidRPr="00616674">
        <w:rPr>
          <w:rFonts w:ascii="Times New Roman" w:hAnsi="Times New Roman" w:cs="Times New Roman"/>
        </w:rPr>
        <w:t xml:space="preserve">ortal Dropbox. </w:t>
      </w:r>
      <w:r>
        <w:rPr>
          <w:rFonts w:ascii="Times New Roman" w:hAnsi="Times New Roman" w:cs="Times New Roman"/>
        </w:rPr>
        <w:t>To support the Department’s matching process and subsequent analyses, t</w:t>
      </w:r>
      <w:r w:rsidR="00B33F93">
        <w:rPr>
          <w:rFonts w:ascii="Times New Roman" w:hAnsi="Times New Roman" w:cs="Times New Roman"/>
        </w:rPr>
        <w:t>he collection template request</w:t>
      </w:r>
      <w:r w:rsidR="0081135D">
        <w:rPr>
          <w:rFonts w:ascii="Times New Roman" w:hAnsi="Times New Roman" w:cs="Times New Roman"/>
        </w:rPr>
        <w:t>ed</w:t>
      </w:r>
      <w:r w:rsidR="00B33F93">
        <w:rPr>
          <w:rFonts w:ascii="Times New Roman" w:hAnsi="Times New Roman" w:cs="Times New Roman"/>
        </w:rPr>
        <w:t xml:space="preserve"> that schools provide information for each student </w:t>
      </w:r>
      <w:r>
        <w:rPr>
          <w:rFonts w:ascii="Times New Roman" w:hAnsi="Times New Roman" w:cs="Times New Roman"/>
        </w:rPr>
        <w:t>identified for inclusion in their submission.</w:t>
      </w:r>
      <w:r w:rsidR="00705ACC" w:rsidDel="00705ACC">
        <w:rPr>
          <w:rStyle w:val="FootnoteReference"/>
          <w:rFonts w:ascii="Times New Roman" w:hAnsi="Times New Roman" w:cs="Times New Roman"/>
        </w:rPr>
        <w:t xml:space="preserve"> </w:t>
      </w:r>
    </w:p>
    <w:p w14:paraId="54DD513B" w14:textId="1C562636" w:rsidR="00CB5448" w:rsidRDefault="00410A1C">
      <w:pPr>
        <w:rPr>
          <w:rFonts w:ascii="Times New Roman" w:hAnsi="Times New Roman" w:cs="Times New Roman"/>
        </w:rPr>
      </w:pPr>
      <w:r>
        <w:rPr>
          <w:rFonts w:ascii="Times New Roman" w:hAnsi="Times New Roman" w:cs="Times New Roman"/>
        </w:rPr>
        <w:t>Once the Department received the completed data collection templates, it performed its own internal verification procedures, matching the provided data with corresponding data the Department already collects through various school reporting mechanisms. The matching process aimed to identify demographic, attendance, discipline, and MCAS performance data for each student included in the collection. Additionally, the Department conducted data sensitivity analyses to assess the generalizability, robustness, and validity of the data the schools reported, to help inform its policy discussions with the vocation</w:t>
      </w:r>
      <w:r w:rsidR="000C78C6">
        <w:rPr>
          <w:rFonts w:ascii="Times New Roman" w:hAnsi="Times New Roman" w:cs="Times New Roman"/>
        </w:rPr>
        <w:t>al</w:t>
      </w:r>
      <w:r>
        <w:rPr>
          <w:rFonts w:ascii="Times New Roman" w:hAnsi="Times New Roman" w:cs="Times New Roman"/>
        </w:rPr>
        <w:t xml:space="preserve"> schools and programs.</w:t>
      </w:r>
    </w:p>
    <w:p w14:paraId="136044AA" w14:textId="7437655C" w:rsidR="00D54708" w:rsidRPr="00D54708" w:rsidRDefault="00D54708" w:rsidP="0048304B">
      <w:pPr>
        <w:pStyle w:val="Heading2"/>
      </w:pPr>
      <w:r w:rsidRPr="00D54708">
        <w:t>Waitlist Data Analysis</w:t>
      </w:r>
    </w:p>
    <w:p w14:paraId="60BA76B2" w14:textId="1C125566" w:rsidR="004E6188" w:rsidRPr="00616674" w:rsidRDefault="00322C38">
      <w:pPr>
        <w:rPr>
          <w:rFonts w:ascii="Times New Roman" w:hAnsi="Times New Roman" w:cs="Times New Roman"/>
        </w:rPr>
      </w:pPr>
      <w:r w:rsidRPr="00616674">
        <w:rPr>
          <w:rFonts w:ascii="Times New Roman" w:hAnsi="Times New Roman" w:cs="Times New Roman"/>
        </w:rPr>
        <w:t xml:space="preserve">While a total of 22,668 students were </w:t>
      </w:r>
      <w:r w:rsidR="003B42FC">
        <w:rPr>
          <w:rFonts w:ascii="Times New Roman" w:hAnsi="Times New Roman" w:cs="Times New Roman"/>
        </w:rPr>
        <w:t>included in school submissions for</w:t>
      </w:r>
      <w:r w:rsidRPr="00616674">
        <w:rPr>
          <w:rFonts w:ascii="Times New Roman" w:hAnsi="Times New Roman" w:cs="Times New Roman"/>
        </w:rPr>
        <w:t xml:space="preserve"> grades 9</w:t>
      </w:r>
      <w:r w:rsidR="000C78C6">
        <w:rPr>
          <w:rFonts w:ascii="Times New Roman" w:hAnsi="Times New Roman" w:cs="Times New Roman"/>
        </w:rPr>
        <w:t>-</w:t>
      </w:r>
      <w:r w:rsidRPr="00616674">
        <w:rPr>
          <w:rFonts w:ascii="Times New Roman" w:hAnsi="Times New Roman" w:cs="Times New Roman"/>
        </w:rPr>
        <w:t xml:space="preserve">12, the </w:t>
      </w:r>
      <w:r w:rsidR="009C40AD">
        <w:rPr>
          <w:rFonts w:ascii="Times New Roman" w:hAnsi="Times New Roman" w:cs="Times New Roman"/>
        </w:rPr>
        <w:t>Department focused its attention on</w:t>
      </w:r>
      <w:r w:rsidRPr="00616674">
        <w:rPr>
          <w:rFonts w:ascii="Times New Roman" w:hAnsi="Times New Roman" w:cs="Times New Roman"/>
        </w:rPr>
        <w:t xml:space="preserve"> </w:t>
      </w:r>
      <w:r w:rsidR="007E187E">
        <w:rPr>
          <w:rFonts w:ascii="Times New Roman" w:hAnsi="Times New Roman" w:cs="Times New Roman"/>
        </w:rPr>
        <w:t>grade 9</w:t>
      </w:r>
      <w:r w:rsidRPr="00616674">
        <w:rPr>
          <w:rFonts w:ascii="Times New Roman" w:hAnsi="Times New Roman" w:cs="Times New Roman"/>
        </w:rPr>
        <w:t xml:space="preserve">. </w:t>
      </w:r>
      <w:r w:rsidR="00725C39">
        <w:rPr>
          <w:rFonts w:ascii="Times New Roman" w:hAnsi="Times New Roman" w:cs="Times New Roman"/>
        </w:rPr>
        <w:t>Schools provided a</w:t>
      </w:r>
      <w:r w:rsidR="00E90812" w:rsidRPr="00616674">
        <w:rPr>
          <w:rFonts w:ascii="Times New Roman" w:hAnsi="Times New Roman" w:cs="Times New Roman"/>
        </w:rPr>
        <w:t xml:space="preserve"> total of 19,935 </w:t>
      </w:r>
      <w:r w:rsidR="00E90812">
        <w:rPr>
          <w:rFonts w:ascii="Times New Roman" w:hAnsi="Times New Roman" w:cs="Times New Roman"/>
        </w:rPr>
        <w:t xml:space="preserve">student records </w:t>
      </w:r>
      <w:r w:rsidR="00E90812" w:rsidRPr="00616674">
        <w:rPr>
          <w:rFonts w:ascii="Times New Roman" w:hAnsi="Times New Roman" w:cs="Times New Roman"/>
        </w:rPr>
        <w:t xml:space="preserve">for grade 9, of which the Department was unable to identify </w:t>
      </w:r>
      <w:r w:rsidR="00410A1C">
        <w:rPr>
          <w:rFonts w:ascii="Times New Roman" w:hAnsi="Times New Roman" w:cs="Times New Roman"/>
        </w:rPr>
        <w:t xml:space="preserve">through </w:t>
      </w:r>
      <w:r w:rsidR="000C78C6">
        <w:rPr>
          <w:rFonts w:ascii="Times New Roman" w:hAnsi="Times New Roman" w:cs="Times New Roman"/>
        </w:rPr>
        <w:t>its</w:t>
      </w:r>
      <w:r w:rsidR="00410A1C">
        <w:rPr>
          <w:rFonts w:ascii="Times New Roman" w:hAnsi="Times New Roman" w:cs="Times New Roman"/>
        </w:rPr>
        <w:t xml:space="preserve"> matching process </w:t>
      </w:r>
      <w:r w:rsidR="000C78C6">
        <w:rPr>
          <w:rFonts w:ascii="Times New Roman" w:hAnsi="Times New Roman" w:cs="Times New Roman"/>
        </w:rPr>
        <w:t xml:space="preserve">the </w:t>
      </w:r>
      <w:r w:rsidR="00E90812" w:rsidRPr="00616674">
        <w:rPr>
          <w:rFonts w:ascii="Times New Roman" w:hAnsi="Times New Roman" w:cs="Times New Roman"/>
        </w:rPr>
        <w:t>student demographic information for 1,352 students (6.8%).</w:t>
      </w:r>
      <w:r w:rsidR="00BF748C">
        <w:rPr>
          <w:rStyle w:val="FootnoteReference"/>
          <w:rFonts w:ascii="Times New Roman" w:hAnsi="Times New Roman" w:cs="Times New Roman"/>
        </w:rPr>
        <w:footnoteReference w:id="2"/>
      </w:r>
    </w:p>
    <w:p w14:paraId="4A90F436" w14:textId="3004AE39" w:rsidR="00E8370A" w:rsidRDefault="00BB47F3">
      <w:pPr>
        <w:rPr>
          <w:rFonts w:ascii="Times New Roman" w:hAnsi="Times New Roman" w:cs="Times New Roman"/>
        </w:rPr>
      </w:pPr>
      <w:r>
        <w:rPr>
          <w:rFonts w:ascii="Times New Roman" w:hAnsi="Times New Roman" w:cs="Times New Roman"/>
        </w:rPr>
        <w:t xml:space="preserve">The Department found, based on </w:t>
      </w:r>
      <w:r w:rsidR="00E90812">
        <w:rPr>
          <w:rFonts w:ascii="Times New Roman" w:hAnsi="Times New Roman" w:cs="Times New Roman"/>
        </w:rPr>
        <w:t xml:space="preserve">conversations with individual schools, MAVA, and the </w:t>
      </w:r>
      <w:r w:rsidR="00725C39">
        <w:rPr>
          <w:rFonts w:ascii="Times New Roman" w:hAnsi="Times New Roman" w:cs="Times New Roman"/>
        </w:rPr>
        <w:t xml:space="preserve">vocational </w:t>
      </w:r>
      <w:r w:rsidR="00E90812">
        <w:rPr>
          <w:rFonts w:ascii="Times New Roman" w:hAnsi="Times New Roman" w:cs="Times New Roman"/>
        </w:rPr>
        <w:t>sector as a whole</w:t>
      </w:r>
      <w:r>
        <w:rPr>
          <w:rFonts w:ascii="Times New Roman" w:hAnsi="Times New Roman" w:cs="Times New Roman"/>
        </w:rPr>
        <w:t>,</w:t>
      </w:r>
      <w:r w:rsidR="00E90812">
        <w:rPr>
          <w:rFonts w:ascii="Times New Roman" w:hAnsi="Times New Roman" w:cs="Times New Roman"/>
        </w:rPr>
        <w:t xml:space="preserve"> that overall, </w:t>
      </w:r>
      <w:r w:rsidR="00725C39">
        <w:rPr>
          <w:rFonts w:ascii="Times New Roman" w:hAnsi="Times New Roman" w:cs="Times New Roman"/>
        </w:rPr>
        <w:t xml:space="preserve">only </w:t>
      </w:r>
      <w:r w:rsidR="00E90812">
        <w:rPr>
          <w:rFonts w:ascii="Times New Roman" w:hAnsi="Times New Roman" w:cs="Times New Roman"/>
        </w:rPr>
        <w:t>students who submitted a “complete” application</w:t>
      </w:r>
      <w:r w:rsidR="00725C39">
        <w:rPr>
          <w:rFonts w:ascii="Times New Roman" w:hAnsi="Times New Roman" w:cs="Times New Roman"/>
        </w:rPr>
        <w:t xml:space="preserve"> received admission offers, and </w:t>
      </w:r>
      <w:r w:rsidR="00E90812">
        <w:rPr>
          <w:rFonts w:ascii="Times New Roman" w:hAnsi="Times New Roman" w:cs="Times New Roman"/>
        </w:rPr>
        <w:t>schools varied in their determination of completeness.</w:t>
      </w:r>
      <w:r w:rsidR="00AD52C5">
        <w:rPr>
          <w:rStyle w:val="FootnoteReference"/>
          <w:rFonts w:ascii="Times New Roman" w:hAnsi="Times New Roman" w:cs="Times New Roman"/>
        </w:rPr>
        <w:footnoteReference w:id="3"/>
      </w:r>
      <w:r w:rsidR="00E90812">
        <w:rPr>
          <w:rFonts w:ascii="Times New Roman" w:hAnsi="Times New Roman" w:cs="Times New Roman"/>
        </w:rPr>
        <w:t xml:space="preserve"> </w:t>
      </w:r>
      <w:r w:rsidR="00E8370A">
        <w:rPr>
          <w:rFonts w:ascii="Times New Roman" w:hAnsi="Times New Roman" w:cs="Times New Roman"/>
        </w:rPr>
        <w:t>The Department found that</w:t>
      </w:r>
      <w:r w:rsidR="00A13ACF">
        <w:rPr>
          <w:rFonts w:ascii="Times New Roman" w:hAnsi="Times New Roman" w:cs="Times New Roman"/>
        </w:rPr>
        <w:t>,</w:t>
      </w:r>
      <w:r w:rsidR="00E8370A">
        <w:rPr>
          <w:rFonts w:ascii="Times New Roman" w:hAnsi="Times New Roman" w:cs="Times New Roman"/>
        </w:rPr>
        <w:t xml:space="preserve"> of the </w:t>
      </w:r>
      <w:r w:rsidR="000C78C6">
        <w:rPr>
          <w:rFonts w:ascii="Times New Roman" w:hAnsi="Times New Roman" w:cs="Times New Roman"/>
        </w:rPr>
        <w:t xml:space="preserve">data </w:t>
      </w:r>
      <w:r w:rsidR="00E8370A">
        <w:rPr>
          <w:rFonts w:ascii="Times New Roman" w:hAnsi="Times New Roman" w:cs="Times New Roman"/>
        </w:rPr>
        <w:t xml:space="preserve">provided for grade 9, </w:t>
      </w:r>
      <w:r w:rsidR="00A13ACF">
        <w:rPr>
          <w:rFonts w:ascii="Times New Roman" w:hAnsi="Times New Roman" w:cs="Times New Roman"/>
        </w:rPr>
        <w:t xml:space="preserve">schools identified </w:t>
      </w:r>
      <w:r w:rsidR="00E8370A">
        <w:rPr>
          <w:rFonts w:ascii="Times New Roman" w:hAnsi="Times New Roman" w:cs="Times New Roman"/>
        </w:rPr>
        <w:t xml:space="preserve">18,560 </w:t>
      </w:r>
      <w:r w:rsidR="00A13ACF">
        <w:rPr>
          <w:rFonts w:ascii="Times New Roman" w:hAnsi="Times New Roman" w:cs="Times New Roman"/>
        </w:rPr>
        <w:t xml:space="preserve">applications </w:t>
      </w:r>
      <w:r w:rsidR="00E8370A">
        <w:rPr>
          <w:rFonts w:ascii="Times New Roman" w:hAnsi="Times New Roman" w:cs="Times New Roman"/>
        </w:rPr>
        <w:t>as complete, 1,267 as incomplete</w:t>
      </w:r>
      <w:r w:rsidR="00A13ACF">
        <w:rPr>
          <w:rFonts w:ascii="Times New Roman" w:hAnsi="Times New Roman" w:cs="Times New Roman"/>
        </w:rPr>
        <w:t>,</w:t>
      </w:r>
      <w:r w:rsidR="00E8370A">
        <w:rPr>
          <w:rFonts w:ascii="Times New Roman" w:hAnsi="Times New Roman" w:cs="Times New Roman"/>
        </w:rPr>
        <w:t xml:space="preserve"> and 108</w:t>
      </w:r>
      <w:r w:rsidR="00410A1C">
        <w:rPr>
          <w:rFonts w:ascii="Times New Roman" w:hAnsi="Times New Roman" w:cs="Times New Roman"/>
        </w:rPr>
        <w:t xml:space="preserve"> applications</w:t>
      </w:r>
      <w:r w:rsidR="00E8370A">
        <w:rPr>
          <w:rFonts w:ascii="Times New Roman" w:hAnsi="Times New Roman" w:cs="Times New Roman"/>
        </w:rPr>
        <w:t xml:space="preserve"> had </w:t>
      </w:r>
      <w:r w:rsidR="00410A1C">
        <w:rPr>
          <w:rFonts w:ascii="Times New Roman" w:hAnsi="Times New Roman" w:cs="Times New Roman"/>
        </w:rPr>
        <w:t xml:space="preserve">no </w:t>
      </w:r>
      <w:r w:rsidR="00E8370A">
        <w:rPr>
          <w:rFonts w:ascii="Times New Roman" w:hAnsi="Times New Roman" w:cs="Times New Roman"/>
        </w:rPr>
        <w:t>complete status identifi</w:t>
      </w:r>
      <w:r w:rsidR="00410A1C">
        <w:rPr>
          <w:rFonts w:ascii="Times New Roman" w:hAnsi="Times New Roman" w:cs="Times New Roman"/>
        </w:rPr>
        <w:t>ed</w:t>
      </w:r>
      <w:r w:rsidR="00E8370A">
        <w:rPr>
          <w:rFonts w:ascii="Times New Roman" w:hAnsi="Times New Roman" w:cs="Times New Roman"/>
        </w:rPr>
        <w:t>.</w:t>
      </w:r>
      <w:r w:rsidR="00D968AB">
        <w:rPr>
          <w:rFonts w:ascii="Times New Roman" w:hAnsi="Times New Roman" w:cs="Times New Roman"/>
        </w:rPr>
        <w:t xml:space="preserve"> </w:t>
      </w:r>
    </w:p>
    <w:p w14:paraId="1EA432E9" w14:textId="5C305371" w:rsidR="003074B6" w:rsidRPr="003074B6" w:rsidRDefault="009D33E0" w:rsidP="003074B6">
      <w:pPr>
        <w:rPr>
          <w:rFonts w:ascii="Times New Roman" w:hAnsi="Times New Roman" w:cs="Times New Roman"/>
        </w:rPr>
      </w:pPr>
      <w:r w:rsidRPr="009D33E0">
        <w:rPr>
          <w:rFonts w:ascii="Times New Roman" w:hAnsi="Times New Roman" w:cs="Times New Roman"/>
        </w:rPr>
        <w:t>Statewide, demand for vocational education exceed</w:t>
      </w:r>
      <w:r>
        <w:rPr>
          <w:rFonts w:ascii="Times New Roman" w:hAnsi="Times New Roman" w:cs="Times New Roman"/>
        </w:rPr>
        <w:t>ed</w:t>
      </w:r>
      <w:r w:rsidRPr="009D33E0">
        <w:rPr>
          <w:rFonts w:ascii="Times New Roman" w:hAnsi="Times New Roman" w:cs="Times New Roman"/>
        </w:rPr>
        <w:t xml:space="preserve"> available seats: there </w:t>
      </w:r>
      <w:r>
        <w:rPr>
          <w:rFonts w:ascii="Times New Roman" w:hAnsi="Times New Roman" w:cs="Times New Roman"/>
        </w:rPr>
        <w:t>were</w:t>
      </w:r>
      <w:r w:rsidRPr="009D33E0">
        <w:rPr>
          <w:rFonts w:ascii="Times New Roman" w:hAnsi="Times New Roman" w:cs="Times New Roman"/>
        </w:rPr>
        <w:t xml:space="preserve"> 1.75 completed student applications for every vocational program seat.</w:t>
      </w:r>
      <w:r>
        <w:rPr>
          <w:rStyle w:val="FootnoteReference"/>
          <w:rFonts w:ascii="Times New Roman" w:hAnsi="Times New Roman" w:cs="Times New Roman"/>
        </w:rPr>
        <w:footnoteReference w:id="4"/>
      </w:r>
      <w:r w:rsidRPr="009D33E0">
        <w:rPr>
          <w:rFonts w:ascii="Times New Roman" w:hAnsi="Times New Roman" w:cs="Times New Roman"/>
        </w:rPr>
        <w:t xml:space="preserve">  And in some communities, that number </w:t>
      </w:r>
      <w:r>
        <w:rPr>
          <w:rFonts w:ascii="Times New Roman" w:hAnsi="Times New Roman" w:cs="Times New Roman"/>
        </w:rPr>
        <w:t>rose</w:t>
      </w:r>
      <w:r w:rsidRPr="009D33E0">
        <w:rPr>
          <w:rFonts w:ascii="Times New Roman" w:hAnsi="Times New Roman" w:cs="Times New Roman"/>
        </w:rPr>
        <w:t xml:space="preserve"> to twice as many applications as available seats.  It is therefore clear that demand for vocational education in Massachusetts remains high</w:t>
      </w:r>
      <w:r w:rsidR="000C78C6">
        <w:rPr>
          <w:rFonts w:ascii="Times New Roman" w:hAnsi="Times New Roman" w:cs="Times New Roman"/>
        </w:rPr>
        <w:t>.</w:t>
      </w:r>
    </w:p>
    <w:p w14:paraId="25789E7A" w14:textId="77777777" w:rsidR="003074B6" w:rsidRDefault="003074B6" w:rsidP="003074B6">
      <w:pPr>
        <w:rPr>
          <w:rFonts w:ascii="Times New Roman" w:hAnsi="Times New Roman" w:cs="Times New Roman"/>
          <w:i/>
          <w:iCs/>
        </w:rPr>
      </w:pPr>
    </w:p>
    <w:p w14:paraId="692DFF19" w14:textId="6EA9EC39" w:rsidR="003074B6" w:rsidRDefault="003074B6" w:rsidP="003074B6">
      <w:pPr>
        <w:rPr>
          <w:rFonts w:ascii="Times New Roman" w:hAnsi="Times New Roman" w:cs="Times New Roman"/>
          <w:i/>
          <w:iCs/>
        </w:rPr>
      </w:pPr>
    </w:p>
    <w:p w14:paraId="07D82F16" w14:textId="6EDDB332" w:rsidR="000C78C6" w:rsidRDefault="000C78C6" w:rsidP="003074B6">
      <w:pPr>
        <w:rPr>
          <w:rFonts w:ascii="Times New Roman" w:hAnsi="Times New Roman" w:cs="Times New Roman"/>
          <w:i/>
          <w:iCs/>
        </w:rPr>
      </w:pPr>
    </w:p>
    <w:p w14:paraId="4A3086A4" w14:textId="42AA169F" w:rsidR="00311644" w:rsidRDefault="00311644" w:rsidP="003074B6">
      <w:pPr>
        <w:rPr>
          <w:rFonts w:ascii="Times New Roman" w:hAnsi="Times New Roman" w:cs="Times New Roman"/>
          <w:i/>
          <w:iCs/>
        </w:rPr>
      </w:pPr>
    </w:p>
    <w:p w14:paraId="4C8ECE45" w14:textId="7D1A5763" w:rsidR="003074B6" w:rsidRPr="003074B6" w:rsidRDefault="003074B6" w:rsidP="003074B6">
      <w:pPr>
        <w:rPr>
          <w:rFonts w:ascii="Times New Roman" w:hAnsi="Times New Roman" w:cs="Times New Roman"/>
          <w:i/>
          <w:iCs/>
        </w:rPr>
      </w:pPr>
      <w:r w:rsidRPr="003074B6">
        <w:rPr>
          <w:rFonts w:ascii="Times New Roman" w:hAnsi="Times New Roman" w:cs="Times New Roman"/>
          <w:i/>
          <w:iCs/>
        </w:rPr>
        <w:t>Awareness Gap</w:t>
      </w:r>
    </w:p>
    <w:p w14:paraId="5E776862" w14:textId="44CEB087" w:rsidR="003074B6" w:rsidRDefault="009A609C" w:rsidP="006E5DE7">
      <w:pPr>
        <w:rPr>
          <w:rFonts w:ascii="Times New Roman" w:hAnsi="Times New Roman" w:cs="Times New Roman"/>
        </w:rPr>
      </w:pPr>
      <w:r>
        <w:rPr>
          <w:rFonts w:ascii="Times New Roman" w:hAnsi="Times New Roman" w:cs="Times New Roman"/>
          <w:noProof/>
        </w:rPr>
        <w:drawing>
          <wp:inline distT="0" distB="0" distL="0" distR="0" wp14:anchorId="6EF26959" wp14:editId="40F103B9">
            <wp:extent cx="5486400" cy="3962400"/>
            <wp:effectExtent l="0" t="0" r="0" b="0"/>
            <wp:docPr id="4" name="Chart 4" descr="  Group Unknown non Group&#10;State - FLNE 22.3  77.7&#10;CVTE - FLNE 17.7 5.6 76.7&#10;State - EL 7.6  92.4&#10;CVTE - EL 5.4 5.6 89&#10;State - SWD 18.3  81.7&#10;CVTE - SWD 21.3 5.6 73.1&#10;State - EcoDis 36.7  63.3&#10;CVTE - EcoDis 40.4 5.6 54&#10;State - SOC/WH 42.7  57.3&#10;CVTE - SOC/WH 36.7 5.6 57.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DF6117" w14:textId="77777777" w:rsidR="003074B6" w:rsidRPr="00616674" w:rsidRDefault="003074B6" w:rsidP="003074B6">
      <w:pPr>
        <w:rPr>
          <w:rFonts w:ascii="Times New Roman" w:hAnsi="Times New Roman" w:cs="Times New Roman"/>
        </w:rPr>
      </w:pPr>
      <w:r>
        <w:rPr>
          <w:rFonts w:ascii="Times New Roman" w:hAnsi="Times New Roman" w:cs="Times New Roman"/>
        </w:rPr>
        <w:t>T</w:t>
      </w:r>
      <w:r w:rsidRPr="00616674">
        <w:rPr>
          <w:rFonts w:ascii="Times New Roman" w:hAnsi="Times New Roman" w:cs="Times New Roman"/>
        </w:rPr>
        <w:t xml:space="preserve">o help interpret </w:t>
      </w:r>
      <w:r>
        <w:rPr>
          <w:rFonts w:ascii="Times New Roman" w:hAnsi="Times New Roman" w:cs="Times New Roman"/>
        </w:rPr>
        <w:t>the collected vocational data</w:t>
      </w:r>
      <w:r w:rsidRPr="00616674">
        <w:rPr>
          <w:rFonts w:ascii="Times New Roman" w:hAnsi="Times New Roman" w:cs="Times New Roman"/>
        </w:rPr>
        <w:t xml:space="preserve">, the Department identified </w:t>
      </w:r>
      <w:r>
        <w:rPr>
          <w:rFonts w:ascii="Times New Roman" w:hAnsi="Times New Roman" w:cs="Times New Roman"/>
        </w:rPr>
        <w:t>a comparison group comprised of all</w:t>
      </w:r>
      <w:r w:rsidRPr="00616674">
        <w:rPr>
          <w:rFonts w:ascii="Times New Roman" w:hAnsi="Times New Roman" w:cs="Times New Roman"/>
        </w:rPr>
        <w:t xml:space="preserve"> student</w:t>
      </w:r>
      <w:r>
        <w:rPr>
          <w:rFonts w:ascii="Times New Roman" w:hAnsi="Times New Roman" w:cs="Times New Roman"/>
        </w:rPr>
        <w:t xml:space="preserve">s </w:t>
      </w:r>
      <w:r w:rsidRPr="00616674">
        <w:rPr>
          <w:rFonts w:ascii="Times New Roman" w:hAnsi="Times New Roman" w:cs="Times New Roman"/>
        </w:rPr>
        <w:t xml:space="preserve">enrolled in grade 9 at </w:t>
      </w:r>
      <w:r>
        <w:rPr>
          <w:rFonts w:ascii="Times New Roman" w:hAnsi="Times New Roman" w:cs="Times New Roman"/>
        </w:rPr>
        <w:t>any</w:t>
      </w:r>
      <w:r w:rsidRPr="00616674">
        <w:rPr>
          <w:rFonts w:ascii="Times New Roman" w:hAnsi="Times New Roman" w:cs="Times New Roman"/>
        </w:rPr>
        <w:t xml:space="preserve"> Massachusetts public school</w:t>
      </w:r>
      <w:r>
        <w:rPr>
          <w:rFonts w:ascii="Times New Roman" w:hAnsi="Times New Roman" w:cs="Times New Roman"/>
        </w:rPr>
        <w:t xml:space="preserve">, totaling </w:t>
      </w:r>
      <w:r w:rsidRPr="00616674">
        <w:rPr>
          <w:rFonts w:ascii="Times New Roman" w:hAnsi="Times New Roman" w:cs="Times New Roman"/>
        </w:rPr>
        <w:t xml:space="preserve">73,353 students. </w:t>
      </w:r>
      <w:r>
        <w:rPr>
          <w:rFonts w:ascii="Times New Roman" w:hAnsi="Times New Roman" w:cs="Times New Roman"/>
        </w:rPr>
        <w:t>The Department chose to use this group as a comparison point because all of these students were promoted to ninth grade (a condition</w:t>
      </w:r>
      <w:r>
        <w:rPr>
          <w:rStyle w:val="FootnoteReference"/>
          <w:rFonts w:ascii="Times New Roman" w:hAnsi="Times New Roman" w:cs="Times New Roman"/>
        </w:rPr>
        <w:footnoteReference w:id="5"/>
      </w:r>
      <w:r>
        <w:rPr>
          <w:rFonts w:ascii="Times New Roman" w:hAnsi="Times New Roman" w:cs="Times New Roman"/>
        </w:rPr>
        <w:t xml:space="preserve"> of admission to CVTE schools and programs)</w:t>
      </w:r>
      <w:r w:rsidRPr="00616674">
        <w:rPr>
          <w:rFonts w:ascii="Times New Roman" w:hAnsi="Times New Roman" w:cs="Times New Roman"/>
        </w:rPr>
        <w:t>.</w:t>
      </w:r>
      <w:r>
        <w:rPr>
          <w:rFonts w:ascii="Times New Roman" w:hAnsi="Times New Roman" w:cs="Times New Roman"/>
        </w:rPr>
        <w:t xml:space="preserve">  The comparison group contained the following student populations:</w:t>
      </w:r>
    </w:p>
    <w:p w14:paraId="3C9C8D51" w14:textId="77777777" w:rsidR="003074B6" w:rsidRPr="00616674" w:rsidRDefault="003074B6" w:rsidP="003074B6">
      <w:pPr>
        <w:pStyle w:val="ListParagraph"/>
        <w:numPr>
          <w:ilvl w:val="0"/>
          <w:numId w:val="6"/>
        </w:numPr>
        <w:rPr>
          <w:rFonts w:ascii="Times New Roman" w:hAnsi="Times New Roman" w:cs="Times New Roman"/>
        </w:rPr>
      </w:pPr>
      <w:r w:rsidRPr="00616674">
        <w:rPr>
          <w:rFonts w:ascii="Times New Roman" w:hAnsi="Times New Roman" w:cs="Times New Roman"/>
        </w:rPr>
        <w:t>31,299 (42.7%) students of color and 42,054 (57.3%)</w:t>
      </w:r>
      <w:r>
        <w:rPr>
          <w:rFonts w:ascii="Times New Roman" w:hAnsi="Times New Roman" w:cs="Times New Roman"/>
        </w:rPr>
        <w:t xml:space="preserve"> white</w:t>
      </w:r>
      <w:r w:rsidRPr="00616674">
        <w:rPr>
          <w:rFonts w:ascii="Times New Roman" w:hAnsi="Times New Roman" w:cs="Times New Roman"/>
        </w:rPr>
        <w:t xml:space="preserve"> students.</w:t>
      </w:r>
    </w:p>
    <w:p w14:paraId="5CE62DB9" w14:textId="77777777" w:rsidR="003074B6" w:rsidRPr="00616674" w:rsidRDefault="003074B6" w:rsidP="003074B6">
      <w:pPr>
        <w:pStyle w:val="ListParagraph"/>
        <w:numPr>
          <w:ilvl w:val="0"/>
          <w:numId w:val="6"/>
        </w:numPr>
        <w:rPr>
          <w:rFonts w:ascii="Times New Roman" w:hAnsi="Times New Roman" w:cs="Times New Roman"/>
        </w:rPr>
      </w:pPr>
      <w:r w:rsidRPr="00616674">
        <w:rPr>
          <w:rFonts w:ascii="Times New Roman" w:hAnsi="Times New Roman" w:cs="Times New Roman"/>
        </w:rPr>
        <w:t>26,904 (36.7%) economically</w:t>
      </w:r>
      <w:r>
        <w:rPr>
          <w:rFonts w:ascii="Times New Roman" w:hAnsi="Times New Roman" w:cs="Times New Roman"/>
        </w:rPr>
        <w:t>-</w:t>
      </w:r>
      <w:r w:rsidRPr="00616674">
        <w:rPr>
          <w:rFonts w:ascii="Times New Roman" w:hAnsi="Times New Roman" w:cs="Times New Roman"/>
        </w:rPr>
        <w:t xml:space="preserve">disadvantaged </w:t>
      </w:r>
      <w:r>
        <w:rPr>
          <w:rFonts w:ascii="Times New Roman" w:hAnsi="Times New Roman" w:cs="Times New Roman"/>
        </w:rPr>
        <w:t xml:space="preserve">students </w:t>
      </w:r>
      <w:r w:rsidRPr="00616674">
        <w:rPr>
          <w:rFonts w:ascii="Times New Roman" w:hAnsi="Times New Roman" w:cs="Times New Roman"/>
        </w:rPr>
        <w:t>and 46,449 (63.3%) not economically</w:t>
      </w:r>
      <w:r>
        <w:rPr>
          <w:rFonts w:ascii="Times New Roman" w:hAnsi="Times New Roman" w:cs="Times New Roman"/>
        </w:rPr>
        <w:t>-</w:t>
      </w:r>
      <w:r w:rsidRPr="00616674">
        <w:rPr>
          <w:rFonts w:ascii="Times New Roman" w:hAnsi="Times New Roman" w:cs="Times New Roman"/>
        </w:rPr>
        <w:t>disadvantaged.</w:t>
      </w:r>
    </w:p>
    <w:p w14:paraId="0574EF1F" w14:textId="77777777" w:rsidR="003074B6" w:rsidRPr="00616674" w:rsidRDefault="003074B6" w:rsidP="003074B6">
      <w:pPr>
        <w:pStyle w:val="ListParagraph"/>
        <w:numPr>
          <w:ilvl w:val="0"/>
          <w:numId w:val="6"/>
        </w:numPr>
        <w:rPr>
          <w:rFonts w:ascii="Times New Roman" w:hAnsi="Times New Roman" w:cs="Times New Roman"/>
        </w:rPr>
      </w:pPr>
      <w:r w:rsidRPr="00616674">
        <w:rPr>
          <w:rFonts w:ascii="Times New Roman" w:hAnsi="Times New Roman" w:cs="Times New Roman"/>
        </w:rPr>
        <w:t>13,445 (18.3%) students with disabilities and 59,908 (81.7%) students without disabilities.</w:t>
      </w:r>
    </w:p>
    <w:p w14:paraId="720634BA" w14:textId="3693A677" w:rsidR="003074B6" w:rsidRDefault="003074B6" w:rsidP="003074B6">
      <w:pPr>
        <w:pStyle w:val="ListParagraph"/>
        <w:numPr>
          <w:ilvl w:val="0"/>
          <w:numId w:val="6"/>
        </w:numPr>
        <w:rPr>
          <w:rFonts w:ascii="Times New Roman" w:hAnsi="Times New Roman" w:cs="Times New Roman"/>
        </w:rPr>
      </w:pPr>
      <w:r w:rsidRPr="009A609C">
        <w:rPr>
          <w:rFonts w:ascii="Times New Roman" w:hAnsi="Times New Roman" w:cs="Times New Roman"/>
        </w:rPr>
        <w:t xml:space="preserve">5,602 (7.6%) English </w:t>
      </w:r>
      <w:r w:rsidR="00BB47F3">
        <w:rPr>
          <w:rFonts w:ascii="Times New Roman" w:hAnsi="Times New Roman" w:cs="Times New Roman"/>
        </w:rPr>
        <w:t>L</w:t>
      </w:r>
      <w:r w:rsidRPr="009A609C">
        <w:rPr>
          <w:rFonts w:ascii="Times New Roman" w:hAnsi="Times New Roman" w:cs="Times New Roman"/>
        </w:rPr>
        <w:t xml:space="preserve">earners and 67,751 (92.4%) </w:t>
      </w:r>
      <w:r w:rsidR="0063596A">
        <w:rPr>
          <w:rFonts w:ascii="Times New Roman" w:hAnsi="Times New Roman" w:cs="Times New Roman"/>
        </w:rPr>
        <w:t xml:space="preserve">not </w:t>
      </w:r>
      <w:r w:rsidRPr="009A609C">
        <w:rPr>
          <w:rFonts w:ascii="Times New Roman" w:hAnsi="Times New Roman" w:cs="Times New Roman"/>
        </w:rPr>
        <w:t xml:space="preserve">English </w:t>
      </w:r>
      <w:r w:rsidR="00BB47F3">
        <w:rPr>
          <w:rFonts w:ascii="Times New Roman" w:hAnsi="Times New Roman" w:cs="Times New Roman"/>
        </w:rPr>
        <w:t>L</w:t>
      </w:r>
      <w:r w:rsidRPr="009A609C">
        <w:rPr>
          <w:rFonts w:ascii="Times New Roman" w:hAnsi="Times New Roman" w:cs="Times New Roman"/>
        </w:rPr>
        <w:t>earners.</w:t>
      </w:r>
    </w:p>
    <w:p w14:paraId="7321B3CF" w14:textId="5E16A1EB" w:rsidR="003074B6" w:rsidRPr="009A609C" w:rsidRDefault="003074B6" w:rsidP="003074B6">
      <w:pPr>
        <w:pStyle w:val="ListParagraph"/>
        <w:numPr>
          <w:ilvl w:val="0"/>
          <w:numId w:val="6"/>
        </w:numPr>
        <w:rPr>
          <w:rFonts w:ascii="Times New Roman" w:hAnsi="Times New Roman" w:cs="Times New Roman"/>
        </w:rPr>
      </w:pPr>
      <w:r w:rsidRPr="009A609C">
        <w:rPr>
          <w:rFonts w:ascii="Times New Roman" w:hAnsi="Times New Roman" w:cs="Times New Roman"/>
        </w:rPr>
        <w:t>16,365 (22.3%) students whose first language is not English and 56,988 (77.7%) students who</w:t>
      </w:r>
      <w:r w:rsidR="000C78C6">
        <w:rPr>
          <w:rFonts w:ascii="Times New Roman" w:hAnsi="Times New Roman" w:cs="Times New Roman"/>
        </w:rPr>
        <w:t>se</w:t>
      </w:r>
      <w:r w:rsidRPr="009A609C">
        <w:rPr>
          <w:rFonts w:ascii="Times New Roman" w:hAnsi="Times New Roman" w:cs="Times New Roman"/>
        </w:rPr>
        <w:t xml:space="preserve"> first language is English.</w:t>
      </w:r>
    </w:p>
    <w:p w14:paraId="6EFC104C" w14:textId="6736D803" w:rsidR="003074B6" w:rsidRPr="00616674" w:rsidRDefault="003074B6" w:rsidP="003074B6">
      <w:pPr>
        <w:rPr>
          <w:rFonts w:ascii="Times New Roman" w:hAnsi="Times New Roman" w:cs="Times New Roman"/>
        </w:rPr>
      </w:pPr>
      <w:r>
        <w:rPr>
          <w:rFonts w:ascii="Times New Roman" w:hAnsi="Times New Roman" w:cs="Times New Roman"/>
        </w:rPr>
        <w:lastRenderedPageBreak/>
        <w:t>For the 18,560 grade 9 students with complete vocational applications, the Department determined the following</w:t>
      </w:r>
      <w:r>
        <w:rPr>
          <w:rStyle w:val="FootnoteReference"/>
          <w:rFonts w:ascii="Times New Roman" w:hAnsi="Times New Roman" w:cs="Times New Roman"/>
        </w:rPr>
        <w:footnoteReference w:id="6"/>
      </w:r>
      <w:r w:rsidR="000C78C6">
        <w:rPr>
          <w:rFonts w:ascii="Times New Roman" w:hAnsi="Times New Roman" w:cs="Times New Roman"/>
        </w:rPr>
        <w:t xml:space="preserve"> regarding student populations represented</w:t>
      </w:r>
      <w:r>
        <w:rPr>
          <w:rFonts w:ascii="Times New Roman" w:hAnsi="Times New Roman" w:cs="Times New Roman"/>
        </w:rPr>
        <w:t>:</w:t>
      </w:r>
    </w:p>
    <w:p w14:paraId="570A1670" w14:textId="3E09D616" w:rsidR="003074B6" w:rsidRPr="00616674" w:rsidRDefault="003074B6" w:rsidP="003074B6">
      <w:pPr>
        <w:pStyle w:val="ListParagraph"/>
        <w:numPr>
          <w:ilvl w:val="0"/>
          <w:numId w:val="1"/>
        </w:numPr>
        <w:rPr>
          <w:rFonts w:ascii="Times New Roman" w:hAnsi="Times New Roman" w:cs="Times New Roman"/>
        </w:rPr>
      </w:pPr>
      <w:r>
        <w:rPr>
          <w:rFonts w:ascii="Times New Roman" w:hAnsi="Times New Roman" w:cs="Times New Roman"/>
        </w:rPr>
        <w:t>6,816</w:t>
      </w:r>
      <w:r w:rsidRPr="00616674">
        <w:rPr>
          <w:rFonts w:ascii="Times New Roman" w:hAnsi="Times New Roman" w:cs="Times New Roman"/>
        </w:rPr>
        <w:t xml:space="preserve"> (</w:t>
      </w:r>
      <w:r>
        <w:rPr>
          <w:rFonts w:ascii="Times New Roman" w:hAnsi="Times New Roman" w:cs="Times New Roman"/>
        </w:rPr>
        <w:t>36.7</w:t>
      </w:r>
      <w:r w:rsidRPr="00616674">
        <w:rPr>
          <w:rFonts w:ascii="Times New Roman" w:hAnsi="Times New Roman" w:cs="Times New Roman"/>
        </w:rPr>
        <w:t xml:space="preserve">%) students of color and </w:t>
      </w:r>
      <w:r>
        <w:rPr>
          <w:rFonts w:ascii="Times New Roman" w:hAnsi="Times New Roman" w:cs="Times New Roman"/>
        </w:rPr>
        <w:t>10,704</w:t>
      </w:r>
      <w:r w:rsidRPr="00616674">
        <w:rPr>
          <w:rFonts w:ascii="Times New Roman" w:hAnsi="Times New Roman" w:cs="Times New Roman"/>
        </w:rPr>
        <w:t xml:space="preserve"> (</w:t>
      </w:r>
      <w:r>
        <w:rPr>
          <w:rFonts w:ascii="Times New Roman" w:hAnsi="Times New Roman" w:cs="Times New Roman"/>
        </w:rPr>
        <w:t>57.7</w:t>
      </w:r>
      <w:r w:rsidRPr="00616674">
        <w:rPr>
          <w:rFonts w:ascii="Times New Roman" w:hAnsi="Times New Roman" w:cs="Times New Roman"/>
        </w:rPr>
        <w:t>%) white students.</w:t>
      </w:r>
    </w:p>
    <w:p w14:paraId="390BB701" w14:textId="77777777" w:rsidR="003074B6" w:rsidRPr="00616674" w:rsidRDefault="003074B6" w:rsidP="003074B6">
      <w:pPr>
        <w:pStyle w:val="ListParagraph"/>
        <w:numPr>
          <w:ilvl w:val="0"/>
          <w:numId w:val="1"/>
        </w:numPr>
        <w:rPr>
          <w:rFonts w:ascii="Times New Roman" w:hAnsi="Times New Roman" w:cs="Times New Roman"/>
        </w:rPr>
      </w:pPr>
      <w:r>
        <w:rPr>
          <w:rFonts w:ascii="Times New Roman" w:hAnsi="Times New Roman" w:cs="Times New Roman"/>
        </w:rPr>
        <w:t>7,490</w:t>
      </w:r>
      <w:r w:rsidRPr="00616674">
        <w:rPr>
          <w:rFonts w:ascii="Times New Roman" w:hAnsi="Times New Roman" w:cs="Times New Roman"/>
        </w:rPr>
        <w:t xml:space="preserve"> (</w:t>
      </w:r>
      <w:r>
        <w:rPr>
          <w:rFonts w:ascii="Times New Roman" w:hAnsi="Times New Roman" w:cs="Times New Roman"/>
        </w:rPr>
        <w:t>40.4</w:t>
      </w:r>
      <w:r w:rsidRPr="00616674">
        <w:rPr>
          <w:rFonts w:ascii="Times New Roman" w:hAnsi="Times New Roman" w:cs="Times New Roman"/>
        </w:rPr>
        <w:t>%) economically</w:t>
      </w:r>
      <w:r>
        <w:rPr>
          <w:rFonts w:ascii="Times New Roman" w:hAnsi="Times New Roman" w:cs="Times New Roman"/>
        </w:rPr>
        <w:t>-</w:t>
      </w:r>
      <w:r w:rsidRPr="00616674">
        <w:rPr>
          <w:rFonts w:ascii="Times New Roman" w:hAnsi="Times New Roman" w:cs="Times New Roman"/>
        </w:rPr>
        <w:t xml:space="preserve">disadvantaged and </w:t>
      </w:r>
      <w:r>
        <w:rPr>
          <w:rFonts w:ascii="Times New Roman" w:hAnsi="Times New Roman" w:cs="Times New Roman"/>
        </w:rPr>
        <w:t>10,030</w:t>
      </w:r>
      <w:r w:rsidRPr="00616674">
        <w:rPr>
          <w:rFonts w:ascii="Times New Roman" w:hAnsi="Times New Roman" w:cs="Times New Roman"/>
        </w:rPr>
        <w:t xml:space="preserve"> (</w:t>
      </w:r>
      <w:r>
        <w:rPr>
          <w:rFonts w:ascii="Times New Roman" w:hAnsi="Times New Roman" w:cs="Times New Roman"/>
        </w:rPr>
        <w:t>54.0</w:t>
      </w:r>
      <w:r w:rsidRPr="00616674">
        <w:rPr>
          <w:rFonts w:ascii="Times New Roman" w:hAnsi="Times New Roman" w:cs="Times New Roman"/>
        </w:rPr>
        <w:t>%)</w:t>
      </w:r>
      <w:r>
        <w:rPr>
          <w:rFonts w:ascii="Times New Roman" w:hAnsi="Times New Roman" w:cs="Times New Roman"/>
        </w:rPr>
        <w:t xml:space="preserve"> </w:t>
      </w:r>
      <w:r w:rsidRPr="00616674">
        <w:rPr>
          <w:rFonts w:ascii="Times New Roman" w:hAnsi="Times New Roman" w:cs="Times New Roman"/>
        </w:rPr>
        <w:t>not economically</w:t>
      </w:r>
      <w:r>
        <w:rPr>
          <w:rFonts w:ascii="Times New Roman" w:hAnsi="Times New Roman" w:cs="Times New Roman"/>
        </w:rPr>
        <w:t>-</w:t>
      </w:r>
      <w:r w:rsidRPr="00616674">
        <w:rPr>
          <w:rFonts w:ascii="Times New Roman" w:hAnsi="Times New Roman" w:cs="Times New Roman"/>
        </w:rPr>
        <w:t>disadvantaged.</w:t>
      </w:r>
    </w:p>
    <w:p w14:paraId="117885EC" w14:textId="77777777" w:rsidR="003074B6" w:rsidRPr="00616674" w:rsidRDefault="003074B6" w:rsidP="003074B6">
      <w:pPr>
        <w:pStyle w:val="ListParagraph"/>
        <w:numPr>
          <w:ilvl w:val="0"/>
          <w:numId w:val="1"/>
        </w:numPr>
        <w:rPr>
          <w:rFonts w:ascii="Times New Roman" w:hAnsi="Times New Roman" w:cs="Times New Roman"/>
        </w:rPr>
      </w:pPr>
      <w:r>
        <w:rPr>
          <w:rFonts w:ascii="Times New Roman" w:hAnsi="Times New Roman" w:cs="Times New Roman"/>
        </w:rPr>
        <w:t>3,944</w:t>
      </w:r>
      <w:r w:rsidRPr="00616674">
        <w:rPr>
          <w:rFonts w:ascii="Times New Roman" w:hAnsi="Times New Roman" w:cs="Times New Roman"/>
        </w:rPr>
        <w:t xml:space="preserve"> (</w:t>
      </w:r>
      <w:r>
        <w:rPr>
          <w:rFonts w:ascii="Times New Roman" w:hAnsi="Times New Roman" w:cs="Times New Roman"/>
        </w:rPr>
        <w:t>21.3</w:t>
      </w:r>
      <w:r w:rsidRPr="00616674">
        <w:rPr>
          <w:rFonts w:ascii="Times New Roman" w:hAnsi="Times New Roman" w:cs="Times New Roman"/>
        </w:rPr>
        <w:t>%) students with disabilit</w:t>
      </w:r>
      <w:r>
        <w:rPr>
          <w:rFonts w:ascii="Times New Roman" w:hAnsi="Times New Roman" w:cs="Times New Roman"/>
        </w:rPr>
        <w:t>ies</w:t>
      </w:r>
      <w:r w:rsidRPr="00616674">
        <w:rPr>
          <w:rFonts w:ascii="Times New Roman" w:hAnsi="Times New Roman" w:cs="Times New Roman"/>
        </w:rPr>
        <w:t xml:space="preserve"> and </w:t>
      </w:r>
      <w:r>
        <w:rPr>
          <w:rFonts w:ascii="Times New Roman" w:hAnsi="Times New Roman" w:cs="Times New Roman"/>
        </w:rPr>
        <w:t>13,576</w:t>
      </w:r>
      <w:r w:rsidRPr="00616674">
        <w:rPr>
          <w:rFonts w:ascii="Times New Roman" w:hAnsi="Times New Roman" w:cs="Times New Roman"/>
        </w:rPr>
        <w:t xml:space="preserve"> (</w:t>
      </w:r>
      <w:r>
        <w:rPr>
          <w:rFonts w:ascii="Times New Roman" w:hAnsi="Times New Roman" w:cs="Times New Roman"/>
        </w:rPr>
        <w:t>73.1</w:t>
      </w:r>
      <w:r w:rsidRPr="00616674">
        <w:rPr>
          <w:rFonts w:ascii="Times New Roman" w:hAnsi="Times New Roman" w:cs="Times New Roman"/>
        </w:rPr>
        <w:t>%) students without disabilit</w:t>
      </w:r>
      <w:r>
        <w:rPr>
          <w:rFonts w:ascii="Times New Roman" w:hAnsi="Times New Roman" w:cs="Times New Roman"/>
        </w:rPr>
        <w:t>ies</w:t>
      </w:r>
      <w:r w:rsidRPr="00616674">
        <w:rPr>
          <w:rFonts w:ascii="Times New Roman" w:hAnsi="Times New Roman" w:cs="Times New Roman"/>
        </w:rPr>
        <w:t>.</w:t>
      </w:r>
    </w:p>
    <w:p w14:paraId="57B65911" w14:textId="73B90C47" w:rsidR="003074B6" w:rsidRPr="00616674" w:rsidRDefault="003074B6" w:rsidP="003074B6">
      <w:pPr>
        <w:pStyle w:val="ListParagraph"/>
        <w:numPr>
          <w:ilvl w:val="0"/>
          <w:numId w:val="1"/>
        </w:numPr>
        <w:rPr>
          <w:rFonts w:ascii="Times New Roman" w:hAnsi="Times New Roman" w:cs="Times New Roman"/>
        </w:rPr>
      </w:pPr>
      <w:r>
        <w:rPr>
          <w:rFonts w:ascii="Times New Roman" w:hAnsi="Times New Roman" w:cs="Times New Roman"/>
        </w:rPr>
        <w:t>1,009</w:t>
      </w:r>
      <w:r w:rsidRPr="00616674">
        <w:rPr>
          <w:rFonts w:ascii="Times New Roman" w:hAnsi="Times New Roman" w:cs="Times New Roman"/>
        </w:rPr>
        <w:t xml:space="preserve"> (</w:t>
      </w:r>
      <w:r>
        <w:rPr>
          <w:rFonts w:ascii="Times New Roman" w:hAnsi="Times New Roman" w:cs="Times New Roman"/>
        </w:rPr>
        <w:t>5.4</w:t>
      </w:r>
      <w:r w:rsidRPr="00616674">
        <w:rPr>
          <w:rFonts w:ascii="Times New Roman" w:hAnsi="Times New Roman" w:cs="Times New Roman"/>
        </w:rPr>
        <w:t xml:space="preserve">%) English </w:t>
      </w:r>
      <w:r w:rsidR="00BB47F3">
        <w:rPr>
          <w:rFonts w:ascii="Times New Roman" w:hAnsi="Times New Roman" w:cs="Times New Roman"/>
        </w:rPr>
        <w:t>L</w:t>
      </w:r>
      <w:r w:rsidRPr="00616674">
        <w:rPr>
          <w:rFonts w:ascii="Times New Roman" w:hAnsi="Times New Roman" w:cs="Times New Roman"/>
        </w:rPr>
        <w:t xml:space="preserve">earners and </w:t>
      </w:r>
      <w:r>
        <w:rPr>
          <w:rFonts w:ascii="Times New Roman" w:hAnsi="Times New Roman" w:cs="Times New Roman"/>
        </w:rPr>
        <w:t>16,511</w:t>
      </w:r>
      <w:r w:rsidRPr="00616674">
        <w:rPr>
          <w:rFonts w:ascii="Times New Roman" w:hAnsi="Times New Roman" w:cs="Times New Roman"/>
        </w:rPr>
        <w:t xml:space="preserve"> (</w:t>
      </w:r>
      <w:r>
        <w:rPr>
          <w:rFonts w:ascii="Times New Roman" w:hAnsi="Times New Roman" w:cs="Times New Roman"/>
        </w:rPr>
        <w:t>89.0</w:t>
      </w:r>
      <w:r w:rsidRPr="00616674">
        <w:rPr>
          <w:rFonts w:ascii="Times New Roman" w:hAnsi="Times New Roman" w:cs="Times New Roman"/>
        </w:rPr>
        <w:t xml:space="preserve">%) </w:t>
      </w:r>
      <w:r w:rsidR="0063596A">
        <w:rPr>
          <w:rFonts w:ascii="Times New Roman" w:hAnsi="Times New Roman" w:cs="Times New Roman"/>
        </w:rPr>
        <w:t xml:space="preserve">not </w:t>
      </w:r>
      <w:r w:rsidRPr="00616674">
        <w:rPr>
          <w:rFonts w:ascii="Times New Roman" w:hAnsi="Times New Roman" w:cs="Times New Roman"/>
        </w:rPr>
        <w:t xml:space="preserve">English </w:t>
      </w:r>
      <w:r w:rsidR="00BB47F3">
        <w:rPr>
          <w:rFonts w:ascii="Times New Roman" w:hAnsi="Times New Roman" w:cs="Times New Roman"/>
        </w:rPr>
        <w:t>L</w:t>
      </w:r>
      <w:r w:rsidRPr="00616674">
        <w:rPr>
          <w:rFonts w:ascii="Times New Roman" w:hAnsi="Times New Roman" w:cs="Times New Roman"/>
        </w:rPr>
        <w:t>earners.</w:t>
      </w:r>
    </w:p>
    <w:p w14:paraId="3F5C0959" w14:textId="232FBE6A" w:rsidR="003074B6" w:rsidRPr="003074B6" w:rsidRDefault="003074B6" w:rsidP="003074B6">
      <w:pPr>
        <w:pStyle w:val="ListParagraph"/>
        <w:numPr>
          <w:ilvl w:val="0"/>
          <w:numId w:val="1"/>
        </w:numPr>
        <w:rPr>
          <w:rFonts w:ascii="Times New Roman" w:hAnsi="Times New Roman" w:cs="Times New Roman"/>
        </w:rPr>
      </w:pPr>
      <w:r>
        <w:rPr>
          <w:rFonts w:ascii="Times New Roman" w:hAnsi="Times New Roman" w:cs="Times New Roman"/>
        </w:rPr>
        <w:t>3,289</w:t>
      </w:r>
      <w:r w:rsidRPr="00616674">
        <w:rPr>
          <w:rFonts w:ascii="Times New Roman" w:hAnsi="Times New Roman" w:cs="Times New Roman"/>
        </w:rPr>
        <w:t xml:space="preserve"> (</w:t>
      </w:r>
      <w:r>
        <w:rPr>
          <w:rFonts w:ascii="Times New Roman" w:hAnsi="Times New Roman" w:cs="Times New Roman"/>
        </w:rPr>
        <w:t>17.7</w:t>
      </w:r>
      <w:r w:rsidRPr="00616674">
        <w:rPr>
          <w:rFonts w:ascii="Times New Roman" w:hAnsi="Times New Roman" w:cs="Times New Roman"/>
        </w:rPr>
        <w:t xml:space="preserve">%) students whose first language is not English and </w:t>
      </w:r>
      <w:r>
        <w:rPr>
          <w:rFonts w:ascii="Times New Roman" w:hAnsi="Times New Roman" w:cs="Times New Roman"/>
        </w:rPr>
        <w:t>14,231</w:t>
      </w:r>
      <w:r w:rsidRPr="00616674">
        <w:rPr>
          <w:rFonts w:ascii="Times New Roman" w:hAnsi="Times New Roman" w:cs="Times New Roman"/>
        </w:rPr>
        <w:t xml:space="preserve"> (</w:t>
      </w:r>
      <w:r>
        <w:rPr>
          <w:rFonts w:ascii="Times New Roman" w:hAnsi="Times New Roman" w:cs="Times New Roman"/>
        </w:rPr>
        <w:t>76.7</w:t>
      </w:r>
      <w:r w:rsidRPr="00616674">
        <w:rPr>
          <w:rFonts w:ascii="Times New Roman" w:hAnsi="Times New Roman" w:cs="Times New Roman"/>
        </w:rPr>
        <w:t>%) students whose first language is English.</w:t>
      </w:r>
    </w:p>
    <w:p w14:paraId="5930EBB0" w14:textId="2A6B3E59" w:rsidR="003074B6" w:rsidRPr="009A3132" w:rsidRDefault="003074B6" w:rsidP="003074B6">
      <w:pPr>
        <w:keepNext/>
        <w:widowControl w:val="0"/>
        <w:rPr>
          <w:rFonts w:ascii="Times New Roman" w:hAnsi="Times New Roman" w:cs="Times New Roman"/>
        </w:rPr>
      </w:pPr>
      <w:r>
        <w:rPr>
          <w:rFonts w:ascii="Times New Roman" w:hAnsi="Times New Roman" w:cs="Times New Roman"/>
        </w:rPr>
        <w:t>While students identified as economically-disadvantaged and students with disabilities applied to CVTE school</w:t>
      </w:r>
      <w:r w:rsidR="000C78C6">
        <w:rPr>
          <w:rFonts w:ascii="Times New Roman" w:hAnsi="Times New Roman" w:cs="Times New Roman"/>
        </w:rPr>
        <w:t>s</w:t>
      </w:r>
      <w:r>
        <w:rPr>
          <w:rFonts w:ascii="Times New Roman" w:hAnsi="Times New Roman" w:cs="Times New Roman"/>
        </w:rPr>
        <w:t xml:space="preserve"> or program</w:t>
      </w:r>
      <w:r w:rsidR="000C78C6">
        <w:rPr>
          <w:rFonts w:ascii="Times New Roman" w:hAnsi="Times New Roman" w:cs="Times New Roman"/>
        </w:rPr>
        <w:t>s</w:t>
      </w:r>
      <w:r>
        <w:rPr>
          <w:rFonts w:ascii="Times New Roman" w:hAnsi="Times New Roman" w:cs="Times New Roman"/>
        </w:rPr>
        <w:t xml:space="preserve"> at a greater rate than the statewide comparison group, students of color, English </w:t>
      </w:r>
      <w:r w:rsidR="00BB47F3">
        <w:rPr>
          <w:rFonts w:ascii="Times New Roman" w:hAnsi="Times New Roman" w:cs="Times New Roman"/>
        </w:rPr>
        <w:t>L</w:t>
      </w:r>
      <w:r>
        <w:rPr>
          <w:rFonts w:ascii="Times New Roman" w:hAnsi="Times New Roman" w:cs="Times New Roman"/>
        </w:rPr>
        <w:t>earners,</w:t>
      </w:r>
      <w:r w:rsidR="002649CD">
        <w:rPr>
          <w:rStyle w:val="FootnoteReference"/>
          <w:rFonts w:ascii="Times New Roman" w:hAnsi="Times New Roman" w:cs="Times New Roman"/>
        </w:rPr>
        <w:footnoteReference w:id="7"/>
      </w:r>
      <w:r>
        <w:rPr>
          <w:rFonts w:ascii="Times New Roman" w:hAnsi="Times New Roman" w:cs="Times New Roman"/>
        </w:rPr>
        <w:t xml:space="preserve"> and students who first language is not English applied at a lesser rate than </w:t>
      </w:r>
      <w:r w:rsidR="000C78C6">
        <w:rPr>
          <w:rFonts w:ascii="Times New Roman" w:hAnsi="Times New Roman" w:cs="Times New Roman"/>
        </w:rPr>
        <w:t>the</w:t>
      </w:r>
      <w:r>
        <w:rPr>
          <w:rFonts w:ascii="Times New Roman" w:hAnsi="Times New Roman" w:cs="Times New Roman"/>
        </w:rPr>
        <w:t xml:space="preserve"> statewide comparison group. This disparity in application submission rates indicates an awareness gap for these student subgroups</w:t>
      </w:r>
      <w:r w:rsidR="000C78C6">
        <w:rPr>
          <w:rFonts w:ascii="Times New Roman" w:hAnsi="Times New Roman" w:cs="Times New Roman"/>
        </w:rPr>
        <w:t>.</w:t>
      </w:r>
    </w:p>
    <w:p w14:paraId="6A5E0DC0" w14:textId="77777777" w:rsidR="003074B6" w:rsidRDefault="003074B6" w:rsidP="006E5DE7">
      <w:pPr>
        <w:rPr>
          <w:rFonts w:ascii="Times New Roman" w:hAnsi="Times New Roman" w:cs="Times New Roman"/>
        </w:rPr>
      </w:pPr>
    </w:p>
    <w:p w14:paraId="6BEF004F" w14:textId="59AAEA10" w:rsidR="003074B6" w:rsidRDefault="003074B6" w:rsidP="006E5DE7">
      <w:pPr>
        <w:rPr>
          <w:rFonts w:ascii="Times New Roman" w:hAnsi="Times New Roman" w:cs="Times New Roman"/>
        </w:rPr>
      </w:pPr>
      <w:r w:rsidRPr="003074B6">
        <w:rPr>
          <w:rFonts w:ascii="Times New Roman" w:hAnsi="Times New Roman" w:cs="Times New Roman"/>
          <w:i/>
          <w:iCs/>
        </w:rPr>
        <w:t>Opportunity Gap</w:t>
      </w:r>
    </w:p>
    <w:p w14:paraId="741916E6" w14:textId="7AF46E23" w:rsidR="00CE66E7" w:rsidRPr="00CE66E7" w:rsidRDefault="00CE66E7" w:rsidP="00B62EFD">
      <w:pPr>
        <w:rPr>
          <w:rFonts w:ascii="Times New Roman" w:hAnsi="Times New Roman" w:cs="Times New Roman"/>
        </w:rPr>
      </w:pPr>
      <w:r>
        <w:rPr>
          <w:rFonts w:ascii="Times New Roman" w:hAnsi="Times New Roman" w:cs="Times New Roman"/>
          <w:noProof/>
        </w:rPr>
        <w:drawing>
          <wp:inline distT="0" distB="0" distL="0" distR="0" wp14:anchorId="0E323CB7" wp14:editId="0FBDA414">
            <wp:extent cx="5943600" cy="3200400"/>
            <wp:effectExtent l="0" t="0" r="0" b="0"/>
            <wp:docPr id="1" name="Chart 1" descr="  All Students Stu. of Color White EcoDis non EcoDis SWD non SWD EL non EL FLNE non FLNE unknown&#10;Offer of admission (rate %) 62.5 60.4 73.2 58.5 75.4 58.2 71.1 51.2 69.2 57.3 70.7 4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B56EE1" w14:textId="513C39FD" w:rsidR="003074B6" w:rsidRPr="003074B6" w:rsidRDefault="003074B6" w:rsidP="003074B6">
      <w:pPr>
        <w:rPr>
          <w:rFonts w:ascii="Times New Roman" w:hAnsi="Times New Roman" w:cs="Times New Roman"/>
        </w:rPr>
      </w:pPr>
      <w:r>
        <w:rPr>
          <w:rFonts w:ascii="Times New Roman" w:hAnsi="Times New Roman" w:cs="Times New Roman"/>
        </w:rPr>
        <w:lastRenderedPageBreak/>
        <w:t xml:space="preserve">The Department </w:t>
      </w:r>
      <w:r w:rsidR="000C78C6">
        <w:rPr>
          <w:rFonts w:ascii="Times New Roman" w:hAnsi="Times New Roman" w:cs="Times New Roman"/>
        </w:rPr>
        <w:t xml:space="preserve">also </w:t>
      </w:r>
      <w:r>
        <w:rPr>
          <w:rFonts w:ascii="Times New Roman" w:hAnsi="Times New Roman" w:cs="Times New Roman"/>
        </w:rPr>
        <w:t xml:space="preserve">analyzed the number of admission offers made across the subgroups of student populations described above. </w:t>
      </w:r>
      <w:r w:rsidRPr="003074B6">
        <w:rPr>
          <w:rFonts w:ascii="Times New Roman" w:hAnsi="Times New Roman" w:cs="Times New Roman"/>
        </w:rPr>
        <w:t xml:space="preserve">A total of 12,454 students (62.5% of those who applied) for grade 9 received an admission offer. </w:t>
      </w:r>
    </w:p>
    <w:p w14:paraId="506B7ECF" w14:textId="77777777" w:rsidR="003074B6" w:rsidRPr="00616674" w:rsidRDefault="003074B6" w:rsidP="003074B6">
      <w:pPr>
        <w:pStyle w:val="ListParagraph"/>
        <w:numPr>
          <w:ilvl w:val="0"/>
          <w:numId w:val="2"/>
        </w:numPr>
        <w:rPr>
          <w:rFonts w:ascii="Times New Roman" w:hAnsi="Times New Roman" w:cs="Times New Roman"/>
        </w:rPr>
      </w:pPr>
      <w:r w:rsidRPr="00616674">
        <w:rPr>
          <w:rFonts w:ascii="Times New Roman" w:hAnsi="Times New Roman" w:cs="Times New Roman"/>
        </w:rPr>
        <w:t xml:space="preserve">4,116 </w:t>
      </w:r>
      <w:r>
        <w:rPr>
          <w:rFonts w:ascii="Times New Roman" w:hAnsi="Times New Roman" w:cs="Times New Roman"/>
        </w:rPr>
        <w:t xml:space="preserve">students of color </w:t>
      </w:r>
      <w:r w:rsidRPr="00616674">
        <w:rPr>
          <w:rFonts w:ascii="Times New Roman" w:hAnsi="Times New Roman" w:cs="Times New Roman"/>
        </w:rPr>
        <w:t>(</w:t>
      </w:r>
      <w:r>
        <w:rPr>
          <w:rFonts w:ascii="Times New Roman" w:hAnsi="Times New Roman" w:cs="Times New Roman"/>
        </w:rPr>
        <w:t>60.4</w:t>
      </w:r>
      <w:r w:rsidRPr="00616674">
        <w:rPr>
          <w:rFonts w:ascii="Times New Roman" w:hAnsi="Times New Roman" w:cs="Times New Roman"/>
        </w:rPr>
        <w:t>%</w:t>
      </w:r>
      <w:r>
        <w:rPr>
          <w:rFonts w:ascii="Times New Roman" w:hAnsi="Times New Roman" w:cs="Times New Roman"/>
        </w:rPr>
        <w:t xml:space="preserve"> of those who applied</w:t>
      </w:r>
      <w:r w:rsidRPr="00616674">
        <w:rPr>
          <w:rFonts w:ascii="Times New Roman" w:hAnsi="Times New Roman" w:cs="Times New Roman"/>
        </w:rPr>
        <w:t>) and 7,832</w:t>
      </w:r>
      <w:r>
        <w:rPr>
          <w:rFonts w:ascii="Times New Roman" w:hAnsi="Times New Roman" w:cs="Times New Roman"/>
        </w:rPr>
        <w:t xml:space="preserve"> white students</w:t>
      </w:r>
      <w:r w:rsidRPr="00616674">
        <w:rPr>
          <w:rFonts w:ascii="Times New Roman" w:hAnsi="Times New Roman" w:cs="Times New Roman"/>
        </w:rPr>
        <w:t xml:space="preserve"> (</w:t>
      </w:r>
      <w:r>
        <w:rPr>
          <w:rFonts w:ascii="Times New Roman" w:hAnsi="Times New Roman" w:cs="Times New Roman"/>
        </w:rPr>
        <w:t>73.2</w:t>
      </w:r>
      <w:r w:rsidRPr="00616674">
        <w:rPr>
          <w:rFonts w:ascii="Times New Roman" w:hAnsi="Times New Roman" w:cs="Times New Roman"/>
        </w:rPr>
        <w:t>%</w:t>
      </w:r>
      <w:r>
        <w:rPr>
          <w:rFonts w:ascii="Times New Roman" w:hAnsi="Times New Roman" w:cs="Times New Roman"/>
        </w:rPr>
        <w:t xml:space="preserve"> of those who applied</w:t>
      </w:r>
      <w:r w:rsidRPr="00616674">
        <w:rPr>
          <w:rFonts w:ascii="Times New Roman" w:hAnsi="Times New Roman" w:cs="Times New Roman"/>
        </w:rPr>
        <w:t>).</w:t>
      </w:r>
    </w:p>
    <w:p w14:paraId="46ECB992" w14:textId="77777777" w:rsidR="003074B6" w:rsidRPr="00616674" w:rsidRDefault="003074B6" w:rsidP="003074B6">
      <w:pPr>
        <w:pStyle w:val="ListParagraph"/>
        <w:numPr>
          <w:ilvl w:val="0"/>
          <w:numId w:val="2"/>
        </w:numPr>
        <w:rPr>
          <w:rFonts w:ascii="Times New Roman" w:hAnsi="Times New Roman" w:cs="Times New Roman"/>
        </w:rPr>
      </w:pPr>
      <w:r w:rsidRPr="00616674">
        <w:rPr>
          <w:rFonts w:ascii="Times New Roman" w:hAnsi="Times New Roman" w:cs="Times New Roman"/>
        </w:rPr>
        <w:t xml:space="preserve">4,384 </w:t>
      </w:r>
      <w:r>
        <w:rPr>
          <w:rFonts w:ascii="Times New Roman" w:hAnsi="Times New Roman" w:cs="Times New Roman"/>
        </w:rPr>
        <w:t xml:space="preserve">economically-disadvantaged students </w:t>
      </w:r>
      <w:r w:rsidRPr="00616674">
        <w:rPr>
          <w:rFonts w:ascii="Times New Roman" w:hAnsi="Times New Roman" w:cs="Times New Roman"/>
        </w:rPr>
        <w:t>(</w:t>
      </w:r>
      <w:r>
        <w:rPr>
          <w:rFonts w:ascii="Times New Roman" w:hAnsi="Times New Roman" w:cs="Times New Roman"/>
        </w:rPr>
        <w:t>58.5</w:t>
      </w:r>
      <w:r w:rsidRPr="00616674">
        <w:rPr>
          <w:rFonts w:ascii="Times New Roman" w:hAnsi="Times New Roman" w:cs="Times New Roman"/>
        </w:rPr>
        <w:t>%</w:t>
      </w:r>
      <w:r w:rsidRPr="00EA3232">
        <w:rPr>
          <w:rFonts w:ascii="Times New Roman" w:hAnsi="Times New Roman" w:cs="Times New Roman"/>
        </w:rPr>
        <w:t xml:space="preserve"> </w:t>
      </w:r>
      <w:r>
        <w:rPr>
          <w:rFonts w:ascii="Times New Roman" w:hAnsi="Times New Roman" w:cs="Times New Roman"/>
        </w:rPr>
        <w:t>of those who applied</w:t>
      </w:r>
      <w:r w:rsidRPr="00616674">
        <w:rPr>
          <w:rFonts w:ascii="Times New Roman" w:hAnsi="Times New Roman" w:cs="Times New Roman"/>
        </w:rPr>
        <w:t>)</w:t>
      </w:r>
      <w:r>
        <w:rPr>
          <w:rFonts w:ascii="Times New Roman" w:hAnsi="Times New Roman" w:cs="Times New Roman"/>
        </w:rPr>
        <w:t>,</w:t>
      </w:r>
      <w:r w:rsidRPr="00616674">
        <w:rPr>
          <w:rFonts w:ascii="Times New Roman" w:hAnsi="Times New Roman" w:cs="Times New Roman"/>
        </w:rPr>
        <w:t xml:space="preserve"> and 7,564 </w:t>
      </w:r>
      <w:r>
        <w:rPr>
          <w:rFonts w:ascii="Times New Roman" w:hAnsi="Times New Roman" w:cs="Times New Roman"/>
        </w:rPr>
        <w:t xml:space="preserve">not economically-disadvantaged students </w:t>
      </w:r>
      <w:r w:rsidRPr="00616674">
        <w:rPr>
          <w:rFonts w:ascii="Times New Roman" w:hAnsi="Times New Roman" w:cs="Times New Roman"/>
        </w:rPr>
        <w:t>(</w:t>
      </w:r>
      <w:r>
        <w:rPr>
          <w:rFonts w:ascii="Times New Roman" w:hAnsi="Times New Roman" w:cs="Times New Roman"/>
        </w:rPr>
        <w:t>75.4</w:t>
      </w:r>
      <w:r w:rsidRPr="00616674">
        <w:rPr>
          <w:rFonts w:ascii="Times New Roman" w:hAnsi="Times New Roman" w:cs="Times New Roman"/>
        </w:rPr>
        <w:t>%</w:t>
      </w:r>
      <w:r w:rsidRPr="00EA3232">
        <w:rPr>
          <w:rFonts w:ascii="Times New Roman" w:hAnsi="Times New Roman" w:cs="Times New Roman"/>
        </w:rPr>
        <w:t xml:space="preserve"> </w:t>
      </w:r>
      <w:r>
        <w:rPr>
          <w:rFonts w:ascii="Times New Roman" w:hAnsi="Times New Roman" w:cs="Times New Roman"/>
        </w:rPr>
        <w:t>of those who applied</w:t>
      </w:r>
      <w:r w:rsidRPr="00616674">
        <w:rPr>
          <w:rFonts w:ascii="Times New Roman" w:hAnsi="Times New Roman" w:cs="Times New Roman"/>
        </w:rPr>
        <w:t>).</w:t>
      </w:r>
    </w:p>
    <w:p w14:paraId="0297DEE0" w14:textId="394CEC07" w:rsidR="003074B6" w:rsidRPr="00616674" w:rsidRDefault="003074B6" w:rsidP="003074B6">
      <w:pPr>
        <w:pStyle w:val="ListParagraph"/>
        <w:numPr>
          <w:ilvl w:val="0"/>
          <w:numId w:val="2"/>
        </w:numPr>
        <w:rPr>
          <w:rFonts w:ascii="Times New Roman" w:hAnsi="Times New Roman" w:cs="Times New Roman"/>
        </w:rPr>
      </w:pPr>
      <w:r w:rsidRPr="00616674">
        <w:rPr>
          <w:rFonts w:ascii="Times New Roman" w:hAnsi="Times New Roman" w:cs="Times New Roman"/>
        </w:rPr>
        <w:t>2,294 students with disabilities (</w:t>
      </w:r>
      <w:r>
        <w:rPr>
          <w:rFonts w:ascii="Times New Roman" w:hAnsi="Times New Roman" w:cs="Times New Roman"/>
        </w:rPr>
        <w:t>58.2</w:t>
      </w:r>
      <w:r w:rsidRPr="00616674">
        <w:rPr>
          <w:rFonts w:ascii="Times New Roman" w:hAnsi="Times New Roman" w:cs="Times New Roman"/>
        </w:rPr>
        <w:t>%</w:t>
      </w:r>
      <w:r w:rsidRPr="00EA3232">
        <w:rPr>
          <w:rFonts w:ascii="Times New Roman" w:hAnsi="Times New Roman" w:cs="Times New Roman"/>
        </w:rPr>
        <w:t xml:space="preserve"> </w:t>
      </w:r>
      <w:r>
        <w:rPr>
          <w:rFonts w:ascii="Times New Roman" w:hAnsi="Times New Roman" w:cs="Times New Roman"/>
        </w:rPr>
        <w:t>of those who applied)</w:t>
      </w:r>
      <w:r w:rsidRPr="00616674">
        <w:rPr>
          <w:rFonts w:ascii="Times New Roman" w:hAnsi="Times New Roman" w:cs="Times New Roman"/>
        </w:rPr>
        <w:t xml:space="preserve"> and 9,654 </w:t>
      </w:r>
      <w:r w:rsidR="00C15B7B">
        <w:rPr>
          <w:rFonts w:ascii="Times New Roman" w:hAnsi="Times New Roman" w:cs="Times New Roman"/>
        </w:rPr>
        <w:t>students without disabilities</w:t>
      </w:r>
      <w:r w:rsidR="00C15B7B" w:rsidRPr="00616674">
        <w:rPr>
          <w:rFonts w:ascii="Times New Roman" w:hAnsi="Times New Roman" w:cs="Times New Roman"/>
        </w:rPr>
        <w:t xml:space="preserve"> </w:t>
      </w:r>
      <w:r w:rsidRPr="00616674">
        <w:rPr>
          <w:rFonts w:ascii="Times New Roman" w:hAnsi="Times New Roman" w:cs="Times New Roman"/>
        </w:rPr>
        <w:t>(</w:t>
      </w:r>
      <w:r>
        <w:rPr>
          <w:rFonts w:ascii="Times New Roman" w:hAnsi="Times New Roman" w:cs="Times New Roman"/>
        </w:rPr>
        <w:t>71.1</w:t>
      </w:r>
      <w:r w:rsidRPr="00616674">
        <w:rPr>
          <w:rFonts w:ascii="Times New Roman" w:hAnsi="Times New Roman" w:cs="Times New Roman"/>
        </w:rPr>
        <w:t>%</w:t>
      </w:r>
      <w:r w:rsidRPr="00EA3232">
        <w:rPr>
          <w:rFonts w:ascii="Times New Roman" w:hAnsi="Times New Roman" w:cs="Times New Roman"/>
        </w:rPr>
        <w:t xml:space="preserve"> </w:t>
      </w:r>
      <w:r>
        <w:rPr>
          <w:rFonts w:ascii="Times New Roman" w:hAnsi="Times New Roman" w:cs="Times New Roman"/>
        </w:rPr>
        <w:t>of those who applied</w:t>
      </w:r>
      <w:r w:rsidRPr="00616674">
        <w:rPr>
          <w:rFonts w:ascii="Times New Roman" w:hAnsi="Times New Roman" w:cs="Times New Roman"/>
        </w:rPr>
        <w:t>).</w:t>
      </w:r>
    </w:p>
    <w:p w14:paraId="174DD9C5" w14:textId="1D1904CB" w:rsidR="003074B6" w:rsidRPr="00616674" w:rsidRDefault="003074B6" w:rsidP="003074B6">
      <w:pPr>
        <w:pStyle w:val="ListParagraph"/>
        <w:numPr>
          <w:ilvl w:val="0"/>
          <w:numId w:val="2"/>
        </w:numPr>
        <w:rPr>
          <w:rFonts w:ascii="Times New Roman" w:hAnsi="Times New Roman" w:cs="Times New Roman"/>
        </w:rPr>
      </w:pPr>
      <w:r w:rsidRPr="00616674">
        <w:rPr>
          <w:rFonts w:ascii="Times New Roman" w:hAnsi="Times New Roman" w:cs="Times New Roman"/>
        </w:rPr>
        <w:t xml:space="preserve">517 </w:t>
      </w:r>
      <w:r>
        <w:rPr>
          <w:rFonts w:ascii="Times New Roman" w:hAnsi="Times New Roman" w:cs="Times New Roman"/>
        </w:rPr>
        <w:t xml:space="preserve">English Learners </w:t>
      </w:r>
      <w:r w:rsidRPr="00616674">
        <w:rPr>
          <w:rFonts w:ascii="Times New Roman" w:hAnsi="Times New Roman" w:cs="Times New Roman"/>
        </w:rPr>
        <w:t>(</w:t>
      </w:r>
      <w:r>
        <w:rPr>
          <w:rFonts w:ascii="Times New Roman" w:hAnsi="Times New Roman" w:cs="Times New Roman"/>
        </w:rPr>
        <w:t>51.2</w:t>
      </w:r>
      <w:r w:rsidRPr="00616674">
        <w:rPr>
          <w:rFonts w:ascii="Times New Roman" w:hAnsi="Times New Roman" w:cs="Times New Roman"/>
        </w:rPr>
        <w:t>%</w:t>
      </w:r>
      <w:r w:rsidRPr="00EA3232">
        <w:rPr>
          <w:rFonts w:ascii="Times New Roman" w:hAnsi="Times New Roman" w:cs="Times New Roman"/>
        </w:rPr>
        <w:t xml:space="preserve"> </w:t>
      </w:r>
      <w:r>
        <w:rPr>
          <w:rFonts w:ascii="Times New Roman" w:hAnsi="Times New Roman" w:cs="Times New Roman"/>
        </w:rPr>
        <w:t>of those who applied</w:t>
      </w:r>
      <w:r w:rsidRPr="00616674">
        <w:rPr>
          <w:rFonts w:ascii="Times New Roman" w:hAnsi="Times New Roman" w:cs="Times New Roman"/>
        </w:rPr>
        <w:t xml:space="preserve">) and 11,431 </w:t>
      </w:r>
      <w:r w:rsidR="0063596A">
        <w:rPr>
          <w:rFonts w:ascii="Times New Roman" w:hAnsi="Times New Roman" w:cs="Times New Roman"/>
        </w:rPr>
        <w:t xml:space="preserve">not </w:t>
      </w:r>
      <w:r>
        <w:rPr>
          <w:rFonts w:ascii="Times New Roman" w:hAnsi="Times New Roman" w:cs="Times New Roman"/>
        </w:rPr>
        <w:t xml:space="preserve">English Learners </w:t>
      </w:r>
      <w:r w:rsidRPr="00616674">
        <w:rPr>
          <w:rFonts w:ascii="Times New Roman" w:hAnsi="Times New Roman" w:cs="Times New Roman"/>
        </w:rPr>
        <w:t>(</w:t>
      </w:r>
      <w:r>
        <w:rPr>
          <w:rFonts w:ascii="Times New Roman" w:hAnsi="Times New Roman" w:cs="Times New Roman"/>
        </w:rPr>
        <w:t>69.2</w:t>
      </w:r>
      <w:r w:rsidRPr="00616674">
        <w:rPr>
          <w:rFonts w:ascii="Times New Roman" w:hAnsi="Times New Roman" w:cs="Times New Roman"/>
        </w:rPr>
        <w:t>%</w:t>
      </w:r>
      <w:r>
        <w:rPr>
          <w:rFonts w:ascii="Times New Roman" w:hAnsi="Times New Roman" w:cs="Times New Roman"/>
        </w:rPr>
        <w:t xml:space="preserve"> of those who applied</w:t>
      </w:r>
      <w:r w:rsidRPr="00616674">
        <w:rPr>
          <w:rFonts w:ascii="Times New Roman" w:hAnsi="Times New Roman" w:cs="Times New Roman"/>
        </w:rPr>
        <w:t>).</w:t>
      </w:r>
    </w:p>
    <w:p w14:paraId="20A81C5C" w14:textId="77777777" w:rsidR="003074B6" w:rsidRDefault="003074B6" w:rsidP="003074B6">
      <w:pPr>
        <w:pStyle w:val="ListParagraph"/>
        <w:numPr>
          <w:ilvl w:val="0"/>
          <w:numId w:val="2"/>
        </w:numPr>
        <w:rPr>
          <w:rFonts w:ascii="Times New Roman" w:hAnsi="Times New Roman" w:cs="Times New Roman"/>
        </w:rPr>
      </w:pPr>
      <w:r w:rsidRPr="00616674">
        <w:rPr>
          <w:rFonts w:ascii="Times New Roman" w:hAnsi="Times New Roman" w:cs="Times New Roman"/>
        </w:rPr>
        <w:t>1,886 students whose first language is not English</w:t>
      </w:r>
      <w:r>
        <w:rPr>
          <w:rFonts w:ascii="Times New Roman" w:hAnsi="Times New Roman" w:cs="Times New Roman"/>
        </w:rPr>
        <w:t xml:space="preserve"> </w:t>
      </w:r>
      <w:r w:rsidRPr="00616674">
        <w:rPr>
          <w:rFonts w:ascii="Times New Roman" w:hAnsi="Times New Roman" w:cs="Times New Roman"/>
        </w:rPr>
        <w:t>(</w:t>
      </w:r>
      <w:r>
        <w:rPr>
          <w:rFonts w:ascii="Times New Roman" w:hAnsi="Times New Roman" w:cs="Times New Roman"/>
        </w:rPr>
        <w:t>57.3</w:t>
      </w:r>
      <w:r w:rsidRPr="00616674">
        <w:rPr>
          <w:rFonts w:ascii="Times New Roman" w:hAnsi="Times New Roman" w:cs="Times New Roman"/>
        </w:rPr>
        <w:t>%</w:t>
      </w:r>
      <w:r w:rsidRPr="00EA3232">
        <w:rPr>
          <w:rFonts w:ascii="Times New Roman" w:hAnsi="Times New Roman" w:cs="Times New Roman"/>
        </w:rPr>
        <w:t xml:space="preserve"> </w:t>
      </w:r>
      <w:r>
        <w:rPr>
          <w:rFonts w:ascii="Times New Roman" w:hAnsi="Times New Roman" w:cs="Times New Roman"/>
        </w:rPr>
        <w:t>of those who applied</w:t>
      </w:r>
      <w:r w:rsidRPr="00616674">
        <w:rPr>
          <w:rFonts w:ascii="Times New Roman" w:hAnsi="Times New Roman" w:cs="Times New Roman"/>
        </w:rPr>
        <w:t>)</w:t>
      </w:r>
      <w:r>
        <w:rPr>
          <w:rFonts w:ascii="Times New Roman" w:hAnsi="Times New Roman" w:cs="Times New Roman"/>
        </w:rPr>
        <w:t xml:space="preserve">, </w:t>
      </w:r>
      <w:r w:rsidRPr="00616674">
        <w:rPr>
          <w:rFonts w:ascii="Times New Roman" w:hAnsi="Times New Roman" w:cs="Times New Roman"/>
        </w:rPr>
        <w:t>and 10,062 students whose first language is English</w:t>
      </w:r>
      <w:r>
        <w:rPr>
          <w:rFonts w:ascii="Times New Roman" w:hAnsi="Times New Roman" w:cs="Times New Roman"/>
        </w:rPr>
        <w:t xml:space="preserve"> </w:t>
      </w:r>
      <w:r w:rsidRPr="00616674">
        <w:rPr>
          <w:rFonts w:ascii="Times New Roman" w:hAnsi="Times New Roman" w:cs="Times New Roman"/>
        </w:rPr>
        <w:t>(</w:t>
      </w:r>
      <w:r>
        <w:rPr>
          <w:rFonts w:ascii="Times New Roman" w:hAnsi="Times New Roman" w:cs="Times New Roman"/>
        </w:rPr>
        <w:t>70.7</w:t>
      </w:r>
      <w:r w:rsidRPr="00616674">
        <w:rPr>
          <w:rFonts w:ascii="Times New Roman" w:hAnsi="Times New Roman" w:cs="Times New Roman"/>
        </w:rPr>
        <w:t>%</w:t>
      </w:r>
      <w:r w:rsidRPr="00EA3232">
        <w:rPr>
          <w:rFonts w:ascii="Times New Roman" w:hAnsi="Times New Roman" w:cs="Times New Roman"/>
        </w:rPr>
        <w:t xml:space="preserve"> </w:t>
      </w:r>
      <w:r>
        <w:rPr>
          <w:rFonts w:ascii="Times New Roman" w:hAnsi="Times New Roman" w:cs="Times New Roman"/>
        </w:rPr>
        <w:t>of those who applied</w:t>
      </w:r>
      <w:r w:rsidRPr="00616674">
        <w:rPr>
          <w:rFonts w:ascii="Times New Roman" w:hAnsi="Times New Roman" w:cs="Times New Roman"/>
        </w:rPr>
        <w:t>)</w:t>
      </w:r>
      <w:r>
        <w:rPr>
          <w:rFonts w:ascii="Times New Roman" w:hAnsi="Times New Roman" w:cs="Times New Roman"/>
        </w:rPr>
        <w:t>.</w:t>
      </w:r>
    </w:p>
    <w:p w14:paraId="6F84BE05" w14:textId="06BD6250" w:rsidR="003074B6" w:rsidRPr="003074B6" w:rsidRDefault="003074B6" w:rsidP="003074B6">
      <w:pPr>
        <w:pStyle w:val="ListParagraph"/>
        <w:numPr>
          <w:ilvl w:val="0"/>
          <w:numId w:val="2"/>
        </w:numPr>
        <w:rPr>
          <w:rFonts w:ascii="Times New Roman" w:hAnsi="Times New Roman" w:cs="Times New Roman"/>
        </w:rPr>
      </w:pPr>
      <w:r>
        <w:rPr>
          <w:rFonts w:ascii="Times New Roman" w:hAnsi="Times New Roman" w:cs="Times New Roman"/>
        </w:rPr>
        <w:t>Of the students whose demographic data was not identified, 505 (48.6%</w:t>
      </w:r>
      <w:r w:rsidRPr="00EA3232">
        <w:rPr>
          <w:rFonts w:ascii="Times New Roman" w:hAnsi="Times New Roman" w:cs="Times New Roman"/>
        </w:rPr>
        <w:t xml:space="preserve"> </w:t>
      </w:r>
      <w:r>
        <w:rPr>
          <w:rFonts w:ascii="Times New Roman" w:hAnsi="Times New Roman" w:cs="Times New Roman"/>
        </w:rPr>
        <w:t xml:space="preserve">of those who applied) received </w:t>
      </w:r>
      <w:r w:rsidRPr="00616674">
        <w:rPr>
          <w:rFonts w:ascii="Times New Roman" w:hAnsi="Times New Roman" w:cs="Times New Roman"/>
        </w:rPr>
        <w:t>an admission</w:t>
      </w:r>
      <w:r>
        <w:rPr>
          <w:rFonts w:ascii="Times New Roman" w:hAnsi="Times New Roman" w:cs="Times New Roman"/>
        </w:rPr>
        <w:t xml:space="preserve"> offer.  </w:t>
      </w:r>
    </w:p>
    <w:p w14:paraId="102EC36B" w14:textId="6F43938D" w:rsidR="00282F6D" w:rsidRDefault="00282F6D" w:rsidP="00282F6D">
      <w:pPr>
        <w:rPr>
          <w:rFonts w:ascii="Times New Roman" w:hAnsi="Times New Roman" w:cs="Times New Roman"/>
        </w:rPr>
      </w:pPr>
      <w:r>
        <w:rPr>
          <w:rFonts w:ascii="Times New Roman" w:hAnsi="Times New Roman" w:cs="Times New Roman"/>
        </w:rPr>
        <w:t>Students of color, students identified as economically</w:t>
      </w:r>
      <w:r w:rsidR="00A23DAA">
        <w:rPr>
          <w:rFonts w:ascii="Times New Roman" w:hAnsi="Times New Roman" w:cs="Times New Roman"/>
        </w:rPr>
        <w:t>-</w:t>
      </w:r>
      <w:r>
        <w:rPr>
          <w:rFonts w:ascii="Times New Roman" w:hAnsi="Times New Roman" w:cs="Times New Roman"/>
        </w:rPr>
        <w:t xml:space="preserve">disadvantaged, students with disabilities, English </w:t>
      </w:r>
      <w:r w:rsidR="00BB47F3">
        <w:rPr>
          <w:rFonts w:ascii="Times New Roman" w:hAnsi="Times New Roman" w:cs="Times New Roman"/>
        </w:rPr>
        <w:t>L</w:t>
      </w:r>
      <w:r>
        <w:rPr>
          <w:rFonts w:ascii="Times New Roman" w:hAnsi="Times New Roman" w:cs="Times New Roman"/>
        </w:rPr>
        <w:t>earners, and students who first language is not English received fewer offers of admission. This disparity in the offer of admission rates indicates an opportunity gap for these student subgroups.</w:t>
      </w:r>
    </w:p>
    <w:p w14:paraId="712EE3DB" w14:textId="77777777" w:rsidR="00F76E9E" w:rsidRPr="009A3132" w:rsidRDefault="00F76E9E" w:rsidP="00282F6D">
      <w:pPr>
        <w:rPr>
          <w:rFonts w:ascii="Times New Roman" w:hAnsi="Times New Roman" w:cs="Times New Roman"/>
        </w:rPr>
      </w:pPr>
    </w:p>
    <w:p w14:paraId="0D452A7D" w14:textId="0BE936CB" w:rsidR="003074B6" w:rsidRPr="003074B6" w:rsidRDefault="003074B6" w:rsidP="00E717E3">
      <w:pPr>
        <w:rPr>
          <w:rFonts w:ascii="Times New Roman" w:hAnsi="Times New Roman" w:cs="Times New Roman"/>
          <w:i/>
          <w:iCs/>
        </w:rPr>
      </w:pPr>
      <w:r w:rsidRPr="003074B6">
        <w:rPr>
          <w:rFonts w:ascii="Times New Roman" w:hAnsi="Times New Roman" w:cs="Times New Roman"/>
          <w:i/>
          <w:iCs/>
        </w:rPr>
        <w:t>Student Acceptances</w:t>
      </w:r>
    </w:p>
    <w:p w14:paraId="70885EA8" w14:textId="754BADD3" w:rsidR="00C9207B" w:rsidRPr="00C9207B" w:rsidRDefault="00C9207B" w:rsidP="00B62EFD">
      <w:pPr>
        <w:rPr>
          <w:rFonts w:ascii="Times New Roman" w:hAnsi="Times New Roman" w:cs="Times New Roman"/>
        </w:rPr>
      </w:pPr>
      <w:r>
        <w:rPr>
          <w:rFonts w:ascii="Times New Roman" w:hAnsi="Times New Roman" w:cs="Times New Roman"/>
          <w:noProof/>
        </w:rPr>
        <w:drawing>
          <wp:inline distT="0" distB="0" distL="0" distR="0" wp14:anchorId="73587A06" wp14:editId="134D18D0">
            <wp:extent cx="5943600" cy="3200400"/>
            <wp:effectExtent l="0" t="0" r="0" b="0"/>
            <wp:docPr id="2" name="Chart 2" descr="  All Students Stu. of Color White EcoDis non EcoDis SWD non SWD EL non EL FLNE non FLNE unknown&#10;Student Accepts School's Offer of Admission (rate %) 83.6 87.6 85.6 88.5 85.0 88.9 85.6 91.5 86.0 86.6 86.2 20.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5DFF49" w14:textId="77777777" w:rsidR="003074B6" w:rsidRPr="00616674" w:rsidRDefault="003074B6" w:rsidP="003074B6">
      <w:pPr>
        <w:rPr>
          <w:rFonts w:ascii="Times New Roman" w:hAnsi="Times New Roman" w:cs="Times New Roman"/>
        </w:rPr>
      </w:pPr>
      <w:r w:rsidRPr="00616674">
        <w:rPr>
          <w:rFonts w:ascii="Times New Roman" w:hAnsi="Times New Roman" w:cs="Times New Roman"/>
        </w:rPr>
        <w:t>Of the 12,454 applicants who received an offer of admission, 10,414 accepted their offer of admission (83.6%).</w:t>
      </w:r>
    </w:p>
    <w:p w14:paraId="28176FE8" w14:textId="77777777" w:rsidR="003074B6" w:rsidRPr="00616674" w:rsidRDefault="003074B6" w:rsidP="003074B6">
      <w:pPr>
        <w:pStyle w:val="ListParagraph"/>
        <w:numPr>
          <w:ilvl w:val="0"/>
          <w:numId w:val="2"/>
        </w:numPr>
        <w:rPr>
          <w:rFonts w:ascii="Times New Roman" w:hAnsi="Times New Roman" w:cs="Times New Roman"/>
        </w:rPr>
      </w:pPr>
      <w:r w:rsidRPr="00616674">
        <w:rPr>
          <w:rFonts w:ascii="Times New Roman" w:hAnsi="Times New Roman" w:cs="Times New Roman"/>
        </w:rPr>
        <w:lastRenderedPageBreak/>
        <w:t xml:space="preserve">3,606 students of color (87.6%) accepted </w:t>
      </w:r>
      <w:r>
        <w:rPr>
          <w:rFonts w:ascii="Times New Roman" w:hAnsi="Times New Roman" w:cs="Times New Roman"/>
        </w:rPr>
        <w:t>compared with</w:t>
      </w:r>
      <w:r w:rsidRPr="00616674">
        <w:rPr>
          <w:rFonts w:ascii="Times New Roman" w:hAnsi="Times New Roman" w:cs="Times New Roman"/>
        </w:rPr>
        <w:t xml:space="preserve"> 6,702 white students (85.6%)</w:t>
      </w:r>
      <w:r>
        <w:rPr>
          <w:rFonts w:ascii="Times New Roman" w:hAnsi="Times New Roman" w:cs="Times New Roman"/>
        </w:rPr>
        <w:t>.</w:t>
      </w:r>
    </w:p>
    <w:p w14:paraId="262CEFB3" w14:textId="5ABF5D57" w:rsidR="003074B6" w:rsidRPr="00616674" w:rsidRDefault="003074B6" w:rsidP="003074B6">
      <w:pPr>
        <w:pStyle w:val="ListParagraph"/>
        <w:numPr>
          <w:ilvl w:val="0"/>
          <w:numId w:val="2"/>
        </w:numPr>
        <w:rPr>
          <w:rFonts w:ascii="Times New Roman" w:hAnsi="Times New Roman" w:cs="Times New Roman"/>
        </w:rPr>
      </w:pPr>
      <w:r w:rsidRPr="00616674">
        <w:rPr>
          <w:rFonts w:ascii="Times New Roman" w:hAnsi="Times New Roman" w:cs="Times New Roman"/>
        </w:rPr>
        <w:t>3,879 economically</w:t>
      </w:r>
      <w:r>
        <w:rPr>
          <w:rFonts w:ascii="Times New Roman" w:hAnsi="Times New Roman" w:cs="Times New Roman"/>
        </w:rPr>
        <w:t>-</w:t>
      </w:r>
      <w:r w:rsidRPr="00616674">
        <w:rPr>
          <w:rFonts w:ascii="Times New Roman" w:hAnsi="Times New Roman" w:cs="Times New Roman"/>
        </w:rPr>
        <w:t>disadvantaged</w:t>
      </w:r>
      <w:r>
        <w:rPr>
          <w:rFonts w:ascii="Times New Roman" w:hAnsi="Times New Roman" w:cs="Times New Roman"/>
        </w:rPr>
        <w:t xml:space="preserve"> students</w:t>
      </w:r>
      <w:r w:rsidRPr="00616674">
        <w:rPr>
          <w:rFonts w:ascii="Times New Roman" w:hAnsi="Times New Roman" w:cs="Times New Roman"/>
        </w:rPr>
        <w:t xml:space="preserve"> (88.5%) accepted </w:t>
      </w:r>
      <w:r>
        <w:rPr>
          <w:rFonts w:ascii="Times New Roman" w:hAnsi="Times New Roman" w:cs="Times New Roman"/>
        </w:rPr>
        <w:t xml:space="preserve">compared with </w:t>
      </w:r>
      <w:r w:rsidRPr="00616674">
        <w:rPr>
          <w:rFonts w:ascii="Times New Roman" w:hAnsi="Times New Roman" w:cs="Times New Roman"/>
        </w:rPr>
        <w:t>6,429 not economically</w:t>
      </w:r>
      <w:r>
        <w:rPr>
          <w:rFonts w:ascii="Times New Roman" w:hAnsi="Times New Roman" w:cs="Times New Roman"/>
        </w:rPr>
        <w:t>-</w:t>
      </w:r>
      <w:r w:rsidRPr="00616674">
        <w:rPr>
          <w:rFonts w:ascii="Times New Roman" w:hAnsi="Times New Roman" w:cs="Times New Roman"/>
        </w:rPr>
        <w:t xml:space="preserve">disadvantaged </w:t>
      </w:r>
      <w:r>
        <w:rPr>
          <w:rFonts w:ascii="Times New Roman" w:hAnsi="Times New Roman" w:cs="Times New Roman"/>
        </w:rPr>
        <w:t>students</w:t>
      </w:r>
      <w:r w:rsidR="0063596A">
        <w:rPr>
          <w:rFonts w:ascii="Times New Roman" w:hAnsi="Times New Roman" w:cs="Times New Roman"/>
        </w:rPr>
        <w:t xml:space="preserve"> </w:t>
      </w:r>
      <w:r w:rsidR="0063596A" w:rsidRPr="00616674">
        <w:rPr>
          <w:rFonts w:ascii="Times New Roman" w:hAnsi="Times New Roman" w:cs="Times New Roman"/>
        </w:rPr>
        <w:t>(85.0%)</w:t>
      </w:r>
      <w:r w:rsidRPr="00616674">
        <w:rPr>
          <w:rFonts w:ascii="Times New Roman" w:hAnsi="Times New Roman" w:cs="Times New Roman"/>
        </w:rPr>
        <w:t>.</w:t>
      </w:r>
    </w:p>
    <w:p w14:paraId="24F46665" w14:textId="2889A069" w:rsidR="003074B6" w:rsidRPr="00616674" w:rsidRDefault="003074B6" w:rsidP="003074B6">
      <w:pPr>
        <w:pStyle w:val="ListParagraph"/>
        <w:numPr>
          <w:ilvl w:val="0"/>
          <w:numId w:val="2"/>
        </w:numPr>
        <w:rPr>
          <w:rFonts w:ascii="Times New Roman" w:hAnsi="Times New Roman" w:cs="Times New Roman"/>
        </w:rPr>
      </w:pPr>
      <w:r w:rsidRPr="00616674">
        <w:rPr>
          <w:rFonts w:ascii="Times New Roman" w:hAnsi="Times New Roman" w:cs="Times New Roman"/>
        </w:rPr>
        <w:t xml:space="preserve">2,040 students with disabilities (88.9%) accepted </w:t>
      </w:r>
      <w:r w:rsidR="001C4C7D">
        <w:rPr>
          <w:rFonts w:ascii="Times New Roman" w:hAnsi="Times New Roman" w:cs="Times New Roman"/>
        </w:rPr>
        <w:t>compared with</w:t>
      </w:r>
      <w:r w:rsidRPr="00616674">
        <w:rPr>
          <w:rFonts w:ascii="Times New Roman" w:hAnsi="Times New Roman" w:cs="Times New Roman"/>
        </w:rPr>
        <w:t xml:space="preserve"> 8,268 students without disabilities (85.6%).</w:t>
      </w:r>
    </w:p>
    <w:p w14:paraId="4F08E54A" w14:textId="63D9A31B" w:rsidR="003074B6" w:rsidRPr="00616674" w:rsidRDefault="003074B6" w:rsidP="003074B6">
      <w:pPr>
        <w:pStyle w:val="ListParagraph"/>
        <w:numPr>
          <w:ilvl w:val="0"/>
          <w:numId w:val="2"/>
        </w:numPr>
        <w:rPr>
          <w:rFonts w:ascii="Times New Roman" w:hAnsi="Times New Roman" w:cs="Times New Roman"/>
        </w:rPr>
      </w:pPr>
      <w:r w:rsidRPr="00616674">
        <w:rPr>
          <w:rFonts w:ascii="Times New Roman" w:hAnsi="Times New Roman" w:cs="Times New Roman"/>
        </w:rPr>
        <w:t xml:space="preserve">473 English </w:t>
      </w:r>
      <w:r w:rsidR="00BB47F3">
        <w:rPr>
          <w:rFonts w:ascii="Times New Roman" w:hAnsi="Times New Roman" w:cs="Times New Roman"/>
        </w:rPr>
        <w:t>L</w:t>
      </w:r>
      <w:r w:rsidRPr="00616674">
        <w:rPr>
          <w:rFonts w:ascii="Times New Roman" w:hAnsi="Times New Roman" w:cs="Times New Roman"/>
        </w:rPr>
        <w:t xml:space="preserve">earners (91.5%) accepted </w:t>
      </w:r>
      <w:r w:rsidR="001C4C7D">
        <w:rPr>
          <w:rFonts w:ascii="Times New Roman" w:hAnsi="Times New Roman" w:cs="Times New Roman"/>
        </w:rPr>
        <w:t>compared with</w:t>
      </w:r>
      <w:r w:rsidRPr="00616674">
        <w:rPr>
          <w:rFonts w:ascii="Times New Roman" w:hAnsi="Times New Roman" w:cs="Times New Roman"/>
        </w:rPr>
        <w:t xml:space="preserve"> 9,835 </w:t>
      </w:r>
      <w:r w:rsidR="0063596A">
        <w:rPr>
          <w:rFonts w:ascii="Times New Roman" w:hAnsi="Times New Roman" w:cs="Times New Roman"/>
        </w:rPr>
        <w:t xml:space="preserve">not </w:t>
      </w:r>
      <w:r w:rsidRPr="00616674">
        <w:rPr>
          <w:rFonts w:ascii="Times New Roman" w:hAnsi="Times New Roman" w:cs="Times New Roman"/>
        </w:rPr>
        <w:t xml:space="preserve">English </w:t>
      </w:r>
      <w:r w:rsidR="00BB47F3">
        <w:rPr>
          <w:rFonts w:ascii="Times New Roman" w:hAnsi="Times New Roman" w:cs="Times New Roman"/>
        </w:rPr>
        <w:t>L</w:t>
      </w:r>
      <w:r w:rsidRPr="00616674">
        <w:rPr>
          <w:rFonts w:ascii="Times New Roman" w:hAnsi="Times New Roman" w:cs="Times New Roman"/>
        </w:rPr>
        <w:t>earners (86.0%).</w:t>
      </w:r>
    </w:p>
    <w:p w14:paraId="2351355B" w14:textId="7FC4EE87" w:rsidR="003074B6" w:rsidRDefault="003074B6" w:rsidP="003074B6">
      <w:pPr>
        <w:pStyle w:val="ListParagraph"/>
        <w:numPr>
          <w:ilvl w:val="0"/>
          <w:numId w:val="2"/>
        </w:numPr>
        <w:rPr>
          <w:rFonts w:ascii="Times New Roman" w:hAnsi="Times New Roman" w:cs="Times New Roman"/>
        </w:rPr>
      </w:pPr>
      <w:r w:rsidRPr="00616674">
        <w:rPr>
          <w:rFonts w:ascii="Times New Roman" w:hAnsi="Times New Roman" w:cs="Times New Roman"/>
        </w:rPr>
        <w:t xml:space="preserve">1,634 students whose first language is not English (86.6%) accepted </w:t>
      </w:r>
      <w:r>
        <w:rPr>
          <w:rFonts w:ascii="Times New Roman" w:hAnsi="Times New Roman" w:cs="Times New Roman"/>
        </w:rPr>
        <w:t>compared with</w:t>
      </w:r>
      <w:r w:rsidRPr="00616674">
        <w:rPr>
          <w:rFonts w:ascii="Times New Roman" w:hAnsi="Times New Roman" w:cs="Times New Roman"/>
        </w:rPr>
        <w:t xml:space="preserve"> 8,674 students whose first language is English (86.2%).</w:t>
      </w:r>
    </w:p>
    <w:p w14:paraId="7D78A5FE" w14:textId="0317D8CE" w:rsidR="003074B6" w:rsidRDefault="003074B6" w:rsidP="003074B6">
      <w:pPr>
        <w:pStyle w:val="ListParagraph"/>
        <w:numPr>
          <w:ilvl w:val="0"/>
          <w:numId w:val="2"/>
        </w:numPr>
        <w:rPr>
          <w:rFonts w:ascii="Times New Roman" w:hAnsi="Times New Roman" w:cs="Times New Roman"/>
        </w:rPr>
      </w:pPr>
      <w:r>
        <w:rPr>
          <w:rFonts w:ascii="Times New Roman" w:hAnsi="Times New Roman" w:cs="Times New Roman"/>
        </w:rPr>
        <w:t xml:space="preserve">105 students whose demographic information </w:t>
      </w:r>
      <w:r w:rsidR="0063596A">
        <w:rPr>
          <w:rFonts w:ascii="Times New Roman" w:hAnsi="Times New Roman" w:cs="Times New Roman"/>
        </w:rPr>
        <w:t xml:space="preserve">was </w:t>
      </w:r>
      <w:r w:rsidR="00C15B7B">
        <w:rPr>
          <w:rFonts w:ascii="Times New Roman" w:hAnsi="Times New Roman" w:cs="Times New Roman"/>
        </w:rPr>
        <w:t xml:space="preserve">not </w:t>
      </w:r>
      <w:r>
        <w:rPr>
          <w:rFonts w:ascii="Times New Roman" w:hAnsi="Times New Roman" w:cs="Times New Roman"/>
        </w:rPr>
        <w:t>identified (20.8%) accepted.</w:t>
      </w:r>
    </w:p>
    <w:p w14:paraId="337B39DF" w14:textId="77777777" w:rsidR="002649CD" w:rsidRPr="002649CD" w:rsidRDefault="002649CD" w:rsidP="002649CD">
      <w:pPr>
        <w:rPr>
          <w:rFonts w:ascii="Times New Roman" w:hAnsi="Times New Roman" w:cs="Times New Roman"/>
        </w:rPr>
      </w:pPr>
    </w:p>
    <w:p w14:paraId="2B4EA315" w14:textId="15855946" w:rsidR="003074B6" w:rsidRPr="003074B6" w:rsidRDefault="003074B6" w:rsidP="00E717E3">
      <w:pPr>
        <w:rPr>
          <w:rFonts w:ascii="Times New Roman" w:hAnsi="Times New Roman" w:cs="Times New Roman"/>
          <w:i/>
          <w:iCs/>
        </w:rPr>
      </w:pPr>
      <w:r w:rsidRPr="003074B6">
        <w:rPr>
          <w:rFonts w:ascii="Times New Roman" w:hAnsi="Times New Roman" w:cs="Times New Roman"/>
          <w:i/>
          <w:iCs/>
        </w:rPr>
        <w:t>Student Enrollment</w:t>
      </w:r>
    </w:p>
    <w:p w14:paraId="5CCBE9A2" w14:textId="15CEC83E" w:rsidR="007B1407" w:rsidRDefault="007B1407" w:rsidP="00CC052E">
      <w:pPr>
        <w:rPr>
          <w:rFonts w:ascii="Times New Roman" w:hAnsi="Times New Roman" w:cs="Times New Roman"/>
        </w:rPr>
      </w:pPr>
      <w:r>
        <w:rPr>
          <w:rFonts w:ascii="Times New Roman" w:hAnsi="Times New Roman" w:cs="Times New Roman"/>
          <w:noProof/>
        </w:rPr>
        <w:drawing>
          <wp:inline distT="0" distB="0" distL="0" distR="0" wp14:anchorId="38E4A494" wp14:editId="00847EB4">
            <wp:extent cx="5486400" cy="3962400"/>
            <wp:effectExtent l="0" t="0" r="0" b="0"/>
            <wp:docPr id="3" name="Chart 3" descr="  Group non Group&#10;State - FLNE 22.3 77.7&#10;CVTE - FLNE 16.3 83.7&#10;State - EL 7.6 92.4&#10;CVTE - EL 4.7 95.3&#10;State - SWD 18.3 81.7&#10;CVTE - SWD 19.9 80.1&#10;State - EcoDis 36.7 63.3&#10;CVTE - EcoDis 38.2 61.8&#10;State - SOC/WH 42.7 57.3&#10;CVTE - SOC/WH 35.8 64.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0A43C5" w14:textId="77777777" w:rsidR="003074B6" w:rsidRPr="00616674" w:rsidRDefault="003074B6" w:rsidP="003074B6">
      <w:pPr>
        <w:rPr>
          <w:rFonts w:ascii="Times New Roman" w:hAnsi="Times New Roman" w:cs="Times New Roman"/>
        </w:rPr>
      </w:pPr>
      <w:r>
        <w:rPr>
          <w:rFonts w:ascii="Times New Roman" w:hAnsi="Times New Roman" w:cs="Times New Roman"/>
        </w:rPr>
        <w:t xml:space="preserve">As of the October 1, 2020 data collection, </w:t>
      </w:r>
      <w:r w:rsidRPr="00616674">
        <w:rPr>
          <w:rFonts w:ascii="Times New Roman" w:hAnsi="Times New Roman" w:cs="Times New Roman"/>
        </w:rPr>
        <w:t>9,951 students were reported as enrolled in a C</w:t>
      </w:r>
      <w:r>
        <w:rPr>
          <w:rFonts w:ascii="Times New Roman" w:hAnsi="Times New Roman" w:cs="Times New Roman"/>
        </w:rPr>
        <w:t>V</w:t>
      </w:r>
      <w:r w:rsidRPr="00616674">
        <w:rPr>
          <w:rFonts w:ascii="Times New Roman" w:hAnsi="Times New Roman" w:cs="Times New Roman"/>
        </w:rPr>
        <w:t xml:space="preserve">TE program at one of the 40 schools that provided grade 9 application data. </w:t>
      </w:r>
    </w:p>
    <w:p w14:paraId="7ED6B008" w14:textId="5DC170BD" w:rsidR="003074B6" w:rsidRPr="00616674" w:rsidRDefault="003074B6" w:rsidP="003074B6">
      <w:pPr>
        <w:pStyle w:val="ListParagraph"/>
        <w:numPr>
          <w:ilvl w:val="0"/>
          <w:numId w:val="4"/>
        </w:numPr>
        <w:rPr>
          <w:rFonts w:ascii="Times New Roman" w:hAnsi="Times New Roman" w:cs="Times New Roman"/>
        </w:rPr>
      </w:pPr>
      <w:r>
        <w:rPr>
          <w:rFonts w:ascii="Times New Roman" w:hAnsi="Times New Roman" w:cs="Times New Roman"/>
        </w:rPr>
        <w:t>3,567 (</w:t>
      </w:r>
      <w:r w:rsidRPr="00616674">
        <w:rPr>
          <w:rFonts w:ascii="Times New Roman" w:hAnsi="Times New Roman" w:cs="Times New Roman"/>
        </w:rPr>
        <w:t>35.8%</w:t>
      </w:r>
      <w:r>
        <w:rPr>
          <w:rFonts w:ascii="Times New Roman" w:hAnsi="Times New Roman" w:cs="Times New Roman"/>
        </w:rPr>
        <w:t>)</w:t>
      </w:r>
      <w:r w:rsidRPr="00616674">
        <w:rPr>
          <w:rFonts w:ascii="Times New Roman" w:hAnsi="Times New Roman" w:cs="Times New Roman"/>
        </w:rPr>
        <w:t xml:space="preserve"> are students of color and </w:t>
      </w:r>
      <w:r>
        <w:rPr>
          <w:rFonts w:ascii="Times New Roman" w:hAnsi="Times New Roman" w:cs="Times New Roman"/>
        </w:rPr>
        <w:t>6,384 (</w:t>
      </w:r>
      <w:r w:rsidRPr="00616674">
        <w:rPr>
          <w:rFonts w:ascii="Times New Roman" w:hAnsi="Times New Roman" w:cs="Times New Roman"/>
        </w:rPr>
        <w:t>64.2%</w:t>
      </w:r>
      <w:r>
        <w:rPr>
          <w:rFonts w:ascii="Times New Roman" w:hAnsi="Times New Roman" w:cs="Times New Roman"/>
        </w:rPr>
        <w:t>)</w:t>
      </w:r>
      <w:r w:rsidRPr="00616674">
        <w:rPr>
          <w:rFonts w:ascii="Times New Roman" w:hAnsi="Times New Roman" w:cs="Times New Roman"/>
        </w:rPr>
        <w:t xml:space="preserve"> are white students.</w:t>
      </w:r>
    </w:p>
    <w:p w14:paraId="0D2C3073" w14:textId="4C2A2E52" w:rsidR="003074B6" w:rsidRPr="00616674" w:rsidRDefault="003074B6" w:rsidP="003074B6">
      <w:pPr>
        <w:pStyle w:val="ListParagraph"/>
        <w:numPr>
          <w:ilvl w:val="0"/>
          <w:numId w:val="4"/>
        </w:numPr>
        <w:rPr>
          <w:rFonts w:ascii="Times New Roman" w:hAnsi="Times New Roman" w:cs="Times New Roman"/>
        </w:rPr>
      </w:pPr>
      <w:r>
        <w:rPr>
          <w:rFonts w:ascii="Times New Roman" w:hAnsi="Times New Roman" w:cs="Times New Roman"/>
        </w:rPr>
        <w:t>3,803 (</w:t>
      </w:r>
      <w:r w:rsidRPr="00616674">
        <w:rPr>
          <w:rFonts w:ascii="Times New Roman" w:hAnsi="Times New Roman" w:cs="Times New Roman"/>
        </w:rPr>
        <w:t>38.2%</w:t>
      </w:r>
      <w:r>
        <w:rPr>
          <w:rFonts w:ascii="Times New Roman" w:hAnsi="Times New Roman" w:cs="Times New Roman"/>
        </w:rPr>
        <w:t>)</w:t>
      </w:r>
      <w:r w:rsidRPr="00616674">
        <w:rPr>
          <w:rFonts w:ascii="Times New Roman" w:hAnsi="Times New Roman" w:cs="Times New Roman"/>
        </w:rPr>
        <w:t xml:space="preserve"> are students identified as economically</w:t>
      </w:r>
      <w:r>
        <w:rPr>
          <w:rFonts w:ascii="Times New Roman" w:hAnsi="Times New Roman" w:cs="Times New Roman"/>
        </w:rPr>
        <w:t>-</w:t>
      </w:r>
      <w:r w:rsidRPr="00616674">
        <w:rPr>
          <w:rFonts w:ascii="Times New Roman" w:hAnsi="Times New Roman" w:cs="Times New Roman"/>
        </w:rPr>
        <w:t>disadvantaged.</w:t>
      </w:r>
    </w:p>
    <w:p w14:paraId="734B63E5" w14:textId="093FE0D3" w:rsidR="003074B6" w:rsidRPr="00616674" w:rsidRDefault="003074B6" w:rsidP="003074B6">
      <w:pPr>
        <w:pStyle w:val="ListParagraph"/>
        <w:numPr>
          <w:ilvl w:val="0"/>
          <w:numId w:val="4"/>
        </w:numPr>
        <w:rPr>
          <w:rFonts w:ascii="Times New Roman" w:hAnsi="Times New Roman" w:cs="Times New Roman"/>
        </w:rPr>
      </w:pPr>
      <w:r>
        <w:rPr>
          <w:rFonts w:ascii="Times New Roman" w:hAnsi="Times New Roman" w:cs="Times New Roman"/>
        </w:rPr>
        <w:t>1,985 (</w:t>
      </w:r>
      <w:r w:rsidRPr="00616674">
        <w:rPr>
          <w:rFonts w:ascii="Times New Roman" w:hAnsi="Times New Roman" w:cs="Times New Roman"/>
        </w:rPr>
        <w:t>19.9%</w:t>
      </w:r>
      <w:r>
        <w:rPr>
          <w:rFonts w:ascii="Times New Roman" w:hAnsi="Times New Roman" w:cs="Times New Roman"/>
        </w:rPr>
        <w:t>)</w:t>
      </w:r>
      <w:r w:rsidRPr="00616674">
        <w:rPr>
          <w:rFonts w:ascii="Times New Roman" w:hAnsi="Times New Roman" w:cs="Times New Roman"/>
        </w:rPr>
        <w:t xml:space="preserve"> are students with disabilities.</w:t>
      </w:r>
    </w:p>
    <w:p w14:paraId="2E444A45" w14:textId="2B5D6CC8" w:rsidR="003074B6" w:rsidRPr="00616674" w:rsidRDefault="003074B6" w:rsidP="003074B6">
      <w:pPr>
        <w:pStyle w:val="ListParagraph"/>
        <w:numPr>
          <w:ilvl w:val="0"/>
          <w:numId w:val="4"/>
        </w:numPr>
        <w:rPr>
          <w:rFonts w:ascii="Times New Roman" w:hAnsi="Times New Roman" w:cs="Times New Roman"/>
        </w:rPr>
      </w:pPr>
      <w:r>
        <w:rPr>
          <w:rFonts w:ascii="Times New Roman" w:hAnsi="Times New Roman" w:cs="Times New Roman"/>
        </w:rPr>
        <w:t>470 (</w:t>
      </w:r>
      <w:r w:rsidRPr="00616674">
        <w:rPr>
          <w:rFonts w:ascii="Times New Roman" w:hAnsi="Times New Roman" w:cs="Times New Roman"/>
        </w:rPr>
        <w:t>4.7%</w:t>
      </w:r>
      <w:r>
        <w:rPr>
          <w:rFonts w:ascii="Times New Roman" w:hAnsi="Times New Roman" w:cs="Times New Roman"/>
        </w:rPr>
        <w:t>)</w:t>
      </w:r>
      <w:r w:rsidRPr="00616674">
        <w:rPr>
          <w:rFonts w:ascii="Times New Roman" w:hAnsi="Times New Roman" w:cs="Times New Roman"/>
        </w:rPr>
        <w:t xml:space="preserve"> are English </w:t>
      </w:r>
      <w:r w:rsidR="00BB47F3">
        <w:rPr>
          <w:rFonts w:ascii="Times New Roman" w:hAnsi="Times New Roman" w:cs="Times New Roman"/>
        </w:rPr>
        <w:t>L</w:t>
      </w:r>
      <w:r w:rsidRPr="00616674">
        <w:rPr>
          <w:rFonts w:ascii="Times New Roman" w:hAnsi="Times New Roman" w:cs="Times New Roman"/>
        </w:rPr>
        <w:t>earners.</w:t>
      </w:r>
    </w:p>
    <w:p w14:paraId="0CE1F922" w14:textId="1B28FECA" w:rsidR="003074B6" w:rsidRPr="00616674" w:rsidRDefault="003074B6" w:rsidP="003074B6">
      <w:pPr>
        <w:pStyle w:val="ListParagraph"/>
        <w:numPr>
          <w:ilvl w:val="0"/>
          <w:numId w:val="4"/>
        </w:numPr>
        <w:rPr>
          <w:rFonts w:ascii="Times New Roman" w:hAnsi="Times New Roman" w:cs="Times New Roman"/>
        </w:rPr>
      </w:pPr>
      <w:r>
        <w:rPr>
          <w:rFonts w:ascii="Times New Roman" w:hAnsi="Times New Roman" w:cs="Times New Roman"/>
        </w:rPr>
        <w:t>1,625 (</w:t>
      </w:r>
      <w:r w:rsidRPr="00616674">
        <w:rPr>
          <w:rFonts w:ascii="Times New Roman" w:hAnsi="Times New Roman" w:cs="Times New Roman"/>
        </w:rPr>
        <w:t>16.3%</w:t>
      </w:r>
      <w:r>
        <w:rPr>
          <w:rFonts w:ascii="Times New Roman" w:hAnsi="Times New Roman" w:cs="Times New Roman"/>
        </w:rPr>
        <w:t>)</w:t>
      </w:r>
      <w:r w:rsidRPr="00616674">
        <w:rPr>
          <w:rFonts w:ascii="Times New Roman" w:hAnsi="Times New Roman" w:cs="Times New Roman"/>
        </w:rPr>
        <w:t xml:space="preserve"> are students whose first language is not English.</w:t>
      </w:r>
    </w:p>
    <w:p w14:paraId="05156D2E" w14:textId="231F8159" w:rsidR="003074B6" w:rsidRDefault="003074B6" w:rsidP="00CC052E">
      <w:pPr>
        <w:rPr>
          <w:rFonts w:ascii="Times New Roman" w:hAnsi="Times New Roman" w:cs="Times New Roman"/>
        </w:rPr>
      </w:pPr>
      <w:r w:rsidRPr="00242F45">
        <w:rPr>
          <w:rFonts w:ascii="Times New Roman" w:hAnsi="Times New Roman" w:cs="Times New Roman"/>
        </w:rPr>
        <w:lastRenderedPageBreak/>
        <w:t>CVTE schools typically plan and prepare for an upcoming school year at least one year prior to the start of the school year, in this case</w:t>
      </w:r>
      <w:r>
        <w:rPr>
          <w:rFonts w:ascii="Times New Roman" w:hAnsi="Times New Roman" w:cs="Times New Roman"/>
        </w:rPr>
        <w:t xml:space="preserve"> the</w:t>
      </w:r>
      <w:r w:rsidRPr="00242F45">
        <w:rPr>
          <w:rFonts w:ascii="Times New Roman" w:hAnsi="Times New Roman" w:cs="Times New Roman"/>
        </w:rPr>
        <w:t xml:space="preserve"> end of </w:t>
      </w:r>
      <w:r>
        <w:rPr>
          <w:rFonts w:ascii="Times New Roman" w:hAnsi="Times New Roman" w:cs="Times New Roman"/>
        </w:rPr>
        <w:t>s</w:t>
      </w:r>
      <w:r w:rsidRPr="00282F6D">
        <w:rPr>
          <w:rFonts w:ascii="Times New Roman" w:hAnsi="Times New Roman" w:cs="Times New Roman"/>
        </w:rPr>
        <w:t xml:space="preserve">ummer/early </w:t>
      </w:r>
      <w:r w:rsidR="00C15B7B">
        <w:rPr>
          <w:rFonts w:ascii="Times New Roman" w:hAnsi="Times New Roman" w:cs="Times New Roman"/>
        </w:rPr>
        <w:t>f</w:t>
      </w:r>
      <w:r w:rsidRPr="00282F6D">
        <w:rPr>
          <w:rFonts w:ascii="Times New Roman" w:hAnsi="Times New Roman" w:cs="Times New Roman"/>
        </w:rPr>
        <w:t xml:space="preserve">all 2019.  </w:t>
      </w:r>
      <w:r>
        <w:rPr>
          <w:rFonts w:ascii="Times New Roman" w:hAnsi="Times New Roman" w:cs="Times New Roman"/>
        </w:rPr>
        <w:t xml:space="preserve">Because </w:t>
      </w:r>
      <w:r w:rsidRPr="00242F45">
        <w:rPr>
          <w:rFonts w:ascii="Times New Roman" w:hAnsi="Times New Roman" w:cs="Times New Roman"/>
        </w:rPr>
        <w:t xml:space="preserve">CVTE schools planned for the 2020-2021 </w:t>
      </w:r>
      <w:r w:rsidR="00C15B7B">
        <w:rPr>
          <w:rFonts w:ascii="Times New Roman" w:hAnsi="Times New Roman" w:cs="Times New Roman"/>
        </w:rPr>
        <w:t xml:space="preserve">school year </w:t>
      </w:r>
      <w:r w:rsidRPr="00242F45">
        <w:rPr>
          <w:rFonts w:ascii="Times New Roman" w:hAnsi="Times New Roman" w:cs="Times New Roman"/>
        </w:rPr>
        <w:t xml:space="preserve">prior to COVID-19, offers of admissions were made </w:t>
      </w:r>
      <w:r>
        <w:rPr>
          <w:rFonts w:ascii="Times New Roman" w:hAnsi="Times New Roman" w:cs="Times New Roman"/>
        </w:rPr>
        <w:t>on time</w:t>
      </w:r>
      <w:r w:rsidRPr="00F72DB7">
        <w:rPr>
          <w:rFonts w:ascii="Times New Roman" w:hAnsi="Times New Roman" w:cs="Times New Roman"/>
        </w:rPr>
        <w:t xml:space="preserve">. </w:t>
      </w:r>
      <w:r>
        <w:rPr>
          <w:rFonts w:ascii="Times New Roman" w:hAnsi="Times New Roman" w:cs="Times New Roman"/>
        </w:rPr>
        <w:t>However, s</w:t>
      </w:r>
      <w:r w:rsidRPr="00F72DB7">
        <w:rPr>
          <w:rFonts w:ascii="Times New Roman" w:hAnsi="Times New Roman" w:cs="Times New Roman"/>
        </w:rPr>
        <w:t>tudents did not enroll at a CVTE school at the same rate as projected, leading to lower enrollment than anticipated</w:t>
      </w:r>
      <w:r>
        <w:rPr>
          <w:rFonts w:ascii="Times New Roman" w:hAnsi="Times New Roman" w:cs="Times New Roman"/>
        </w:rPr>
        <w:t xml:space="preserve"> (potentially for reasons related to COVID-19)</w:t>
      </w:r>
      <w:r w:rsidRPr="00242F45">
        <w:rPr>
          <w:rFonts w:ascii="Times New Roman" w:hAnsi="Times New Roman" w:cs="Times New Roman"/>
        </w:rPr>
        <w:t xml:space="preserve">. Additionally, two schools miscoded students enrolled in a </w:t>
      </w:r>
      <w:r>
        <w:rPr>
          <w:rFonts w:ascii="Times New Roman" w:hAnsi="Times New Roman" w:cs="Times New Roman"/>
        </w:rPr>
        <w:t>Massachusetts vocational</w:t>
      </w:r>
      <w:r w:rsidRPr="00242F45">
        <w:rPr>
          <w:rFonts w:ascii="Times New Roman" w:hAnsi="Times New Roman" w:cs="Times New Roman"/>
        </w:rPr>
        <w:t xml:space="preserve"> program for the October 1, 2020 collection. The Department believes the total grade 9 sector enrollment to be closer to 10,145 students. While several schools enrolled more students than they anticipated serving, most served fewer students. This sector-wide decline is consistent with the overall decline in Massachusetts public school enrollment for the 2020-2021 school year. It also demonstrates that demand for CVTE seats </w:t>
      </w:r>
      <w:r>
        <w:rPr>
          <w:rFonts w:ascii="Times New Roman" w:hAnsi="Times New Roman" w:cs="Times New Roman"/>
        </w:rPr>
        <w:t>is</w:t>
      </w:r>
      <w:r w:rsidRPr="00242F45">
        <w:rPr>
          <w:rFonts w:ascii="Times New Roman" w:hAnsi="Times New Roman" w:cs="Times New Roman"/>
        </w:rPr>
        <w:t xml:space="preserve"> not evenly distributed across the Commonwealth</w:t>
      </w:r>
      <w:r>
        <w:rPr>
          <w:rFonts w:ascii="Times New Roman" w:hAnsi="Times New Roman" w:cs="Times New Roman"/>
        </w:rPr>
        <w:t>,</w:t>
      </w:r>
      <w:r w:rsidRPr="00242F45">
        <w:rPr>
          <w:rFonts w:ascii="Times New Roman" w:hAnsi="Times New Roman" w:cs="Times New Roman"/>
        </w:rPr>
        <w:t xml:space="preserve"> and that there may be additional capacity for some schools to accommodate more students, despite long waitlists at other schools. Additional follow-up with each school to investigate demand trends over time is warranted.</w:t>
      </w:r>
    </w:p>
    <w:p w14:paraId="24FFC29B" w14:textId="3C091461" w:rsidR="006D7207" w:rsidRDefault="006D7207" w:rsidP="00CC052E">
      <w:pPr>
        <w:rPr>
          <w:rFonts w:ascii="Times New Roman" w:hAnsi="Times New Roman" w:cs="Times New Roman"/>
        </w:rPr>
      </w:pPr>
      <w:r>
        <w:rPr>
          <w:rFonts w:ascii="Times New Roman" w:hAnsi="Times New Roman" w:cs="Times New Roman"/>
        </w:rPr>
        <w:t xml:space="preserve">To see CVTE enrollment trends over time, please refer to the </w:t>
      </w:r>
      <w:hyperlink r:id="rId17" w:history="1">
        <w:r w:rsidR="00015AC6" w:rsidRPr="00015AC6">
          <w:rPr>
            <w:rStyle w:val="Hyperlink"/>
            <w:rFonts w:ascii="Times New Roman" w:hAnsi="Times New Roman" w:cs="Times New Roman"/>
          </w:rPr>
          <w:t>Interactive CVTE Population Trends</w:t>
        </w:r>
      </w:hyperlink>
      <w:r w:rsidR="00015AC6">
        <w:rPr>
          <w:rFonts w:ascii="Times New Roman" w:hAnsi="Times New Roman" w:cs="Times New Roman"/>
        </w:rPr>
        <w:t xml:space="preserve"> </w:t>
      </w:r>
      <w:r>
        <w:rPr>
          <w:rFonts w:ascii="Times New Roman" w:hAnsi="Times New Roman" w:cs="Times New Roman"/>
        </w:rPr>
        <w:t>visualization tool</w:t>
      </w:r>
      <w:r w:rsidR="007B1407">
        <w:rPr>
          <w:rFonts w:ascii="Times New Roman" w:hAnsi="Times New Roman" w:cs="Times New Roman"/>
        </w:rPr>
        <w:t>.</w:t>
      </w:r>
      <w:r>
        <w:rPr>
          <w:rFonts w:ascii="Times New Roman" w:hAnsi="Times New Roman" w:cs="Times New Roman"/>
        </w:rPr>
        <w:t xml:space="preserve"> </w:t>
      </w:r>
    </w:p>
    <w:p w14:paraId="435FAF2B" w14:textId="1C669D9D" w:rsidR="003074B6" w:rsidRPr="003074B6" w:rsidRDefault="003074B6" w:rsidP="0048304B">
      <w:pPr>
        <w:pStyle w:val="Heading2"/>
      </w:pPr>
      <w:r w:rsidRPr="003074B6">
        <w:t>Conclusion</w:t>
      </w:r>
    </w:p>
    <w:p w14:paraId="13304A28" w14:textId="20AC7DE6" w:rsidR="00F72DB7" w:rsidRDefault="00F72DB7" w:rsidP="00CC052E">
      <w:pPr>
        <w:rPr>
          <w:rFonts w:ascii="Times New Roman" w:hAnsi="Times New Roman" w:cs="Times New Roman"/>
        </w:rPr>
      </w:pPr>
      <w:r w:rsidRPr="00F72DB7">
        <w:rPr>
          <w:rFonts w:ascii="Times New Roman" w:hAnsi="Times New Roman" w:cs="Times New Roman"/>
        </w:rPr>
        <w:t xml:space="preserve">It is important to note the limits of the Department’s data collection and analysis.  The Department relies on the data as it is reported by vocational schools and programs, and has already identified some minor issues with misreporting.  Furthermore, it can be difficult to draw conclusions at the statewide level, because vocational schools apply a variety of admissions policies.  Under the Department’s current regulations, all selective vocational schools must consider the same four criteria (academic performance, discipline, attendance, and recommendation), but they may assign differing weights to each criterion.  Furthermore, schools may consider a fifth criterion – a student interview.  It is therefore unsurprising that some schools have wider gaps in student subgroup populations than others, and encouraging that some schools have even narrower gaps than expected.  The same can also be said for student applicant pools.  </w:t>
      </w:r>
    </w:p>
    <w:p w14:paraId="30FA2D65" w14:textId="0AB205AF" w:rsidR="00CE11BD" w:rsidRDefault="00931DF9" w:rsidP="0032304C">
      <w:pPr>
        <w:rPr>
          <w:rFonts w:ascii="Times New Roman" w:hAnsi="Times New Roman" w:cs="Times New Roman"/>
        </w:rPr>
      </w:pPr>
      <w:r>
        <w:rPr>
          <w:rFonts w:ascii="Times New Roman" w:hAnsi="Times New Roman" w:cs="Times New Roman"/>
        </w:rPr>
        <w:t>The</w:t>
      </w:r>
      <w:r w:rsidR="009F54F1">
        <w:rPr>
          <w:rFonts w:ascii="Times New Roman" w:hAnsi="Times New Roman" w:cs="Times New Roman"/>
        </w:rPr>
        <w:t xml:space="preserve"> Department </w:t>
      </w:r>
      <w:r>
        <w:rPr>
          <w:rFonts w:ascii="Times New Roman" w:hAnsi="Times New Roman" w:cs="Times New Roman"/>
        </w:rPr>
        <w:t>looks forward to collaborating with individual schools and programs to examine their data, run simulations on potential changes to admissions policies, and assist these schools as they work to improve equity in their admissions</w:t>
      </w:r>
      <w:r w:rsidR="0032304C">
        <w:rPr>
          <w:rFonts w:ascii="Times New Roman" w:hAnsi="Times New Roman" w:cs="Times New Roman"/>
        </w:rPr>
        <w:t xml:space="preserve">. </w:t>
      </w:r>
    </w:p>
    <w:p w14:paraId="1260306B" w14:textId="70A921AB" w:rsidR="000E5229" w:rsidRPr="00616674" w:rsidRDefault="000E5229" w:rsidP="00CE11BD">
      <w:pPr>
        <w:ind w:right="-720"/>
        <w:rPr>
          <w:rFonts w:ascii="Times New Roman" w:hAnsi="Times New Roman" w:cs="Times New Roman"/>
        </w:rPr>
      </w:pPr>
      <w:r w:rsidRPr="000E5229">
        <w:rPr>
          <w:rFonts w:ascii="Times New Roman" w:hAnsi="Times New Roman" w:cs="Times New Roman"/>
        </w:rPr>
        <w:t xml:space="preserve">For </w:t>
      </w:r>
      <w:r w:rsidR="004C32A2">
        <w:rPr>
          <w:rFonts w:ascii="Times New Roman" w:hAnsi="Times New Roman" w:cs="Times New Roman"/>
        </w:rPr>
        <w:t>more</w:t>
      </w:r>
      <w:r w:rsidRPr="000E5229">
        <w:rPr>
          <w:rFonts w:ascii="Times New Roman" w:hAnsi="Times New Roman" w:cs="Times New Roman"/>
        </w:rPr>
        <w:t xml:space="preserve"> information regarding this report, please contact </w:t>
      </w:r>
      <w:hyperlink r:id="rId18" w:history="1">
        <w:r w:rsidRPr="000E5229">
          <w:rPr>
            <w:rStyle w:val="Hyperlink"/>
            <w:rFonts w:ascii="Times New Roman" w:hAnsi="Times New Roman" w:cs="Times New Roman"/>
          </w:rPr>
          <w:t>Brenton Stewart</w:t>
        </w:r>
      </w:hyperlink>
      <w:r w:rsidRPr="000E5229">
        <w:rPr>
          <w:rFonts w:ascii="Times New Roman" w:hAnsi="Times New Roman" w:cs="Times New Roman"/>
        </w:rPr>
        <w:t xml:space="preserve"> or </w:t>
      </w:r>
      <w:hyperlink r:id="rId19" w:history="1">
        <w:r w:rsidRPr="000E5229">
          <w:rPr>
            <w:rStyle w:val="Hyperlink"/>
            <w:rFonts w:ascii="Times New Roman" w:hAnsi="Times New Roman" w:cs="Times New Roman"/>
          </w:rPr>
          <w:t>Elizabeth Bennett</w:t>
        </w:r>
      </w:hyperlink>
      <w:r>
        <w:rPr>
          <w:rFonts w:ascii="Times New Roman" w:hAnsi="Times New Roman" w:cs="Times New Roman"/>
        </w:rPr>
        <w:t xml:space="preserve">. </w:t>
      </w:r>
    </w:p>
    <w:sectPr w:rsidR="000E5229" w:rsidRPr="00616674">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8271B" w14:textId="77777777" w:rsidR="001C4FAD" w:rsidRDefault="001C4FAD" w:rsidP="00616674">
      <w:pPr>
        <w:spacing w:after="0" w:line="240" w:lineRule="auto"/>
      </w:pPr>
      <w:r>
        <w:separator/>
      </w:r>
    </w:p>
  </w:endnote>
  <w:endnote w:type="continuationSeparator" w:id="0">
    <w:p w14:paraId="67E302B3" w14:textId="77777777" w:rsidR="001C4FAD" w:rsidRDefault="001C4FAD" w:rsidP="0061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817648"/>
      <w:docPartObj>
        <w:docPartGallery w:val="Page Numbers (Bottom of Page)"/>
        <w:docPartUnique/>
      </w:docPartObj>
    </w:sdtPr>
    <w:sdtEndPr>
      <w:rPr>
        <w:rFonts w:ascii="Times New Roman" w:hAnsi="Times New Roman" w:cs="Times New Roman"/>
        <w:noProof/>
      </w:rPr>
    </w:sdtEndPr>
    <w:sdtContent>
      <w:p w14:paraId="588A1D80" w14:textId="582DAC9A" w:rsidR="009A6513" w:rsidRPr="00704B35" w:rsidRDefault="009A6513">
        <w:pPr>
          <w:pStyle w:val="Footer"/>
          <w:jc w:val="right"/>
          <w:rPr>
            <w:rFonts w:ascii="Times New Roman" w:hAnsi="Times New Roman" w:cs="Times New Roman"/>
          </w:rPr>
        </w:pPr>
        <w:r w:rsidRPr="00704B35">
          <w:rPr>
            <w:rFonts w:ascii="Times New Roman" w:hAnsi="Times New Roman" w:cs="Times New Roman"/>
          </w:rPr>
          <w:fldChar w:fldCharType="begin"/>
        </w:r>
        <w:r w:rsidRPr="00704B35">
          <w:rPr>
            <w:rFonts w:ascii="Times New Roman" w:hAnsi="Times New Roman" w:cs="Times New Roman"/>
          </w:rPr>
          <w:instrText xml:space="preserve"> PAGE   \* MERGEFORMAT </w:instrText>
        </w:r>
        <w:r w:rsidRPr="00704B35">
          <w:rPr>
            <w:rFonts w:ascii="Times New Roman" w:hAnsi="Times New Roman" w:cs="Times New Roman"/>
          </w:rPr>
          <w:fldChar w:fldCharType="separate"/>
        </w:r>
        <w:r w:rsidRPr="00704B35">
          <w:rPr>
            <w:rFonts w:ascii="Times New Roman" w:hAnsi="Times New Roman" w:cs="Times New Roman"/>
            <w:noProof/>
          </w:rPr>
          <w:t>2</w:t>
        </w:r>
        <w:r w:rsidRPr="00704B35">
          <w:rPr>
            <w:rFonts w:ascii="Times New Roman" w:hAnsi="Times New Roman" w:cs="Times New Roman"/>
            <w:noProof/>
          </w:rPr>
          <w:fldChar w:fldCharType="end"/>
        </w:r>
      </w:p>
    </w:sdtContent>
  </w:sdt>
  <w:p w14:paraId="03181E9B" w14:textId="77777777" w:rsidR="009A6513" w:rsidRDefault="009A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29F01" w14:textId="77777777" w:rsidR="001C4FAD" w:rsidRDefault="001C4FAD" w:rsidP="00616674">
      <w:pPr>
        <w:spacing w:after="0" w:line="240" w:lineRule="auto"/>
      </w:pPr>
      <w:r>
        <w:separator/>
      </w:r>
    </w:p>
  </w:footnote>
  <w:footnote w:type="continuationSeparator" w:id="0">
    <w:p w14:paraId="0844DC4A" w14:textId="77777777" w:rsidR="001C4FAD" w:rsidRDefault="001C4FAD" w:rsidP="00616674">
      <w:pPr>
        <w:spacing w:after="0" w:line="240" w:lineRule="auto"/>
      </w:pPr>
      <w:r>
        <w:continuationSeparator/>
      </w:r>
    </w:p>
  </w:footnote>
  <w:footnote w:id="1">
    <w:p w14:paraId="62535C9A" w14:textId="16A9CFD8" w:rsidR="00705ACC" w:rsidRPr="005D01EE" w:rsidRDefault="00705ACC" w:rsidP="00410A1C">
      <w:pPr>
        <w:pStyle w:val="FootnoteText"/>
        <w:ind w:left="90" w:hanging="90"/>
        <w:rPr>
          <w:rFonts w:ascii="Times New Roman" w:hAnsi="Times New Roman" w:cs="Times New Roman"/>
        </w:rPr>
      </w:pPr>
      <w:r w:rsidRPr="005D01EE">
        <w:rPr>
          <w:rStyle w:val="FootnoteReference"/>
          <w:rFonts w:ascii="Times New Roman" w:hAnsi="Times New Roman" w:cs="Times New Roman"/>
        </w:rPr>
        <w:footnoteRef/>
      </w:r>
      <w:r w:rsidR="009A3132">
        <w:rPr>
          <w:rFonts w:ascii="Times New Roman" w:hAnsi="Times New Roman" w:cs="Times New Roman"/>
        </w:rPr>
        <w:t xml:space="preserve"> </w:t>
      </w:r>
      <w:r w:rsidRPr="005D01EE">
        <w:rPr>
          <w:rFonts w:ascii="Times New Roman" w:hAnsi="Times New Roman" w:cs="Times New Roman"/>
        </w:rPr>
        <w:t xml:space="preserve">Please note that </w:t>
      </w:r>
      <w:r>
        <w:rPr>
          <w:rFonts w:ascii="Times New Roman" w:hAnsi="Times New Roman" w:cs="Times New Roman"/>
        </w:rPr>
        <w:t>a few</w:t>
      </w:r>
      <w:r w:rsidRPr="005D01EE">
        <w:rPr>
          <w:rFonts w:ascii="Times New Roman" w:hAnsi="Times New Roman" w:cs="Times New Roman"/>
        </w:rPr>
        <w:t xml:space="preserve"> </w:t>
      </w:r>
      <w:r w:rsidR="007A5A93">
        <w:rPr>
          <w:rFonts w:ascii="Times New Roman" w:hAnsi="Times New Roman" w:cs="Times New Roman"/>
        </w:rPr>
        <w:t>fields</w:t>
      </w:r>
      <w:r>
        <w:rPr>
          <w:rFonts w:ascii="Times New Roman" w:hAnsi="Times New Roman" w:cs="Times New Roman"/>
        </w:rPr>
        <w:t xml:space="preserve"> included in the collection template were</w:t>
      </w:r>
      <w:r w:rsidRPr="005D01EE">
        <w:rPr>
          <w:rFonts w:ascii="Times New Roman" w:hAnsi="Times New Roman" w:cs="Times New Roman"/>
        </w:rPr>
        <w:t xml:space="preserve"> considered optional unless a school had that information easily accessible and readily available. </w:t>
      </w:r>
      <w:r>
        <w:rPr>
          <w:rFonts w:ascii="Times New Roman" w:hAnsi="Times New Roman" w:cs="Times New Roman"/>
        </w:rPr>
        <w:t>While many</w:t>
      </w:r>
      <w:r w:rsidRPr="005D01EE">
        <w:rPr>
          <w:rFonts w:ascii="Times New Roman" w:hAnsi="Times New Roman" w:cs="Times New Roman"/>
        </w:rPr>
        <w:t xml:space="preserve"> schools utilize an online application platform, </w:t>
      </w:r>
      <w:r>
        <w:rPr>
          <w:rFonts w:ascii="Times New Roman" w:hAnsi="Times New Roman" w:cs="Times New Roman"/>
        </w:rPr>
        <w:t>making</w:t>
      </w:r>
      <w:r w:rsidRPr="005D01EE">
        <w:rPr>
          <w:rFonts w:ascii="Times New Roman" w:hAnsi="Times New Roman" w:cs="Times New Roman"/>
        </w:rPr>
        <w:t xml:space="preserve"> data reporting easier</w:t>
      </w:r>
      <w:r>
        <w:rPr>
          <w:rFonts w:ascii="Times New Roman" w:hAnsi="Times New Roman" w:cs="Times New Roman"/>
        </w:rPr>
        <w:t>,</w:t>
      </w:r>
      <w:r w:rsidRPr="005D01EE">
        <w:rPr>
          <w:rFonts w:ascii="Times New Roman" w:hAnsi="Times New Roman" w:cs="Times New Roman"/>
        </w:rPr>
        <w:t xml:space="preserve"> </w:t>
      </w:r>
      <w:r>
        <w:rPr>
          <w:rFonts w:ascii="Times New Roman" w:hAnsi="Times New Roman" w:cs="Times New Roman"/>
        </w:rPr>
        <w:t>s</w:t>
      </w:r>
      <w:r w:rsidRPr="005D01EE">
        <w:rPr>
          <w:rFonts w:ascii="Times New Roman" w:hAnsi="Times New Roman" w:cs="Times New Roman"/>
        </w:rPr>
        <w:t>ome schools</w:t>
      </w:r>
      <w:r>
        <w:rPr>
          <w:rFonts w:ascii="Times New Roman" w:hAnsi="Times New Roman" w:cs="Times New Roman"/>
        </w:rPr>
        <w:t xml:space="preserve"> utilize </w:t>
      </w:r>
      <w:r w:rsidRPr="005D01EE">
        <w:rPr>
          <w:rFonts w:ascii="Times New Roman" w:hAnsi="Times New Roman" w:cs="Times New Roman"/>
        </w:rPr>
        <w:t>hard copy records</w:t>
      </w:r>
      <w:r>
        <w:rPr>
          <w:rFonts w:ascii="Times New Roman" w:hAnsi="Times New Roman" w:cs="Times New Roman"/>
        </w:rPr>
        <w:t>, making data collection more difficult</w:t>
      </w:r>
      <w:r w:rsidRPr="005D01EE">
        <w:rPr>
          <w:rFonts w:ascii="Times New Roman" w:hAnsi="Times New Roman" w:cs="Times New Roman"/>
        </w:rPr>
        <w:t>.</w:t>
      </w:r>
    </w:p>
  </w:footnote>
  <w:footnote w:id="2">
    <w:p w14:paraId="1A595856" w14:textId="0C5D3E9A" w:rsidR="00BF748C" w:rsidRPr="00D54708" w:rsidRDefault="00BF748C" w:rsidP="00D54708">
      <w:pPr>
        <w:spacing w:after="0"/>
        <w:rPr>
          <w:rFonts w:ascii="Times New Roman" w:hAnsi="Times New Roman" w:cs="Times New Roman"/>
          <w:sz w:val="20"/>
          <w:szCs w:val="20"/>
        </w:rPr>
      </w:pPr>
      <w:r w:rsidRPr="006426FD">
        <w:rPr>
          <w:rStyle w:val="FootnoteReference"/>
          <w:rFonts w:ascii="Times New Roman" w:hAnsi="Times New Roman" w:cs="Times New Roman"/>
          <w:sz w:val="20"/>
          <w:szCs w:val="20"/>
        </w:rPr>
        <w:footnoteRef/>
      </w:r>
      <w:r w:rsidRPr="006426FD">
        <w:rPr>
          <w:rFonts w:ascii="Times New Roman" w:hAnsi="Times New Roman" w:cs="Times New Roman"/>
          <w:sz w:val="20"/>
          <w:szCs w:val="20"/>
        </w:rPr>
        <w:t xml:space="preserve"> The Department also investigated the number of students who applied to a CVTE school</w:t>
      </w:r>
      <w:r w:rsidR="00DC05E9">
        <w:rPr>
          <w:rFonts w:ascii="Times New Roman" w:hAnsi="Times New Roman" w:cs="Times New Roman"/>
          <w:sz w:val="20"/>
          <w:szCs w:val="20"/>
        </w:rPr>
        <w:t xml:space="preserve"> and</w:t>
      </w:r>
      <w:r w:rsidRPr="006426FD">
        <w:rPr>
          <w:rFonts w:ascii="Times New Roman" w:hAnsi="Times New Roman" w:cs="Times New Roman"/>
          <w:sz w:val="20"/>
          <w:szCs w:val="20"/>
        </w:rPr>
        <w:t xml:space="preserve"> who were not enrolled in a Massachusetts public school at the time of application (e.g., private school). The Department found that 1,535 students who applied for grade 9 vocational programs were not enrolled in a Massachusetts public school at the end of the 2020 school year. Of those students, 811 were not enrolled in a Massachusetts public school as of October 1, 2020 and were either enrolled in a private school, parochial school, homeschooled, or moved out of Massachusetts. 503 of these students ended up enrolling at the CVTE school that they applied to for the 2020-2021 school year. The remaining 221 students enrolled elsewhere in a different Massachusetts public school for the 2020-2021 school year.</w:t>
      </w:r>
    </w:p>
  </w:footnote>
  <w:footnote w:id="3">
    <w:p w14:paraId="217A769A" w14:textId="7ADD50C6" w:rsidR="009D3698" w:rsidRPr="00AD747E" w:rsidRDefault="009D3698" w:rsidP="00D54708">
      <w:pPr>
        <w:pStyle w:val="FootnoteText"/>
        <w:ind w:left="90" w:hanging="90"/>
        <w:rPr>
          <w:rFonts w:ascii="Times New Roman" w:hAnsi="Times New Roman" w:cs="Times New Roman"/>
        </w:rPr>
      </w:pPr>
      <w:r w:rsidRPr="00AD747E">
        <w:rPr>
          <w:rStyle w:val="FootnoteReference"/>
          <w:rFonts w:ascii="Times New Roman" w:hAnsi="Times New Roman" w:cs="Times New Roman"/>
        </w:rPr>
        <w:footnoteRef/>
      </w:r>
      <w:r w:rsidR="009A3132">
        <w:rPr>
          <w:rFonts w:ascii="Times New Roman" w:hAnsi="Times New Roman" w:cs="Times New Roman"/>
        </w:rPr>
        <w:t xml:space="preserve"> </w:t>
      </w:r>
      <w:r w:rsidR="00725C39">
        <w:rPr>
          <w:rFonts w:ascii="Times New Roman" w:hAnsi="Times New Roman" w:cs="Times New Roman"/>
        </w:rPr>
        <w:t xml:space="preserve">The Department is working on standardizing this determination, as well as improving its data collection efforts </w:t>
      </w:r>
      <w:r w:rsidR="007A5A93">
        <w:rPr>
          <w:rFonts w:ascii="Times New Roman" w:hAnsi="Times New Roman" w:cs="Times New Roman"/>
        </w:rPr>
        <w:t>with</w:t>
      </w:r>
      <w:r w:rsidR="00725C39">
        <w:rPr>
          <w:rFonts w:ascii="Times New Roman" w:hAnsi="Times New Roman" w:cs="Times New Roman"/>
        </w:rPr>
        <w:t xml:space="preserve"> vocational schools and programs</w:t>
      </w:r>
      <w:r w:rsidRPr="00AD747E">
        <w:rPr>
          <w:rFonts w:ascii="Times New Roman" w:hAnsi="Times New Roman" w:cs="Times New Roman"/>
        </w:rPr>
        <w:t xml:space="preserve">.  </w:t>
      </w:r>
    </w:p>
  </w:footnote>
  <w:footnote w:id="4">
    <w:p w14:paraId="655C30E7" w14:textId="77777777" w:rsidR="009D33E0" w:rsidRPr="009D33E0" w:rsidRDefault="009D33E0" w:rsidP="009D33E0">
      <w:pPr>
        <w:pStyle w:val="FootnoteText"/>
        <w:rPr>
          <w:rFonts w:ascii="Times New Roman" w:hAnsi="Times New Roman" w:cs="Times New Roman"/>
        </w:rPr>
      </w:pPr>
      <w:r w:rsidRPr="009D33E0">
        <w:rPr>
          <w:rStyle w:val="FootnoteReference"/>
          <w:rFonts w:ascii="Times New Roman" w:hAnsi="Times New Roman" w:cs="Times New Roman"/>
        </w:rPr>
        <w:footnoteRef/>
      </w:r>
      <w:r w:rsidRPr="009D33E0">
        <w:rPr>
          <w:rFonts w:ascii="Times New Roman" w:hAnsi="Times New Roman" w:cs="Times New Roman"/>
        </w:rPr>
        <w:t xml:space="preserve"> Schools reported 10,616 available seats for grade 9 vocational programs.  </w:t>
      </w:r>
    </w:p>
  </w:footnote>
  <w:footnote w:id="5">
    <w:p w14:paraId="2145109D" w14:textId="77777777" w:rsidR="003074B6" w:rsidRPr="009A3132" w:rsidRDefault="003074B6" w:rsidP="003074B6">
      <w:pPr>
        <w:pStyle w:val="FootnoteText"/>
        <w:ind w:left="90" w:hanging="90"/>
        <w:rPr>
          <w:rFonts w:ascii="Times New Roman" w:hAnsi="Times New Roman" w:cs="Times New Roman"/>
        </w:rPr>
      </w:pPr>
      <w:r w:rsidRPr="009A3132">
        <w:rPr>
          <w:rStyle w:val="FootnoteReference"/>
          <w:rFonts w:ascii="Times New Roman" w:hAnsi="Times New Roman" w:cs="Times New Roman"/>
        </w:rPr>
        <w:footnoteRef/>
      </w:r>
      <w:r w:rsidRPr="009A3132">
        <w:rPr>
          <w:rFonts w:ascii="Times New Roman" w:hAnsi="Times New Roman" w:cs="Times New Roman"/>
        </w:rPr>
        <w:t xml:space="preserve"> Vocational schools and programs may also condition admission on students passing courses in English Language Arts (or its equivalent) and mathematics.  Because this condition is permissive and may vary from program to program, it introduces some level of uncertainty that the data collection cannot address at this stage.  </w:t>
      </w:r>
    </w:p>
  </w:footnote>
  <w:footnote w:id="6">
    <w:p w14:paraId="719B1DEA" w14:textId="6D95F0E5" w:rsidR="003074B6" w:rsidRPr="005D01EE" w:rsidRDefault="003074B6" w:rsidP="003074B6">
      <w:pPr>
        <w:pStyle w:val="FootnoteText"/>
        <w:ind w:left="90" w:hanging="90"/>
        <w:rPr>
          <w:rFonts w:ascii="Times New Roman" w:hAnsi="Times New Roman" w:cs="Times New Roman"/>
        </w:rPr>
      </w:pPr>
      <w:r w:rsidRPr="005D01EE">
        <w:rPr>
          <w:rStyle w:val="FootnoteReference"/>
          <w:rFonts w:ascii="Times New Roman" w:hAnsi="Times New Roman" w:cs="Times New Roman"/>
        </w:rPr>
        <w:footnoteRef/>
      </w:r>
      <w:r w:rsidRPr="005D01EE">
        <w:rPr>
          <w:rFonts w:ascii="Times New Roman" w:hAnsi="Times New Roman" w:cs="Times New Roman"/>
        </w:rPr>
        <w:t xml:space="preserve"> In alignment with other Department accountability analyses, this report acknowledges that students may be identified in multiple subgroup categories, for example, English </w:t>
      </w:r>
      <w:r w:rsidR="00BB47F3">
        <w:rPr>
          <w:rFonts w:ascii="Times New Roman" w:hAnsi="Times New Roman" w:cs="Times New Roman"/>
        </w:rPr>
        <w:t>L</w:t>
      </w:r>
      <w:r w:rsidRPr="005D01EE">
        <w:rPr>
          <w:rFonts w:ascii="Times New Roman" w:hAnsi="Times New Roman" w:cs="Times New Roman"/>
        </w:rPr>
        <w:t>earner and first language not English. The matching process identifies non-group categories as well</w:t>
      </w:r>
      <w:r>
        <w:rPr>
          <w:rFonts w:ascii="Times New Roman" w:hAnsi="Times New Roman" w:cs="Times New Roman"/>
        </w:rPr>
        <w:t>.</w:t>
      </w:r>
      <w:r w:rsidRPr="005D01EE">
        <w:rPr>
          <w:rFonts w:ascii="Times New Roman" w:hAnsi="Times New Roman" w:cs="Times New Roman"/>
        </w:rPr>
        <w:t xml:space="preserve"> </w:t>
      </w:r>
      <w:r>
        <w:rPr>
          <w:rFonts w:ascii="Times New Roman" w:hAnsi="Times New Roman" w:cs="Times New Roman"/>
        </w:rPr>
        <w:t xml:space="preserve">This identification of a subgroup of interest and its “non” counterpart help facilitate the interpretation of data outcomes. Any </w:t>
      </w:r>
      <w:r w:rsidRPr="005D01EE">
        <w:rPr>
          <w:rFonts w:ascii="Times New Roman" w:hAnsi="Times New Roman" w:cs="Times New Roman"/>
        </w:rPr>
        <w:t>interpretation of subgroup data should be considered separate and distinct from the interpretation of other subgroup data.</w:t>
      </w:r>
      <w:r>
        <w:rPr>
          <w:rFonts w:ascii="Times New Roman" w:hAnsi="Times New Roman" w:cs="Times New Roman"/>
        </w:rPr>
        <w:t xml:space="preserve"> Additionally, t</w:t>
      </w:r>
      <w:r w:rsidRPr="002761C3">
        <w:rPr>
          <w:rFonts w:ascii="Times New Roman" w:hAnsi="Times New Roman" w:cs="Times New Roman"/>
        </w:rPr>
        <w:t>he Department was unable to identify through its matching process student demographic information for 1,040 students (5.6%).</w:t>
      </w:r>
    </w:p>
  </w:footnote>
  <w:footnote w:id="7">
    <w:p w14:paraId="6592751B" w14:textId="2C477DCC" w:rsidR="002649CD" w:rsidRDefault="002649CD">
      <w:pPr>
        <w:pStyle w:val="FootnoteText"/>
      </w:pPr>
      <w:r>
        <w:rPr>
          <w:rStyle w:val="FootnoteReference"/>
        </w:rPr>
        <w:footnoteRef/>
      </w:r>
      <w:r>
        <w:t xml:space="preserve"> </w:t>
      </w:r>
      <w:r>
        <w:rPr>
          <w:rFonts w:ascii="Times New Roman" w:hAnsi="Times New Roman" w:cs="Times New Roman"/>
        </w:rPr>
        <w:t xml:space="preserve">It is, however, important to note that economically-disadvantaged students and students with disabilities make up a greater proportion of students applying to CVTE programs than other student subgroups, such as English </w:t>
      </w:r>
      <w:r w:rsidR="00BB47F3">
        <w:rPr>
          <w:rFonts w:ascii="Times New Roman" w:hAnsi="Times New Roman" w:cs="Times New Roman"/>
        </w:rPr>
        <w:t>L</w:t>
      </w:r>
      <w:r>
        <w:rPr>
          <w:rFonts w:ascii="Times New Roman" w:hAnsi="Times New Roman" w:cs="Times New Roman"/>
        </w:rPr>
        <w:t>earners.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00D4E" w14:textId="5F491644" w:rsidR="009D3698" w:rsidRPr="0048304B" w:rsidRDefault="009D3698" w:rsidP="0048304B">
    <w:pPr>
      <w:pStyle w:val="Heading1"/>
    </w:pPr>
    <w:r w:rsidRPr="0048304B">
      <w:t xml:space="preserve">Massachusetts Career Vocational Technical Education </w:t>
    </w:r>
    <w:r w:rsidRPr="0048304B">
      <w:br/>
      <w:t>Waitlist Report for 2020-2021 (FY21)</w:t>
    </w:r>
  </w:p>
  <w:p w14:paraId="169B20A3" w14:textId="43C0D624" w:rsidR="009D3698" w:rsidRDefault="009D3698" w:rsidP="00616674">
    <w:pPr>
      <w:spacing w:after="200"/>
      <w:jc w:val="center"/>
      <w:rPr>
        <w:b/>
        <w:i/>
      </w:rPr>
    </w:pPr>
    <w:r>
      <w:rPr>
        <w:b/>
        <w:i/>
      </w:rPr>
      <w:t>As of October 1, 2020 (Posted February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F3DC6"/>
    <w:multiLevelType w:val="hybridMultilevel"/>
    <w:tmpl w:val="1F3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44E64"/>
    <w:multiLevelType w:val="hybridMultilevel"/>
    <w:tmpl w:val="205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B268F"/>
    <w:multiLevelType w:val="hybridMultilevel"/>
    <w:tmpl w:val="D9981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332FF"/>
    <w:multiLevelType w:val="hybridMultilevel"/>
    <w:tmpl w:val="181C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F621A"/>
    <w:multiLevelType w:val="hybridMultilevel"/>
    <w:tmpl w:val="B0EA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C185E"/>
    <w:multiLevelType w:val="hybridMultilevel"/>
    <w:tmpl w:val="F968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F42B6"/>
    <w:multiLevelType w:val="hybridMultilevel"/>
    <w:tmpl w:val="E9A2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E63C8"/>
    <w:multiLevelType w:val="hybridMultilevel"/>
    <w:tmpl w:val="90C0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43F88"/>
    <w:multiLevelType w:val="hybridMultilevel"/>
    <w:tmpl w:val="F1D03D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0"/>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48"/>
    <w:rsid w:val="00015AC6"/>
    <w:rsid w:val="000221D7"/>
    <w:rsid w:val="00041F9B"/>
    <w:rsid w:val="00073FE0"/>
    <w:rsid w:val="00077EC8"/>
    <w:rsid w:val="000A32E9"/>
    <w:rsid w:val="000C78C6"/>
    <w:rsid w:val="000E5229"/>
    <w:rsid w:val="000F732C"/>
    <w:rsid w:val="001049DF"/>
    <w:rsid w:val="00105FD1"/>
    <w:rsid w:val="00112883"/>
    <w:rsid w:val="00157BE5"/>
    <w:rsid w:val="00162A78"/>
    <w:rsid w:val="00162B37"/>
    <w:rsid w:val="00176229"/>
    <w:rsid w:val="001A29E2"/>
    <w:rsid w:val="001A3EE5"/>
    <w:rsid w:val="001C1D36"/>
    <w:rsid w:val="001C4C7D"/>
    <w:rsid w:val="001C4FAD"/>
    <w:rsid w:val="001D3BE7"/>
    <w:rsid w:val="00205309"/>
    <w:rsid w:val="00225C12"/>
    <w:rsid w:val="00231932"/>
    <w:rsid w:val="00242F45"/>
    <w:rsid w:val="00261D30"/>
    <w:rsid w:val="002649CD"/>
    <w:rsid w:val="002761C3"/>
    <w:rsid w:val="0027714F"/>
    <w:rsid w:val="00282F6D"/>
    <w:rsid w:val="002954F6"/>
    <w:rsid w:val="002F4640"/>
    <w:rsid w:val="00305DDD"/>
    <w:rsid w:val="003074B6"/>
    <w:rsid w:val="00311644"/>
    <w:rsid w:val="00315054"/>
    <w:rsid w:val="00322C38"/>
    <w:rsid w:val="0032304C"/>
    <w:rsid w:val="00353C4A"/>
    <w:rsid w:val="003A5166"/>
    <w:rsid w:val="003B42FC"/>
    <w:rsid w:val="003C79AE"/>
    <w:rsid w:val="004108D5"/>
    <w:rsid w:val="00410A1C"/>
    <w:rsid w:val="00420241"/>
    <w:rsid w:val="0044467F"/>
    <w:rsid w:val="00445C9E"/>
    <w:rsid w:val="0048304B"/>
    <w:rsid w:val="00493BBF"/>
    <w:rsid w:val="004A2E0C"/>
    <w:rsid w:val="004C23F5"/>
    <w:rsid w:val="004C32A2"/>
    <w:rsid w:val="004C38A7"/>
    <w:rsid w:val="004D4500"/>
    <w:rsid w:val="004E6188"/>
    <w:rsid w:val="00521C3A"/>
    <w:rsid w:val="00540B9D"/>
    <w:rsid w:val="00544551"/>
    <w:rsid w:val="00554C37"/>
    <w:rsid w:val="00561D38"/>
    <w:rsid w:val="005C214D"/>
    <w:rsid w:val="005D01EE"/>
    <w:rsid w:val="00616674"/>
    <w:rsid w:val="00617967"/>
    <w:rsid w:val="0063596A"/>
    <w:rsid w:val="00641D06"/>
    <w:rsid w:val="006426FD"/>
    <w:rsid w:val="00671322"/>
    <w:rsid w:val="006A7899"/>
    <w:rsid w:val="006D7207"/>
    <w:rsid w:val="006E5DE7"/>
    <w:rsid w:val="00704B35"/>
    <w:rsid w:val="00705ACC"/>
    <w:rsid w:val="00725C39"/>
    <w:rsid w:val="00753B66"/>
    <w:rsid w:val="00771898"/>
    <w:rsid w:val="00771D90"/>
    <w:rsid w:val="007732AC"/>
    <w:rsid w:val="00777CF5"/>
    <w:rsid w:val="0079698C"/>
    <w:rsid w:val="007A0534"/>
    <w:rsid w:val="007A5A93"/>
    <w:rsid w:val="007B1407"/>
    <w:rsid w:val="007D6ADD"/>
    <w:rsid w:val="007E187E"/>
    <w:rsid w:val="007F345A"/>
    <w:rsid w:val="00801653"/>
    <w:rsid w:val="00806D00"/>
    <w:rsid w:val="00807C75"/>
    <w:rsid w:val="0081135D"/>
    <w:rsid w:val="00833F87"/>
    <w:rsid w:val="008366DA"/>
    <w:rsid w:val="008445D6"/>
    <w:rsid w:val="00856CAA"/>
    <w:rsid w:val="00860F27"/>
    <w:rsid w:val="00880E27"/>
    <w:rsid w:val="008E3EAF"/>
    <w:rsid w:val="00906363"/>
    <w:rsid w:val="00917E40"/>
    <w:rsid w:val="009311CE"/>
    <w:rsid w:val="00931DF9"/>
    <w:rsid w:val="00943599"/>
    <w:rsid w:val="009715CB"/>
    <w:rsid w:val="00995A5E"/>
    <w:rsid w:val="009A3132"/>
    <w:rsid w:val="009A609C"/>
    <w:rsid w:val="009A6513"/>
    <w:rsid w:val="009C40AD"/>
    <w:rsid w:val="009D33E0"/>
    <w:rsid w:val="009D3698"/>
    <w:rsid w:val="009D7646"/>
    <w:rsid w:val="009E6FAB"/>
    <w:rsid w:val="009F54F1"/>
    <w:rsid w:val="009F6735"/>
    <w:rsid w:val="00A13ACF"/>
    <w:rsid w:val="00A23DAA"/>
    <w:rsid w:val="00A9322D"/>
    <w:rsid w:val="00A9654B"/>
    <w:rsid w:val="00AA6A97"/>
    <w:rsid w:val="00AC1148"/>
    <w:rsid w:val="00AD52C5"/>
    <w:rsid w:val="00AD747E"/>
    <w:rsid w:val="00AF2F71"/>
    <w:rsid w:val="00B17725"/>
    <w:rsid w:val="00B2512E"/>
    <w:rsid w:val="00B33F93"/>
    <w:rsid w:val="00B42A7B"/>
    <w:rsid w:val="00B62EFD"/>
    <w:rsid w:val="00B64227"/>
    <w:rsid w:val="00B7174C"/>
    <w:rsid w:val="00BB47F3"/>
    <w:rsid w:val="00BB7CF9"/>
    <w:rsid w:val="00BD57A3"/>
    <w:rsid w:val="00BE105F"/>
    <w:rsid w:val="00BF61B9"/>
    <w:rsid w:val="00BF748C"/>
    <w:rsid w:val="00C04418"/>
    <w:rsid w:val="00C050D9"/>
    <w:rsid w:val="00C15B7B"/>
    <w:rsid w:val="00C611E6"/>
    <w:rsid w:val="00C9207B"/>
    <w:rsid w:val="00CA17DF"/>
    <w:rsid w:val="00CB5448"/>
    <w:rsid w:val="00CC052E"/>
    <w:rsid w:val="00CC2830"/>
    <w:rsid w:val="00CC6C75"/>
    <w:rsid w:val="00CD22F7"/>
    <w:rsid w:val="00CE11BD"/>
    <w:rsid w:val="00CE66E7"/>
    <w:rsid w:val="00D0311F"/>
    <w:rsid w:val="00D43F6E"/>
    <w:rsid w:val="00D54708"/>
    <w:rsid w:val="00D55847"/>
    <w:rsid w:val="00D64058"/>
    <w:rsid w:val="00D73826"/>
    <w:rsid w:val="00D968AB"/>
    <w:rsid w:val="00D97763"/>
    <w:rsid w:val="00DC05E9"/>
    <w:rsid w:val="00DD0929"/>
    <w:rsid w:val="00DF7511"/>
    <w:rsid w:val="00E353FB"/>
    <w:rsid w:val="00E46FCB"/>
    <w:rsid w:val="00E54E53"/>
    <w:rsid w:val="00E61CA9"/>
    <w:rsid w:val="00E717E3"/>
    <w:rsid w:val="00E8370A"/>
    <w:rsid w:val="00E90812"/>
    <w:rsid w:val="00EA3232"/>
    <w:rsid w:val="00ED7005"/>
    <w:rsid w:val="00EF1984"/>
    <w:rsid w:val="00F05BDC"/>
    <w:rsid w:val="00F24CE2"/>
    <w:rsid w:val="00F3246D"/>
    <w:rsid w:val="00F555C5"/>
    <w:rsid w:val="00F72DB7"/>
    <w:rsid w:val="00F76E9E"/>
    <w:rsid w:val="00FB51E4"/>
    <w:rsid w:val="00FB6E63"/>
    <w:rsid w:val="00FC26F3"/>
    <w:rsid w:val="00FC3A27"/>
    <w:rsid w:val="00FC49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17B7"/>
  <w15:chartTrackingRefBased/>
  <w15:docId w15:val="{C3FEFC77-94A0-4F65-80C4-D8D12DE7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6D"/>
  </w:style>
  <w:style w:type="paragraph" w:styleId="Heading1">
    <w:name w:val="heading 1"/>
    <w:basedOn w:val="Heading3"/>
    <w:next w:val="Normal"/>
    <w:link w:val="Heading1Char"/>
    <w:uiPriority w:val="9"/>
    <w:qFormat/>
    <w:rsid w:val="0048304B"/>
    <w:pPr>
      <w:outlineLvl w:val="0"/>
    </w:pPr>
  </w:style>
  <w:style w:type="paragraph" w:styleId="Heading2">
    <w:name w:val="heading 2"/>
    <w:basedOn w:val="Normal"/>
    <w:next w:val="Normal"/>
    <w:link w:val="Heading2Char"/>
    <w:uiPriority w:val="9"/>
    <w:unhideWhenUsed/>
    <w:qFormat/>
    <w:rsid w:val="0048304B"/>
    <w:pPr>
      <w:outlineLvl w:val="1"/>
    </w:pPr>
    <w:rPr>
      <w:rFonts w:ascii="Times New Roman" w:hAnsi="Times New Roman" w:cs="Times New Roman"/>
      <w:u w:val="single"/>
    </w:rPr>
  </w:style>
  <w:style w:type="paragraph" w:styleId="Heading3">
    <w:name w:val="heading 3"/>
    <w:basedOn w:val="Normal"/>
    <w:next w:val="Normal"/>
    <w:link w:val="Heading3Char"/>
    <w:autoRedefine/>
    <w:uiPriority w:val="99"/>
    <w:qFormat/>
    <w:rsid w:val="00616674"/>
    <w:pPr>
      <w:keepNext/>
      <w:spacing w:before="120" w:after="0" w:line="240" w:lineRule="auto"/>
      <w:jc w:val="center"/>
      <w:outlineLvl w:val="2"/>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448"/>
    <w:rPr>
      <w:color w:val="0563C1"/>
      <w:u w:val="single"/>
    </w:rPr>
  </w:style>
  <w:style w:type="paragraph" w:styleId="ListParagraph">
    <w:name w:val="List Paragraph"/>
    <w:basedOn w:val="Normal"/>
    <w:uiPriority w:val="34"/>
    <w:qFormat/>
    <w:rsid w:val="004E6188"/>
    <w:pPr>
      <w:ind w:left="720"/>
      <w:contextualSpacing/>
    </w:pPr>
  </w:style>
  <w:style w:type="character" w:customStyle="1" w:styleId="Heading2Char">
    <w:name w:val="Heading 2 Char"/>
    <w:basedOn w:val="DefaultParagraphFont"/>
    <w:link w:val="Heading2"/>
    <w:uiPriority w:val="9"/>
    <w:rsid w:val="0048304B"/>
    <w:rPr>
      <w:rFonts w:ascii="Times New Roman" w:hAnsi="Times New Roman" w:cs="Times New Roman"/>
      <w:u w:val="single"/>
    </w:rPr>
  </w:style>
  <w:style w:type="paragraph" w:styleId="Header">
    <w:name w:val="header"/>
    <w:basedOn w:val="Normal"/>
    <w:link w:val="HeaderChar"/>
    <w:uiPriority w:val="99"/>
    <w:unhideWhenUsed/>
    <w:rsid w:val="00616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74"/>
  </w:style>
  <w:style w:type="paragraph" w:styleId="Footer">
    <w:name w:val="footer"/>
    <w:basedOn w:val="Normal"/>
    <w:link w:val="FooterChar"/>
    <w:uiPriority w:val="99"/>
    <w:unhideWhenUsed/>
    <w:rsid w:val="00616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74"/>
  </w:style>
  <w:style w:type="character" w:customStyle="1" w:styleId="Heading3Char">
    <w:name w:val="Heading 3 Char"/>
    <w:basedOn w:val="DefaultParagraphFont"/>
    <w:link w:val="Heading3"/>
    <w:uiPriority w:val="99"/>
    <w:rsid w:val="00616674"/>
    <w:rPr>
      <w:rFonts w:ascii="Times New Roman" w:eastAsia="Times New Roman" w:hAnsi="Times New Roman" w:cs="Times New Roman"/>
      <w:b/>
      <w:bCs/>
      <w:iCs/>
      <w:sz w:val="24"/>
      <w:szCs w:val="28"/>
    </w:rPr>
  </w:style>
  <w:style w:type="paragraph" w:styleId="BalloonText">
    <w:name w:val="Balloon Text"/>
    <w:basedOn w:val="Normal"/>
    <w:link w:val="BalloonTextChar"/>
    <w:uiPriority w:val="99"/>
    <w:semiHidden/>
    <w:unhideWhenUsed/>
    <w:rsid w:val="003B4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2FC"/>
    <w:rPr>
      <w:rFonts w:ascii="Segoe UI" w:hAnsi="Segoe UI" w:cs="Segoe UI"/>
      <w:sz w:val="18"/>
      <w:szCs w:val="18"/>
    </w:rPr>
  </w:style>
  <w:style w:type="paragraph" w:styleId="FootnoteText">
    <w:name w:val="footnote text"/>
    <w:basedOn w:val="Normal"/>
    <w:link w:val="FootnoteTextChar"/>
    <w:uiPriority w:val="99"/>
    <w:semiHidden/>
    <w:unhideWhenUsed/>
    <w:rsid w:val="00B33F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F93"/>
    <w:rPr>
      <w:sz w:val="20"/>
      <w:szCs w:val="20"/>
    </w:rPr>
  </w:style>
  <w:style w:type="character" w:styleId="FootnoteReference">
    <w:name w:val="footnote reference"/>
    <w:basedOn w:val="DefaultParagraphFont"/>
    <w:uiPriority w:val="99"/>
    <w:semiHidden/>
    <w:unhideWhenUsed/>
    <w:rsid w:val="00B33F93"/>
    <w:rPr>
      <w:vertAlign w:val="superscript"/>
    </w:rPr>
  </w:style>
  <w:style w:type="character" w:styleId="UnresolvedMention">
    <w:name w:val="Unresolved Mention"/>
    <w:basedOn w:val="DefaultParagraphFont"/>
    <w:uiPriority w:val="99"/>
    <w:semiHidden/>
    <w:unhideWhenUsed/>
    <w:rsid w:val="000E5229"/>
    <w:rPr>
      <w:color w:val="605E5C"/>
      <w:shd w:val="clear" w:color="auto" w:fill="E1DFDD"/>
    </w:rPr>
  </w:style>
  <w:style w:type="character" w:styleId="CommentReference">
    <w:name w:val="annotation reference"/>
    <w:basedOn w:val="DefaultParagraphFont"/>
    <w:uiPriority w:val="99"/>
    <w:semiHidden/>
    <w:unhideWhenUsed/>
    <w:rsid w:val="007E187E"/>
    <w:rPr>
      <w:sz w:val="16"/>
      <w:szCs w:val="16"/>
    </w:rPr>
  </w:style>
  <w:style w:type="paragraph" w:styleId="CommentText">
    <w:name w:val="annotation text"/>
    <w:basedOn w:val="Normal"/>
    <w:link w:val="CommentTextChar"/>
    <w:uiPriority w:val="99"/>
    <w:semiHidden/>
    <w:unhideWhenUsed/>
    <w:rsid w:val="007E187E"/>
    <w:pPr>
      <w:spacing w:line="240" w:lineRule="auto"/>
    </w:pPr>
    <w:rPr>
      <w:sz w:val="20"/>
      <w:szCs w:val="20"/>
    </w:rPr>
  </w:style>
  <w:style w:type="character" w:customStyle="1" w:styleId="CommentTextChar">
    <w:name w:val="Comment Text Char"/>
    <w:basedOn w:val="DefaultParagraphFont"/>
    <w:link w:val="CommentText"/>
    <w:uiPriority w:val="99"/>
    <w:semiHidden/>
    <w:rsid w:val="007E187E"/>
    <w:rPr>
      <w:sz w:val="20"/>
      <w:szCs w:val="20"/>
    </w:rPr>
  </w:style>
  <w:style w:type="paragraph" w:styleId="CommentSubject">
    <w:name w:val="annotation subject"/>
    <w:basedOn w:val="CommentText"/>
    <w:next w:val="CommentText"/>
    <w:link w:val="CommentSubjectChar"/>
    <w:uiPriority w:val="99"/>
    <w:semiHidden/>
    <w:unhideWhenUsed/>
    <w:rsid w:val="007E187E"/>
    <w:rPr>
      <w:b/>
      <w:bCs/>
    </w:rPr>
  </w:style>
  <w:style w:type="character" w:customStyle="1" w:styleId="CommentSubjectChar">
    <w:name w:val="Comment Subject Char"/>
    <w:basedOn w:val="CommentTextChar"/>
    <w:link w:val="CommentSubject"/>
    <w:uiPriority w:val="99"/>
    <w:semiHidden/>
    <w:rsid w:val="007E187E"/>
    <w:rPr>
      <w:b/>
      <w:bCs/>
      <w:sz w:val="20"/>
      <w:szCs w:val="20"/>
    </w:rPr>
  </w:style>
  <w:style w:type="paragraph" w:styleId="NormalWeb">
    <w:name w:val="Normal (Web)"/>
    <w:basedOn w:val="Normal"/>
    <w:uiPriority w:val="99"/>
    <w:semiHidden/>
    <w:unhideWhenUsed/>
    <w:rsid w:val="00856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304B"/>
    <w:rPr>
      <w:rFonts w:ascii="Times New Roman" w:eastAsia="Times New Roman" w:hAnsi="Times New Roman" w:cs="Times New Roman"/>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810817">
      <w:bodyDiv w:val="1"/>
      <w:marLeft w:val="0"/>
      <w:marRight w:val="0"/>
      <w:marTop w:val="0"/>
      <w:marBottom w:val="0"/>
      <w:divBdr>
        <w:top w:val="none" w:sz="0" w:space="0" w:color="auto"/>
        <w:left w:val="none" w:sz="0" w:space="0" w:color="auto"/>
        <w:bottom w:val="none" w:sz="0" w:space="0" w:color="auto"/>
        <w:right w:val="none" w:sz="0" w:space="0" w:color="auto"/>
      </w:divBdr>
    </w:div>
    <w:div w:id="433018520">
      <w:bodyDiv w:val="1"/>
      <w:marLeft w:val="0"/>
      <w:marRight w:val="0"/>
      <w:marTop w:val="0"/>
      <w:marBottom w:val="0"/>
      <w:divBdr>
        <w:top w:val="none" w:sz="0" w:space="0" w:color="auto"/>
        <w:left w:val="none" w:sz="0" w:space="0" w:color="auto"/>
        <w:bottom w:val="none" w:sz="0" w:space="0" w:color="auto"/>
        <w:right w:val="none" w:sz="0" w:space="0" w:color="auto"/>
      </w:divBdr>
    </w:div>
    <w:div w:id="741219053">
      <w:bodyDiv w:val="1"/>
      <w:marLeft w:val="0"/>
      <w:marRight w:val="0"/>
      <w:marTop w:val="0"/>
      <w:marBottom w:val="0"/>
      <w:divBdr>
        <w:top w:val="none" w:sz="0" w:space="0" w:color="auto"/>
        <w:left w:val="none" w:sz="0" w:space="0" w:color="auto"/>
        <w:bottom w:val="none" w:sz="0" w:space="0" w:color="auto"/>
        <w:right w:val="none" w:sz="0" w:space="0" w:color="auto"/>
      </w:divBdr>
    </w:div>
    <w:div w:id="972255111">
      <w:bodyDiv w:val="1"/>
      <w:marLeft w:val="0"/>
      <w:marRight w:val="0"/>
      <w:marTop w:val="0"/>
      <w:marBottom w:val="0"/>
      <w:divBdr>
        <w:top w:val="none" w:sz="0" w:space="0" w:color="auto"/>
        <w:left w:val="none" w:sz="0" w:space="0" w:color="auto"/>
        <w:bottom w:val="none" w:sz="0" w:space="0" w:color="auto"/>
        <w:right w:val="none" w:sz="0" w:space="0" w:color="auto"/>
      </w:divBdr>
    </w:div>
    <w:div w:id="973562610">
      <w:bodyDiv w:val="1"/>
      <w:marLeft w:val="0"/>
      <w:marRight w:val="0"/>
      <w:marTop w:val="0"/>
      <w:marBottom w:val="0"/>
      <w:divBdr>
        <w:top w:val="none" w:sz="0" w:space="0" w:color="auto"/>
        <w:left w:val="none" w:sz="0" w:space="0" w:color="auto"/>
        <w:bottom w:val="none" w:sz="0" w:space="0" w:color="auto"/>
        <w:right w:val="none" w:sz="0" w:space="0" w:color="auto"/>
      </w:divBdr>
    </w:div>
    <w:div w:id="17220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yperlink" Target="mailto:brenton.stewart@mass.gov?subject=FY21%20Voc-Tech%20Waitlist%20Repor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e.mass.edu/lawsregs/603cmr4.html" TargetMode="External"/><Relationship Id="rId17" Type="http://schemas.openxmlformats.org/officeDocument/2006/relationships/hyperlink" Target="https://app.powerbigov.us/view?r=eyJrIjoiNzRiMzIyNzItZDJlMy00ZGQwLThjNjItZmNkYjZkZmVhMTY1IiwidCI6IjNlODYxZDE2LTQ4YjctNGEwZS05ODA2LThjMDRkODFiN2IyYSJ9"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lizabeth.L.Bennett@mass.gov?subject=FY21%20Voc-Tech%20Waitlist%20Re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t>'Awareness Gap' - Complete Applications for CVTE Grade 9 (%) compared to Statewide Grade 9 Student Group Enrollment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percentStacked"/>
        <c:varyColors val="0"/>
        <c:ser>
          <c:idx val="0"/>
          <c:order val="0"/>
          <c:tx>
            <c:strRef>
              <c:f>Sheet1!$B$1</c:f>
              <c:strCache>
                <c:ptCount val="1"/>
                <c:pt idx="0">
                  <c:v>Group</c:v>
                </c:pt>
              </c:strCache>
            </c:strRef>
          </c:tx>
          <c:spPr>
            <a:solidFill>
              <a:schemeClr val="accent1"/>
            </a:solidFill>
            <a:ln>
              <a:noFill/>
            </a:ln>
            <a:effectLst/>
          </c:spPr>
          <c:invertIfNegative val="0"/>
          <c:dPt>
            <c:idx val="0"/>
            <c:invertIfNegative val="0"/>
            <c:bubble3D val="0"/>
            <c:spPr>
              <a:solidFill>
                <a:srgbClr val="D82C79"/>
              </a:solidFill>
              <a:ln>
                <a:noFill/>
              </a:ln>
              <a:effectLst/>
            </c:spPr>
            <c:extLst>
              <c:ext xmlns:c16="http://schemas.microsoft.com/office/drawing/2014/chart" uri="{C3380CC4-5D6E-409C-BE32-E72D297353CC}">
                <c16:uniqueId val="{0000000B-9BAD-4AAC-9CEE-8BBAE53CD8A2}"/>
              </c:ext>
            </c:extLst>
          </c:dPt>
          <c:dPt>
            <c:idx val="1"/>
            <c:invertIfNegative val="0"/>
            <c:bubble3D val="0"/>
            <c:spPr>
              <a:solidFill>
                <a:srgbClr val="D82C79"/>
              </a:solidFill>
              <a:ln>
                <a:noFill/>
              </a:ln>
              <a:effectLst/>
            </c:spPr>
            <c:extLst>
              <c:ext xmlns:c16="http://schemas.microsoft.com/office/drawing/2014/chart" uri="{C3380CC4-5D6E-409C-BE32-E72D297353CC}">
                <c16:uniqueId val="{00000004-E501-49B5-84FF-0E67ADB19912}"/>
              </c:ext>
            </c:extLst>
          </c:dPt>
          <c:dPt>
            <c:idx val="2"/>
            <c:invertIfNegative val="0"/>
            <c:bubble3D val="0"/>
            <c:spPr>
              <a:solidFill>
                <a:srgbClr val="F16522"/>
              </a:solidFill>
              <a:ln>
                <a:noFill/>
              </a:ln>
              <a:effectLst/>
            </c:spPr>
            <c:extLst>
              <c:ext xmlns:c16="http://schemas.microsoft.com/office/drawing/2014/chart" uri="{C3380CC4-5D6E-409C-BE32-E72D297353CC}">
                <c16:uniqueId val="{00000006-E501-49B5-84FF-0E67ADB19912}"/>
              </c:ext>
            </c:extLst>
          </c:dPt>
          <c:dPt>
            <c:idx val="3"/>
            <c:invertIfNegative val="0"/>
            <c:bubble3D val="0"/>
            <c:spPr>
              <a:solidFill>
                <a:srgbClr val="F16522"/>
              </a:solidFill>
              <a:ln>
                <a:noFill/>
              </a:ln>
              <a:effectLst/>
            </c:spPr>
            <c:extLst>
              <c:ext xmlns:c16="http://schemas.microsoft.com/office/drawing/2014/chart" uri="{C3380CC4-5D6E-409C-BE32-E72D297353CC}">
                <c16:uniqueId val="{00000008-E501-49B5-84FF-0E67ADB19912}"/>
              </c:ext>
            </c:extLst>
          </c:dPt>
          <c:dPt>
            <c:idx val="4"/>
            <c:invertIfNegative val="0"/>
            <c:bubble3D val="0"/>
            <c:spPr>
              <a:solidFill>
                <a:srgbClr val="BC2026"/>
              </a:solidFill>
              <a:ln>
                <a:noFill/>
              </a:ln>
              <a:effectLst/>
            </c:spPr>
            <c:extLst>
              <c:ext xmlns:c16="http://schemas.microsoft.com/office/drawing/2014/chart" uri="{C3380CC4-5D6E-409C-BE32-E72D297353CC}">
                <c16:uniqueId val="{0000000D-E501-49B5-84FF-0E67ADB19912}"/>
              </c:ext>
            </c:extLst>
          </c:dPt>
          <c:dPt>
            <c:idx val="5"/>
            <c:invertIfNegative val="0"/>
            <c:bubble3D val="0"/>
            <c:spPr>
              <a:solidFill>
                <a:srgbClr val="BC2026"/>
              </a:solidFill>
              <a:ln>
                <a:noFill/>
              </a:ln>
              <a:effectLst/>
            </c:spPr>
            <c:extLst>
              <c:ext xmlns:c16="http://schemas.microsoft.com/office/drawing/2014/chart" uri="{C3380CC4-5D6E-409C-BE32-E72D297353CC}">
                <c16:uniqueId val="{0000000A-E501-49B5-84FF-0E67ADB19912}"/>
              </c:ext>
            </c:extLst>
          </c:dPt>
          <c:dPt>
            <c:idx val="6"/>
            <c:invertIfNegative val="0"/>
            <c:bubble3D val="0"/>
            <c:spPr>
              <a:solidFill>
                <a:srgbClr val="4BA832"/>
              </a:solidFill>
              <a:ln>
                <a:noFill/>
              </a:ln>
              <a:effectLst/>
            </c:spPr>
            <c:extLst>
              <c:ext xmlns:c16="http://schemas.microsoft.com/office/drawing/2014/chart" uri="{C3380CC4-5D6E-409C-BE32-E72D297353CC}">
                <c16:uniqueId val="{0000000F-9BAD-4AAC-9CEE-8BBAE53CD8A2}"/>
              </c:ext>
            </c:extLst>
          </c:dPt>
          <c:dPt>
            <c:idx val="7"/>
            <c:invertIfNegative val="0"/>
            <c:bubble3D val="0"/>
            <c:spPr>
              <a:solidFill>
                <a:srgbClr val="4BA832"/>
              </a:solidFill>
              <a:ln>
                <a:noFill/>
              </a:ln>
              <a:effectLst/>
            </c:spPr>
            <c:extLst>
              <c:ext xmlns:c16="http://schemas.microsoft.com/office/drawing/2014/chart" uri="{C3380CC4-5D6E-409C-BE32-E72D297353CC}">
                <c16:uniqueId val="{0000000E-9BAD-4AAC-9CEE-8BBAE53CD8A2}"/>
              </c:ext>
            </c:extLst>
          </c:dPt>
          <c:dPt>
            <c:idx val="9"/>
            <c:invertIfNegative val="0"/>
            <c:bubble3D val="0"/>
            <c:spPr>
              <a:solidFill>
                <a:schemeClr val="accent1"/>
              </a:solidFill>
              <a:ln>
                <a:noFill/>
              </a:ln>
              <a:effectLst/>
            </c:spPr>
            <c:extLst>
              <c:ext xmlns:c16="http://schemas.microsoft.com/office/drawing/2014/chart" uri="{C3380CC4-5D6E-409C-BE32-E72D297353CC}">
                <c16:uniqueId val="{0000001A-9BAD-4AAC-9CEE-8BBAE53CD8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State - FLNE</c:v>
                </c:pt>
                <c:pt idx="1">
                  <c:v>CVTE - FLNE</c:v>
                </c:pt>
                <c:pt idx="2">
                  <c:v>State - EL</c:v>
                </c:pt>
                <c:pt idx="3">
                  <c:v>CVTE - EL</c:v>
                </c:pt>
                <c:pt idx="4">
                  <c:v>State - SWD</c:v>
                </c:pt>
                <c:pt idx="5">
                  <c:v>CVTE - SWD</c:v>
                </c:pt>
                <c:pt idx="6">
                  <c:v>State - EcoDis</c:v>
                </c:pt>
                <c:pt idx="7">
                  <c:v>CVTE - EcoDis</c:v>
                </c:pt>
                <c:pt idx="8">
                  <c:v>State - SOC/WH</c:v>
                </c:pt>
                <c:pt idx="9">
                  <c:v>CVTE - SOC/WH</c:v>
                </c:pt>
              </c:strCache>
            </c:strRef>
          </c:cat>
          <c:val>
            <c:numRef>
              <c:f>Sheet1!$B$2:$B$11</c:f>
              <c:numCache>
                <c:formatCode>General</c:formatCode>
                <c:ptCount val="10"/>
                <c:pt idx="0">
                  <c:v>22.3</c:v>
                </c:pt>
                <c:pt idx="1">
                  <c:v>17.7</c:v>
                </c:pt>
                <c:pt idx="2">
                  <c:v>7.6</c:v>
                </c:pt>
                <c:pt idx="3">
                  <c:v>5.4</c:v>
                </c:pt>
                <c:pt idx="4">
                  <c:v>18.3</c:v>
                </c:pt>
                <c:pt idx="5">
                  <c:v>21.3</c:v>
                </c:pt>
                <c:pt idx="6">
                  <c:v>36.700000000000003</c:v>
                </c:pt>
                <c:pt idx="7">
                  <c:v>40.4</c:v>
                </c:pt>
                <c:pt idx="8">
                  <c:v>42.7</c:v>
                </c:pt>
                <c:pt idx="9">
                  <c:v>36.700000000000003</c:v>
                </c:pt>
              </c:numCache>
            </c:numRef>
          </c:val>
          <c:extLst>
            <c:ext xmlns:c16="http://schemas.microsoft.com/office/drawing/2014/chart" uri="{C3380CC4-5D6E-409C-BE32-E72D297353CC}">
              <c16:uniqueId val="{00000000-E501-49B5-84FF-0E67ADB19912}"/>
            </c:ext>
          </c:extLst>
        </c:ser>
        <c:ser>
          <c:idx val="1"/>
          <c:order val="1"/>
          <c:tx>
            <c:strRef>
              <c:f>Sheet1!$C$1</c:f>
              <c:strCache>
                <c:ptCount val="1"/>
                <c:pt idx="0">
                  <c:v>Unknown</c:v>
                </c:pt>
              </c:strCache>
            </c:strRef>
          </c:tx>
          <c:spPr>
            <a:solidFill>
              <a:srgbClr val="BFBF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State - FLNE</c:v>
                </c:pt>
                <c:pt idx="1">
                  <c:v>CVTE - FLNE</c:v>
                </c:pt>
                <c:pt idx="2">
                  <c:v>State - EL</c:v>
                </c:pt>
                <c:pt idx="3">
                  <c:v>CVTE - EL</c:v>
                </c:pt>
                <c:pt idx="4">
                  <c:v>State - SWD</c:v>
                </c:pt>
                <c:pt idx="5">
                  <c:v>CVTE - SWD</c:v>
                </c:pt>
                <c:pt idx="6">
                  <c:v>State - EcoDis</c:v>
                </c:pt>
                <c:pt idx="7">
                  <c:v>CVTE - EcoDis</c:v>
                </c:pt>
                <c:pt idx="8">
                  <c:v>State - SOC/WH</c:v>
                </c:pt>
                <c:pt idx="9">
                  <c:v>CVTE - SOC/WH</c:v>
                </c:pt>
              </c:strCache>
            </c:strRef>
          </c:cat>
          <c:val>
            <c:numRef>
              <c:f>Sheet1!$C$2:$C$11</c:f>
              <c:numCache>
                <c:formatCode>General</c:formatCode>
                <c:ptCount val="10"/>
                <c:pt idx="1">
                  <c:v>5.6</c:v>
                </c:pt>
                <c:pt idx="3">
                  <c:v>5.6</c:v>
                </c:pt>
                <c:pt idx="5">
                  <c:v>5.6</c:v>
                </c:pt>
                <c:pt idx="7">
                  <c:v>5.6</c:v>
                </c:pt>
                <c:pt idx="9">
                  <c:v>5.6</c:v>
                </c:pt>
              </c:numCache>
            </c:numRef>
          </c:val>
          <c:extLst>
            <c:ext xmlns:c16="http://schemas.microsoft.com/office/drawing/2014/chart" uri="{C3380CC4-5D6E-409C-BE32-E72D297353CC}">
              <c16:uniqueId val="{00000001-E501-49B5-84FF-0E67ADB19912}"/>
            </c:ext>
          </c:extLst>
        </c:ser>
        <c:ser>
          <c:idx val="2"/>
          <c:order val="2"/>
          <c:tx>
            <c:strRef>
              <c:f>Sheet1!$D$1</c:f>
              <c:strCache>
                <c:ptCount val="1"/>
                <c:pt idx="0">
                  <c:v>non Group</c:v>
                </c:pt>
              </c:strCache>
            </c:strRef>
          </c:tx>
          <c:spPr>
            <a:solidFill>
              <a:schemeClr val="bg1">
                <a:lumMod val="85000"/>
              </a:schemeClr>
            </a:solidFill>
            <a:ln>
              <a:noFill/>
            </a:ln>
            <a:effectLst/>
          </c:spPr>
          <c:invertIfNegative val="0"/>
          <c:dPt>
            <c:idx val="0"/>
            <c:invertIfNegative val="0"/>
            <c:bubble3D val="0"/>
            <c:spPr>
              <a:solidFill>
                <a:srgbClr val="F3BFD7"/>
              </a:solidFill>
              <a:ln>
                <a:noFill/>
              </a:ln>
              <a:effectLst/>
            </c:spPr>
            <c:extLst>
              <c:ext xmlns:c16="http://schemas.microsoft.com/office/drawing/2014/chart" uri="{C3380CC4-5D6E-409C-BE32-E72D297353CC}">
                <c16:uniqueId val="{00000019-9BAD-4AAC-9CEE-8BBAE53CD8A2}"/>
              </c:ext>
            </c:extLst>
          </c:dPt>
          <c:dPt>
            <c:idx val="1"/>
            <c:invertIfNegative val="0"/>
            <c:bubble3D val="0"/>
            <c:spPr>
              <a:solidFill>
                <a:srgbClr val="F3BFD7"/>
              </a:solidFill>
              <a:ln>
                <a:noFill/>
              </a:ln>
              <a:effectLst/>
            </c:spPr>
            <c:extLst>
              <c:ext xmlns:c16="http://schemas.microsoft.com/office/drawing/2014/chart" uri="{C3380CC4-5D6E-409C-BE32-E72D297353CC}">
                <c16:uniqueId val="{00000018-9BAD-4AAC-9CEE-8BBAE53CD8A2}"/>
              </c:ext>
            </c:extLst>
          </c:dPt>
          <c:dPt>
            <c:idx val="2"/>
            <c:invertIfNegative val="0"/>
            <c:bubble3D val="0"/>
            <c:spPr>
              <a:solidFill>
                <a:srgbClr val="F9BEA1"/>
              </a:solidFill>
              <a:ln>
                <a:noFill/>
              </a:ln>
              <a:effectLst/>
            </c:spPr>
            <c:extLst>
              <c:ext xmlns:c16="http://schemas.microsoft.com/office/drawing/2014/chart" uri="{C3380CC4-5D6E-409C-BE32-E72D297353CC}">
                <c16:uniqueId val="{00000017-9BAD-4AAC-9CEE-8BBAE53CD8A2}"/>
              </c:ext>
            </c:extLst>
          </c:dPt>
          <c:dPt>
            <c:idx val="3"/>
            <c:invertIfNegative val="0"/>
            <c:bubble3D val="0"/>
            <c:spPr>
              <a:solidFill>
                <a:srgbClr val="F9BEA1"/>
              </a:solidFill>
              <a:ln>
                <a:noFill/>
              </a:ln>
              <a:effectLst/>
            </c:spPr>
            <c:extLst>
              <c:ext xmlns:c16="http://schemas.microsoft.com/office/drawing/2014/chart" uri="{C3380CC4-5D6E-409C-BE32-E72D297353CC}">
                <c16:uniqueId val="{00000016-9BAD-4AAC-9CEE-8BBAE53CD8A2}"/>
              </c:ext>
            </c:extLst>
          </c:dPt>
          <c:dPt>
            <c:idx val="4"/>
            <c:invertIfNegative val="0"/>
            <c:bubble3D val="0"/>
            <c:spPr>
              <a:solidFill>
                <a:srgbClr val="F3B7BA"/>
              </a:solidFill>
              <a:ln>
                <a:noFill/>
              </a:ln>
              <a:effectLst/>
            </c:spPr>
            <c:extLst>
              <c:ext xmlns:c16="http://schemas.microsoft.com/office/drawing/2014/chart" uri="{C3380CC4-5D6E-409C-BE32-E72D297353CC}">
                <c16:uniqueId val="{00000015-9BAD-4AAC-9CEE-8BBAE53CD8A2}"/>
              </c:ext>
            </c:extLst>
          </c:dPt>
          <c:dPt>
            <c:idx val="5"/>
            <c:invertIfNegative val="0"/>
            <c:bubble3D val="0"/>
            <c:spPr>
              <a:solidFill>
                <a:srgbClr val="F3B7BA"/>
              </a:solidFill>
              <a:ln>
                <a:noFill/>
              </a:ln>
              <a:effectLst/>
            </c:spPr>
            <c:extLst>
              <c:ext xmlns:c16="http://schemas.microsoft.com/office/drawing/2014/chart" uri="{C3380CC4-5D6E-409C-BE32-E72D297353CC}">
                <c16:uniqueId val="{00000014-9BAD-4AAC-9CEE-8BBAE53CD8A2}"/>
              </c:ext>
            </c:extLst>
          </c:dPt>
          <c:dPt>
            <c:idx val="6"/>
            <c:invertIfNegative val="0"/>
            <c:bubble3D val="0"/>
            <c:spPr>
              <a:solidFill>
                <a:srgbClr val="C8ECBE"/>
              </a:solidFill>
              <a:ln>
                <a:noFill/>
              </a:ln>
              <a:effectLst/>
            </c:spPr>
            <c:extLst>
              <c:ext xmlns:c16="http://schemas.microsoft.com/office/drawing/2014/chart" uri="{C3380CC4-5D6E-409C-BE32-E72D297353CC}">
                <c16:uniqueId val="{00000013-9BAD-4AAC-9CEE-8BBAE53CD8A2}"/>
              </c:ext>
            </c:extLst>
          </c:dPt>
          <c:dPt>
            <c:idx val="7"/>
            <c:invertIfNegative val="0"/>
            <c:bubble3D val="0"/>
            <c:spPr>
              <a:solidFill>
                <a:srgbClr val="C8ECBE"/>
              </a:solidFill>
              <a:ln>
                <a:noFill/>
              </a:ln>
              <a:effectLst/>
            </c:spPr>
            <c:extLst>
              <c:ext xmlns:c16="http://schemas.microsoft.com/office/drawing/2014/chart" uri="{C3380CC4-5D6E-409C-BE32-E72D297353CC}">
                <c16:uniqueId val="{00000012-9BAD-4AAC-9CEE-8BBAE53CD8A2}"/>
              </c:ext>
            </c:extLst>
          </c:dPt>
          <c:dPt>
            <c:idx val="8"/>
            <c:invertIfNegative val="0"/>
            <c:bubble3D val="0"/>
            <c:spPr>
              <a:solidFill>
                <a:srgbClr val="DAE3F3"/>
              </a:solidFill>
              <a:ln>
                <a:noFill/>
              </a:ln>
              <a:effectLst/>
            </c:spPr>
            <c:extLst>
              <c:ext xmlns:c16="http://schemas.microsoft.com/office/drawing/2014/chart" uri="{C3380CC4-5D6E-409C-BE32-E72D297353CC}">
                <c16:uniqueId val="{00000011-9BAD-4AAC-9CEE-8BBAE53CD8A2}"/>
              </c:ext>
            </c:extLst>
          </c:dPt>
          <c:dPt>
            <c:idx val="9"/>
            <c:invertIfNegative val="0"/>
            <c:bubble3D val="0"/>
            <c:spPr>
              <a:solidFill>
                <a:srgbClr val="DAE3F3"/>
              </a:solidFill>
              <a:ln>
                <a:noFill/>
              </a:ln>
              <a:effectLst/>
            </c:spPr>
            <c:extLst>
              <c:ext xmlns:c16="http://schemas.microsoft.com/office/drawing/2014/chart" uri="{C3380CC4-5D6E-409C-BE32-E72D297353CC}">
                <c16:uniqueId val="{00000010-9BAD-4AAC-9CEE-8BBAE53CD8A2}"/>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State - FLNE</c:v>
                </c:pt>
                <c:pt idx="1">
                  <c:v>CVTE - FLNE</c:v>
                </c:pt>
                <c:pt idx="2">
                  <c:v>State - EL</c:v>
                </c:pt>
                <c:pt idx="3">
                  <c:v>CVTE - EL</c:v>
                </c:pt>
                <c:pt idx="4">
                  <c:v>State - SWD</c:v>
                </c:pt>
                <c:pt idx="5">
                  <c:v>CVTE - SWD</c:v>
                </c:pt>
                <c:pt idx="6">
                  <c:v>State - EcoDis</c:v>
                </c:pt>
                <c:pt idx="7">
                  <c:v>CVTE - EcoDis</c:v>
                </c:pt>
                <c:pt idx="8">
                  <c:v>State - SOC/WH</c:v>
                </c:pt>
                <c:pt idx="9">
                  <c:v>CVTE - SOC/WH</c:v>
                </c:pt>
              </c:strCache>
            </c:strRef>
          </c:cat>
          <c:val>
            <c:numRef>
              <c:f>Sheet1!$D$2:$D$11</c:f>
              <c:numCache>
                <c:formatCode>General</c:formatCode>
                <c:ptCount val="10"/>
                <c:pt idx="0">
                  <c:v>77.7</c:v>
                </c:pt>
                <c:pt idx="1">
                  <c:v>76.7</c:v>
                </c:pt>
                <c:pt idx="2">
                  <c:v>92.4</c:v>
                </c:pt>
                <c:pt idx="3">
                  <c:v>89</c:v>
                </c:pt>
                <c:pt idx="4">
                  <c:v>81.7</c:v>
                </c:pt>
                <c:pt idx="5">
                  <c:v>73.100000000000009</c:v>
                </c:pt>
                <c:pt idx="6">
                  <c:v>63.3</c:v>
                </c:pt>
                <c:pt idx="7">
                  <c:v>54.000000000000007</c:v>
                </c:pt>
                <c:pt idx="8">
                  <c:v>57.3</c:v>
                </c:pt>
                <c:pt idx="9">
                  <c:v>57.7</c:v>
                </c:pt>
              </c:numCache>
            </c:numRef>
          </c:val>
          <c:extLst>
            <c:ext xmlns:c16="http://schemas.microsoft.com/office/drawing/2014/chart" uri="{C3380CC4-5D6E-409C-BE32-E72D297353CC}">
              <c16:uniqueId val="{0000000D-9BAD-4AAC-9CEE-8BBAE53CD8A2}"/>
            </c:ext>
          </c:extLst>
        </c:ser>
        <c:dLbls>
          <c:showLegendKey val="0"/>
          <c:showVal val="0"/>
          <c:showCatName val="0"/>
          <c:showSerName val="0"/>
          <c:showPercent val="0"/>
          <c:showBubbleSize val="0"/>
        </c:dLbls>
        <c:gapWidth val="40"/>
        <c:overlap val="100"/>
        <c:axId val="192838592"/>
        <c:axId val="192844824"/>
      </c:barChart>
      <c:catAx>
        <c:axId val="192838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844824"/>
        <c:crosses val="autoZero"/>
        <c:auto val="1"/>
        <c:lblAlgn val="ctr"/>
        <c:lblOffset val="100"/>
        <c:noMultiLvlLbl val="0"/>
      </c:catAx>
      <c:valAx>
        <c:axId val="192844824"/>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83859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aseline="0"/>
              <a:t>'Opportunity Gap' - </a:t>
            </a:r>
            <a:r>
              <a:rPr lang="en-US" sz="1100"/>
              <a:t>Offers of Admission Made (rate %) by Student Subgroup</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All Students</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Sheet1!$B$2</c:f>
              <c:numCache>
                <c:formatCode>General</c:formatCode>
                <c:ptCount val="1"/>
                <c:pt idx="0">
                  <c:v>62.5</c:v>
                </c:pt>
              </c:numCache>
            </c:numRef>
          </c:val>
          <c:extLst>
            <c:ext xmlns:c16="http://schemas.microsoft.com/office/drawing/2014/chart" uri="{C3380CC4-5D6E-409C-BE32-E72D297353CC}">
              <c16:uniqueId val="{00000000-9DF9-439B-977F-920BCBCD6FAD}"/>
            </c:ext>
          </c:extLst>
        </c:ser>
        <c:ser>
          <c:idx val="1"/>
          <c:order val="1"/>
          <c:tx>
            <c:strRef>
              <c:f>Sheet1!$C$1</c:f>
              <c:strCache>
                <c:ptCount val="1"/>
                <c:pt idx="0">
                  <c:v>Stu. of Color</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Sheet1!$C$2</c:f>
              <c:numCache>
                <c:formatCode>General</c:formatCode>
                <c:ptCount val="1"/>
                <c:pt idx="0">
                  <c:v>60.4</c:v>
                </c:pt>
              </c:numCache>
            </c:numRef>
          </c:val>
          <c:extLst>
            <c:ext xmlns:c16="http://schemas.microsoft.com/office/drawing/2014/chart" uri="{C3380CC4-5D6E-409C-BE32-E72D297353CC}">
              <c16:uniqueId val="{00000001-9DF9-439B-977F-920BCBCD6FAD}"/>
            </c:ext>
          </c:extLst>
        </c:ser>
        <c:ser>
          <c:idx val="2"/>
          <c:order val="2"/>
          <c:tx>
            <c:strRef>
              <c:f>Sheet1!$D$1</c:f>
              <c:strCache>
                <c:ptCount val="1"/>
                <c:pt idx="0">
                  <c:v>White</c:v>
                </c:pt>
              </c:strCache>
            </c:strRef>
          </c:tx>
          <c:spPr>
            <a:solidFill>
              <a:srgbClr val="DAE3F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Sheet1!$D$2</c:f>
              <c:numCache>
                <c:formatCode>0.0</c:formatCode>
                <c:ptCount val="1"/>
                <c:pt idx="0">
                  <c:v>73.2</c:v>
                </c:pt>
              </c:numCache>
            </c:numRef>
          </c:val>
          <c:extLst>
            <c:ext xmlns:c16="http://schemas.microsoft.com/office/drawing/2014/chart" uri="{C3380CC4-5D6E-409C-BE32-E72D297353CC}">
              <c16:uniqueId val="{00000004-9DF9-439B-977F-920BCBCD6FAD}"/>
            </c:ext>
          </c:extLst>
        </c:ser>
        <c:ser>
          <c:idx val="3"/>
          <c:order val="3"/>
          <c:tx>
            <c:strRef>
              <c:f>Sheet1!$E$1</c:f>
              <c:strCache>
                <c:ptCount val="1"/>
                <c:pt idx="0">
                  <c:v>EcoDis</c:v>
                </c:pt>
              </c:strCache>
            </c:strRef>
          </c:tx>
          <c:spPr>
            <a:solidFill>
              <a:srgbClr val="4BA83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Sheet1!$E$2</c:f>
              <c:numCache>
                <c:formatCode>General</c:formatCode>
                <c:ptCount val="1"/>
                <c:pt idx="0">
                  <c:v>58.5</c:v>
                </c:pt>
              </c:numCache>
            </c:numRef>
          </c:val>
          <c:extLst>
            <c:ext xmlns:c16="http://schemas.microsoft.com/office/drawing/2014/chart" uri="{C3380CC4-5D6E-409C-BE32-E72D297353CC}">
              <c16:uniqueId val="{00000007-9DF9-439B-977F-920BCBCD6FAD}"/>
            </c:ext>
          </c:extLst>
        </c:ser>
        <c:ser>
          <c:idx val="4"/>
          <c:order val="4"/>
          <c:tx>
            <c:strRef>
              <c:f>Sheet1!$F$1</c:f>
              <c:strCache>
                <c:ptCount val="1"/>
                <c:pt idx="0">
                  <c:v>non EcoDis</c:v>
                </c:pt>
              </c:strCache>
            </c:strRef>
          </c:tx>
          <c:spPr>
            <a:solidFill>
              <a:srgbClr val="C8ECBE"/>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Sheet1!$F$2</c:f>
              <c:numCache>
                <c:formatCode>General</c:formatCode>
                <c:ptCount val="1"/>
                <c:pt idx="0">
                  <c:v>75.400000000000006</c:v>
                </c:pt>
              </c:numCache>
            </c:numRef>
          </c:val>
          <c:extLst>
            <c:ext xmlns:c16="http://schemas.microsoft.com/office/drawing/2014/chart" uri="{C3380CC4-5D6E-409C-BE32-E72D297353CC}">
              <c16:uniqueId val="{00000008-9DF9-439B-977F-920BCBCD6FAD}"/>
            </c:ext>
          </c:extLst>
        </c:ser>
        <c:ser>
          <c:idx val="5"/>
          <c:order val="5"/>
          <c:tx>
            <c:strRef>
              <c:f>Sheet1!$G$1</c:f>
              <c:strCache>
                <c:ptCount val="1"/>
                <c:pt idx="0">
                  <c:v>SWD</c:v>
                </c:pt>
              </c:strCache>
            </c:strRef>
          </c:tx>
          <c:spPr>
            <a:solidFill>
              <a:srgbClr val="BC202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Sheet1!$G$2</c:f>
              <c:numCache>
                <c:formatCode>General</c:formatCode>
                <c:ptCount val="1"/>
                <c:pt idx="0">
                  <c:v>58.2</c:v>
                </c:pt>
              </c:numCache>
            </c:numRef>
          </c:val>
          <c:extLst>
            <c:ext xmlns:c16="http://schemas.microsoft.com/office/drawing/2014/chart" uri="{C3380CC4-5D6E-409C-BE32-E72D297353CC}">
              <c16:uniqueId val="{00000009-9DF9-439B-977F-920BCBCD6FAD}"/>
            </c:ext>
          </c:extLst>
        </c:ser>
        <c:ser>
          <c:idx val="6"/>
          <c:order val="6"/>
          <c:tx>
            <c:strRef>
              <c:f>Sheet1!$H$1</c:f>
              <c:strCache>
                <c:ptCount val="1"/>
                <c:pt idx="0">
                  <c:v>non SWD</c:v>
                </c:pt>
              </c:strCache>
            </c:strRef>
          </c:tx>
          <c:spPr>
            <a:solidFill>
              <a:srgbClr val="F3B7BA"/>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Sheet1!$H$2</c:f>
              <c:numCache>
                <c:formatCode>General</c:formatCode>
                <c:ptCount val="1"/>
                <c:pt idx="0">
                  <c:v>71.099999999999994</c:v>
                </c:pt>
              </c:numCache>
            </c:numRef>
          </c:val>
          <c:extLst>
            <c:ext xmlns:c16="http://schemas.microsoft.com/office/drawing/2014/chart" uri="{C3380CC4-5D6E-409C-BE32-E72D297353CC}">
              <c16:uniqueId val="{0000000A-9DF9-439B-977F-920BCBCD6FAD}"/>
            </c:ext>
          </c:extLst>
        </c:ser>
        <c:ser>
          <c:idx val="7"/>
          <c:order val="7"/>
          <c:tx>
            <c:strRef>
              <c:f>Sheet1!$I$1</c:f>
              <c:strCache>
                <c:ptCount val="1"/>
                <c:pt idx="0">
                  <c:v>EL</c:v>
                </c:pt>
              </c:strCache>
            </c:strRef>
          </c:tx>
          <c:spPr>
            <a:solidFill>
              <a:srgbClr val="F1652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Sheet1!$I$2</c:f>
              <c:numCache>
                <c:formatCode>General</c:formatCode>
                <c:ptCount val="1"/>
                <c:pt idx="0">
                  <c:v>51.2</c:v>
                </c:pt>
              </c:numCache>
            </c:numRef>
          </c:val>
          <c:extLst>
            <c:ext xmlns:c16="http://schemas.microsoft.com/office/drawing/2014/chart" uri="{C3380CC4-5D6E-409C-BE32-E72D297353CC}">
              <c16:uniqueId val="{0000000B-9DF9-439B-977F-920BCBCD6FAD}"/>
            </c:ext>
          </c:extLst>
        </c:ser>
        <c:ser>
          <c:idx val="8"/>
          <c:order val="8"/>
          <c:tx>
            <c:strRef>
              <c:f>Sheet1!$J$1</c:f>
              <c:strCache>
                <c:ptCount val="1"/>
                <c:pt idx="0">
                  <c:v>non EL</c:v>
                </c:pt>
              </c:strCache>
            </c:strRef>
          </c:tx>
          <c:spPr>
            <a:solidFill>
              <a:srgbClr val="F9BEA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Sheet1!$J$2</c:f>
              <c:numCache>
                <c:formatCode>General</c:formatCode>
                <c:ptCount val="1"/>
                <c:pt idx="0">
                  <c:v>69.2</c:v>
                </c:pt>
              </c:numCache>
            </c:numRef>
          </c:val>
          <c:extLst>
            <c:ext xmlns:c16="http://schemas.microsoft.com/office/drawing/2014/chart" uri="{C3380CC4-5D6E-409C-BE32-E72D297353CC}">
              <c16:uniqueId val="{0000000C-9DF9-439B-977F-920BCBCD6FAD}"/>
            </c:ext>
          </c:extLst>
        </c:ser>
        <c:ser>
          <c:idx val="9"/>
          <c:order val="9"/>
          <c:tx>
            <c:strRef>
              <c:f>Sheet1!$K$1</c:f>
              <c:strCache>
                <c:ptCount val="1"/>
                <c:pt idx="0">
                  <c:v>FLNE</c:v>
                </c:pt>
              </c:strCache>
            </c:strRef>
          </c:tx>
          <c:spPr>
            <a:solidFill>
              <a:srgbClr val="D82C7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Sheet1!$K$2</c:f>
              <c:numCache>
                <c:formatCode>General</c:formatCode>
                <c:ptCount val="1"/>
                <c:pt idx="0">
                  <c:v>57.3</c:v>
                </c:pt>
              </c:numCache>
            </c:numRef>
          </c:val>
          <c:extLst>
            <c:ext xmlns:c16="http://schemas.microsoft.com/office/drawing/2014/chart" uri="{C3380CC4-5D6E-409C-BE32-E72D297353CC}">
              <c16:uniqueId val="{0000000D-9DF9-439B-977F-920BCBCD6FAD}"/>
            </c:ext>
          </c:extLst>
        </c:ser>
        <c:ser>
          <c:idx val="10"/>
          <c:order val="10"/>
          <c:tx>
            <c:strRef>
              <c:f>Sheet1!$L$1</c:f>
              <c:strCache>
                <c:ptCount val="1"/>
                <c:pt idx="0">
                  <c:v>non FLNE</c:v>
                </c:pt>
              </c:strCache>
            </c:strRef>
          </c:tx>
          <c:spPr>
            <a:solidFill>
              <a:srgbClr val="F3BFD7"/>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Sheet1!$L$2</c:f>
              <c:numCache>
                <c:formatCode>General</c:formatCode>
                <c:ptCount val="1"/>
                <c:pt idx="0">
                  <c:v>70.7</c:v>
                </c:pt>
              </c:numCache>
            </c:numRef>
          </c:val>
          <c:extLst>
            <c:ext xmlns:c16="http://schemas.microsoft.com/office/drawing/2014/chart" uri="{C3380CC4-5D6E-409C-BE32-E72D297353CC}">
              <c16:uniqueId val="{0000000E-9DF9-439B-977F-920BCBCD6FAD}"/>
            </c:ext>
          </c:extLst>
        </c:ser>
        <c:ser>
          <c:idx val="11"/>
          <c:order val="11"/>
          <c:tx>
            <c:strRef>
              <c:f>Sheet1!$M$1</c:f>
              <c:strCache>
                <c:ptCount val="1"/>
                <c:pt idx="0">
                  <c:v>unknown</c:v>
                </c:pt>
              </c:strCache>
            </c:strRef>
          </c:tx>
          <c:spPr>
            <a:solidFill>
              <a:srgbClr val="BFBFB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Offer of admission (rate %)</c:v>
                </c:pt>
              </c:strCache>
            </c:strRef>
          </c:cat>
          <c:val>
            <c:numRef>
              <c:f>Sheet1!$M$2</c:f>
              <c:numCache>
                <c:formatCode>General</c:formatCode>
                <c:ptCount val="1"/>
                <c:pt idx="0">
                  <c:v>48.6</c:v>
                </c:pt>
              </c:numCache>
            </c:numRef>
          </c:val>
          <c:extLst>
            <c:ext xmlns:c16="http://schemas.microsoft.com/office/drawing/2014/chart" uri="{C3380CC4-5D6E-409C-BE32-E72D297353CC}">
              <c16:uniqueId val="{00000002-EED9-4B42-B79D-2141924EF323}"/>
            </c:ext>
          </c:extLst>
        </c:ser>
        <c:dLbls>
          <c:showLegendKey val="0"/>
          <c:showVal val="0"/>
          <c:showCatName val="0"/>
          <c:showSerName val="0"/>
          <c:showPercent val="0"/>
          <c:showBubbleSize val="0"/>
        </c:dLbls>
        <c:gapWidth val="219"/>
        <c:overlap val="-27"/>
        <c:axId val="563676232"/>
        <c:axId val="563674264"/>
      </c:barChart>
      <c:catAx>
        <c:axId val="563676232"/>
        <c:scaling>
          <c:orientation val="minMax"/>
        </c:scaling>
        <c:delete val="1"/>
        <c:axPos val="b"/>
        <c:numFmt formatCode="General" sourceLinked="1"/>
        <c:majorTickMark val="none"/>
        <c:minorTickMark val="none"/>
        <c:tickLblPos val="nextTo"/>
        <c:crossAx val="563674264"/>
        <c:crosses val="autoZero"/>
        <c:auto val="1"/>
        <c:lblAlgn val="ctr"/>
        <c:lblOffset val="100"/>
        <c:noMultiLvlLbl val="0"/>
      </c:catAx>
      <c:valAx>
        <c:axId val="5636742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367623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t>Student Accepts School's Offer of Admission (yield</a:t>
            </a:r>
            <a:r>
              <a:rPr lang="en-US" sz="1100" baseline="0"/>
              <a:t> </a:t>
            </a:r>
            <a:r>
              <a:rPr lang="en-US" sz="1100"/>
              <a:t>rate %) by Student Subgroup</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All Students</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Sheet1!$B$2</c:f>
              <c:numCache>
                <c:formatCode>General</c:formatCode>
                <c:ptCount val="1"/>
                <c:pt idx="0">
                  <c:v>83.6</c:v>
                </c:pt>
              </c:numCache>
            </c:numRef>
          </c:val>
          <c:extLst>
            <c:ext xmlns:c16="http://schemas.microsoft.com/office/drawing/2014/chart" uri="{C3380CC4-5D6E-409C-BE32-E72D297353CC}">
              <c16:uniqueId val="{00000000-1464-440F-A398-32EC70E9CC86}"/>
            </c:ext>
          </c:extLst>
        </c:ser>
        <c:ser>
          <c:idx val="1"/>
          <c:order val="1"/>
          <c:tx>
            <c:strRef>
              <c:f>Sheet1!$C$1</c:f>
              <c:strCache>
                <c:ptCount val="1"/>
                <c:pt idx="0">
                  <c:v>Stu. of Color</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Sheet1!$C$2</c:f>
              <c:numCache>
                <c:formatCode>General</c:formatCode>
                <c:ptCount val="1"/>
                <c:pt idx="0">
                  <c:v>87.6</c:v>
                </c:pt>
              </c:numCache>
            </c:numRef>
          </c:val>
          <c:extLst>
            <c:ext xmlns:c16="http://schemas.microsoft.com/office/drawing/2014/chart" uri="{C3380CC4-5D6E-409C-BE32-E72D297353CC}">
              <c16:uniqueId val="{00000001-1464-440F-A398-32EC70E9CC86}"/>
            </c:ext>
          </c:extLst>
        </c:ser>
        <c:ser>
          <c:idx val="2"/>
          <c:order val="2"/>
          <c:tx>
            <c:strRef>
              <c:f>Sheet1!$D$1</c:f>
              <c:strCache>
                <c:ptCount val="1"/>
                <c:pt idx="0">
                  <c:v>White</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Sheet1!$D$2</c:f>
              <c:numCache>
                <c:formatCode>0.0</c:formatCode>
                <c:ptCount val="1"/>
                <c:pt idx="0">
                  <c:v>85.6</c:v>
                </c:pt>
              </c:numCache>
            </c:numRef>
          </c:val>
          <c:extLst>
            <c:ext xmlns:c16="http://schemas.microsoft.com/office/drawing/2014/chart" uri="{C3380CC4-5D6E-409C-BE32-E72D297353CC}">
              <c16:uniqueId val="{00000002-1464-440F-A398-32EC70E9CC86}"/>
            </c:ext>
          </c:extLst>
        </c:ser>
        <c:ser>
          <c:idx val="3"/>
          <c:order val="3"/>
          <c:tx>
            <c:strRef>
              <c:f>Sheet1!$E$1</c:f>
              <c:strCache>
                <c:ptCount val="1"/>
                <c:pt idx="0">
                  <c:v>EcoDis</c:v>
                </c:pt>
              </c:strCache>
            </c:strRef>
          </c:tx>
          <c:spPr>
            <a:solidFill>
              <a:srgbClr val="4BA83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Sheet1!$E$2</c:f>
              <c:numCache>
                <c:formatCode>General</c:formatCode>
                <c:ptCount val="1"/>
                <c:pt idx="0">
                  <c:v>88.5</c:v>
                </c:pt>
              </c:numCache>
            </c:numRef>
          </c:val>
          <c:extLst>
            <c:ext xmlns:c16="http://schemas.microsoft.com/office/drawing/2014/chart" uri="{C3380CC4-5D6E-409C-BE32-E72D297353CC}">
              <c16:uniqueId val="{00000003-1464-440F-A398-32EC70E9CC86}"/>
            </c:ext>
          </c:extLst>
        </c:ser>
        <c:ser>
          <c:idx val="4"/>
          <c:order val="4"/>
          <c:tx>
            <c:strRef>
              <c:f>Sheet1!$F$1</c:f>
              <c:strCache>
                <c:ptCount val="1"/>
                <c:pt idx="0">
                  <c:v>non EcoDis</c:v>
                </c:pt>
              </c:strCache>
            </c:strRef>
          </c:tx>
          <c:spPr>
            <a:solidFill>
              <a:srgbClr val="C8ECBE"/>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Sheet1!$F$2</c:f>
              <c:numCache>
                <c:formatCode>0.0</c:formatCode>
                <c:ptCount val="1"/>
                <c:pt idx="0">
                  <c:v>85</c:v>
                </c:pt>
              </c:numCache>
            </c:numRef>
          </c:val>
          <c:extLst>
            <c:ext xmlns:c16="http://schemas.microsoft.com/office/drawing/2014/chart" uri="{C3380CC4-5D6E-409C-BE32-E72D297353CC}">
              <c16:uniqueId val="{00000004-1464-440F-A398-32EC70E9CC86}"/>
            </c:ext>
          </c:extLst>
        </c:ser>
        <c:ser>
          <c:idx val="5"/>
          <c:order val="5"/>
          <c:tx>
            <c:strRef>
              <c:f>Sheet1!$G$1</c:f>
              <c:strCache>
                <c:ptCount val="1"/>
                <c:pt idx="0">
                  <c:v>SWD</c:v>
                </c:pt>
              </c:strCache>
            </c:strRef>
          </c:tx>
          <c:spPr>
            <a:solidFill>
              <a:srgbClr val="BC202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Sheet1!$G$2</c:f>
              <c:numCache>
                <c:formatCode>General</c:formatCode>
                <c:ptCount val="1"/>
                <c:pt idx="0">
                  <c:v>88.9</c:v>
                </c:pt>
              </c:numCache>
            </c:numRef>
          </c:val>
          <c:extLst>
            <c:ext xmlns:c16="http://schemas.microsoft.com/office/drawing/2014/chart" uri="{C3380CC4-5D6E-409C-BE32-E72D297353CC}">
              <c16:uniqueId val="{00000005-1464-440F-A398-32EC70E9CC86}"/>
            </c:ext>
          </c:extLst>
        </c:ser>
        <c:ser>
          <c:idx val="6"/>
          <c:order val="6"/>
          <c:tx>
            <c:strRef>
              <c:f>Sheet1!$H$1</c:f>
              <c:strCache>
                <c:ptCount val="1"/>
                <c:pt idx="0">
                  <c:v>non SWD</c:v>
                </c:pt>
              </c:strCache>
            </c:strRef>
          </c:tx>
          <c:spPr>
            <a:solidFill>
              <a:srgbClr val="F3B7BA"/>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Sheet1!$H$2</c:f>
              <c:numCache>
                <c:formatCode>General</c:formatCode>
                <c:ptCount val="1"/>
                <c:pt idx="0">
                  <c:v>85.6</c:v>
                </c:pt>
              </c:numCache>
            </c:numRef>
          </c:val>
          <c:extLst>
            <c:ext xmlns:c16="http://schemas.microsoft.com/office/drawing/2014/chart" uri="{C3380CC4-5D6E-409C-BE32-E72D297353CC}">
              <c16:uniqueId val="{00000006-1464-440F-A398-32EC70E9CC86}"/>
            </c:ext>
          </c:extLst>
        </c:ser>
        <c:ser>
          <c:idx val="7"/>
          <c:order val="7"/>
          <c:tx>
            <c:strRef>
              <c:f>Sheet1!$I$1</c:f>
              <c:strCache>
                <c:ptCount val="1"/>
                <c:pt idx="0">
                  <c:v>EL</c:v>
                </c:pt>
              </c:strCache>
            </c:strRef>
          </c:tx>
          <c:spPr>
            <a:solidFill>
              <a:srgbClr val="F1652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Sheet1!$I$2</c:f>
              <c:numCache>
                <c:formatCode>General</c:formatCode>
                <c:ptCount val="1"/>
                <c:pt idx="0">
                  <c:v>91.5</c:v>
                </c:pt>
              </c:numCache>
            </c:numRef>
          </c:val>
          <c:extLst>
            <c:ext xmlns:c16="http://schemas.microsoft.com/office/drawing/2014/chart" uri="{C3380CC4-5D6E-409C-BE32-E72D297353CC}">
              <c16:uniqueId val="{00000007-1464-440F-A398-32EC70E9CC86}"/>
            </c:ext>
          </c:extLst>
        </c:ser>
        <c:ser>
          <c:idx val="8"/>
          <c:order val="8"/>
          <c:tx>
            <c:strRef>
              <c:f>Sheet1!$J$1</c:f>
              <c:strCache>
                <c:ptCount val="1"/>
                <c:pt idx="0">
                  <c:v>non EL</c:v>
                </c:pt>
              </c:strCache>
            </c:strRef>
          </c:tx>
          <c:spPr>
            <a:solidFill>
              <a:srgbClr val="F9BEA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Sheet1!$J$2</c:f>
              <c:numCache>
                <c:formatCode>0.0</c:formatCode>
                <c:ptCount val="1"/>
                <c:pt idx="0">
                  <c:v>86</c:v>
                </c:pt>
              </c:numCache>
            </c:numRef>
          </c:val>
          <c:extLst>
            <c:ext xmlns:c16="http://schemas.microsoft.com/office/drawing/2014/chart" uri="{C3380CC4-5D6E-409C-BE32-E72D297353CC}">
              <c16:uniqueId val="{00000008-1464-440F-A398-32EC70E9CC86}"/>
            </c:ext>
          </c:extLst>
        </c:ser>
        <c:ser>
          <c:idx val="9"/>
          <c:order val="9"/>
          <c:tx>
            <c:strRef>
              <c:f>Sheet1!$K$1</c:f>
              <c:strCache>
                <c:ptCount val="1"/>
                <c:pt idx="0">
                  <c:v>FLNE</c:v>
                </c:pt>
              </c:strCache>
            </c:strRef>
          </c:tx>
          <c:spPr>
            <a:solidFill>
              <a:srgbClr val="D82C7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Sheet1!$K$2</c:f>
              <c:numCache>
                <c:formatCode>General</c:formatCode>
                <c:ptCount val="1"/>
                <c:pt idx="0">
                  <c:v>86.6</c:v>
                </c:pt>
              </c:numCache>
            </c:numRef>
          </c:val>
          <c:extLst>
            <c:ext xmlns:c16="http://schemas.microsoft.com/office/drawing/2014/chart" uri="{C3380CC4-5D6E-409C-BE32-E72D297353CC}">
              <c16:uniqueId val="{00000009-1464-440F-A398-32EC70E9CC86}"/>
            </c:ext>
          </c:extLst>
        </c:ser>
        <c:ser>
          <c:idx val="10"/>
          <c:order val="10"/>
          <c:tx>
            <c:strRef>
              <c:f>Sheet1!$L$1</c:f>
              <c:strCache>
                <c:ptCount val="1"/>
                <c:pt idx="0">
                  <c:v>non FLNE</c:v>
                </c:pt>
              </c:strCache>
            </c:strRef>
          </c:tx>
          <c:spPr>
            <a:solidFill>
              <a:srgbClr val="F3BFD7"/>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Sheet1!$L$2</c:f>
              <c:numCache>
                <c:formatCode>General</c:formatCode>
                <c:ptCount val="1"/>
                <c:pt idx="0">
                  <c:v>86.2</c:v>
                </c:pt>
              </c:numCache>
            </c:numRef>
          </c:val>
          <c:extLst>
            <c:ext xmlns:c16="http://schemas.microsoft.com/office/drawing/2014/chart" uri="{C3380CC4-5D6E-409C-BE32-E72D297353CC}">
              <c16:uniqueId val="{0000000B-1464-440F-A398-32EC70E9CC86}"/>
            </c:ext>
          </c:extLst>
        </c:ser>
        <c:ser>
          <c:idx val="11"/>
          <c:order val="11"/>
          <c:tx>
            <c:strRef>
              <c:f>Sheet1!$M$1</c:f>
              <c:strCache>
                <c:ptCount val="1"/>
                <c:pt idx="0">
                  <c:v>unknown</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Student Accepts School's Offer of Admission (rate %)</c:v>
                </c:pt>
              </c:strCache>
            </c:strRef>
          </c:cat>
          <c:val>
            <c:numRef>
              <c:f>Sheet1!$M$2</c:f>
              <c:numCache>
                <c:formatCode>General</c:formatCode>
                <c:ptCount val="1"/>
                <c:pt idx="0">
                  <c:v>20.8</c:v>
                </c:pt>
              </c:numCache>
            </c:numRef>
          </c:val>
          <c:extLst>
            <c:ext xmlns:c16="http://schemas.microsoft.com/office/drawing/2014/chart" uri="{C3380CC4-5D6E-409C-BE32-E72D297353CC}">
              <c16:uniqueId val="{00000001-3701-48F3-85C9-8FCCB347CF57}"/>
            </c:ext>
          </c:extLst>
        </c:ser>
        <c:dLbls>
          <c:showLegendKey val="0"/>
          <c:showVal val="0"/>
          <c:showCatName val="0"/>
          <c:showSerName val="0"/>
          <c:showPercent val="0"/>
          <c:showBubbleSize val="0"/>
        </c:dLbls>
        <c:gapWidth val="219"/>
        <c:overlap val="-27"/>
        <c:axId val="563676232"/>
        <c:axId val="563674264"/>
      </c:barChart>
      <c:catAx>
        <c:axId val="563676232"/>
        <c:scaling>
          <c:orientation val="minMax"/>
        </c:scaling>
        <c:delete val="1"/>
        <c:axPos val="b"/>
        <c:numFmt formatCode="General" sourceLinked="1"/>
        <c:majorTickMark val="none"/>
        <c:minorTickMark val="none"/>
        <c:tickLblPos val="nextTo"/>
        <c:crossAx val="563674264"/>
        <c:crosses val="autoZero"/>
        <c:auto val="1"/>
        <c:lblAlgn val="ctr"/>
        <c:lblOffset val="100"/>
        <c:noMultiLvlLbl val="0"/>
      </c:catAx>
      <c:valAx>
        <c:axId val="563674264"/>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6367623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0" i="0" baseline="0">
                <a:effectLst/>
              </a:rPr>
              <a:t>CVTE Grade 9 Enrollment (%) compared to Statewide Grade 9 Student Group Enrollment (%)</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percentStacked"/>
        <c:varyColors val="0"/>
        <c:ser>
          <c:idx val="0"/>
          <c:order val="0"/>
          <c:tx>
            <c:strRef>
              <c:f>Sheet1!$B$1</c:f>
              <c:strCache>
                <c:ptCount val="1"/>
                <c:pt idx="0">
                  <c:v>Group</c:v>
                </c:pt>
              </c:strCache>
            </c:strRef>
          </c:tx>
          <c:spPr>
            <a:solidFill>
              <a:schemeClr val="accent1"/>
            </a:solidFill>
            <a:ln>
              <a:noFill/>
            </a:ln>
            <a:effectLst/>
          </c:spPr>
          <c:invertIfNegative val="0"/>
          <c:dPt>
            <c:idx val="0"/>
            <c:invertIfNegative val="0"/>
            <c:bubble3D val="0"/>
            <c:spPr>
              <a:solidFill>
                <a:srgbClr val="D82C79"/>
              </a:solidFill>
              <a:ln>
                <a:noFill/>
              </a:ln>
              <a:effectLst/>
            </c:spPr>
            <c:extLst>
              <c:ext xmlns:c16="http://schemas.microsoft.com/office/drawing/2014/chart" uri="{C3380CC4-5D6E-409C-BE32-E72D297353CC}">
                <c16:uniqueId val="{00000001-10DF-4CE0-8017-4CDF4B996EA4}"/>
              </c:ext>
            </c:extLst>
          </c:dPt>
          <c:dPt>
            <c:idx val="1"/>
            <c:invertIfNegative val="0"/>
            <c:bubble3D val="0"/>
            <c:spPr>
              <a:solidFill>
                <a:srgbClr val="D82C79"/>
              </a:solidFill>
              <a:ln>
                <a:noFill/>
              </a:ln>
              <a:effectLst/>
            </c:spPr>
            <c:extLst>
              <c:ext xmlns:c16="http://schemas.microsoft.com/office/drawing/2014/chart" uri="{C3380CC4-5D6E-409C-BE32-E72D297353CC}">
                <c16:uniqueId val="{00000003-10DF-4CE0-8017-4CDF4B996EA4}"/>
              </c:ext>
            </c:extLst>
          </c:dPt>
          <c:dPt>
            <c:idx val="2"/>
            <c:invertIfNegative val="0"/>
            <c:bubble3D val="0"/>
            <c:spPr>
              <a:solidFill>
                <a:srgbClr val="F16522"/>
              </a:solidFill>
              <a:ln>
                <a:noFill/>
              </a:ln>
              <a:effectLst/>
            </c:spPr>
            <c:extLst>
              <c:ext xmlns:c16="http://schemas.microsoft.com/office/drawing/2014/chart" uri="{C3380CC4-5D6E-409C-BE32-E72D297353CC}">
                <c16:uniqueId val="{00000005-10DF-4CE0-8017-4CDF4B996EA4}"/>
              </c:ext>
            </c:extLst>
          </c:dPt>
          <c:dPt>
            <c:idx val="3"/>
            <c:invertIfNegative val="0"/>
            <c:bubble3D val="0"/>
            <c:spPr>
              <a:solidFill>
                <a:srgbClr val="F16522"/>
              </a:solidFill>
              <a:ln>
                <a:noFill/>
              </a:ln>
              <a:effectLst/>
            </c:spPr>
            <c:extLst>
              <c:ext xmlns:c16="http://schemas.microsoft.com/office/drawing/2014/chart" uri="{C3380CC4-5D6E-409C-BE32-E72D297353CC}">
                <c16:uniqueId val="{00000007-10DF-4CE0-8017-4CDF4B996EA4}"/>
              </c:ext>
            </c:extLst>
          </c:dPt>
          <c:dPt>
            <c:idx val="4"/>
            <c:invertIfNegative val="0"/>
            <c:bubble3D val="0"/>
            <c:spPr>
              <a:solidFill>
                <a:srgbClr val="BC2026"/>
              </a:solidFill>
              <a:ln>
                <a:noFill/>
              </a:ln>
              <a:effectLst/>
            </c:spPr>
            <c:extLst>
              <c:ext xmlns:c16="http://schemas.microsoft.com/office/drawing/2014/chart" uri="{C3380CC4-5D6E-409C-BE32-E72D297353CC}">
                <c16:uniqueId val="{00000009-10DF-4CE0-8017-4CDF4B996EA4}"/>
              </c:ext>
            </c:extLst>
          </c:dPt>
          <c:dPt>
            <c:idx val="5"/>
            <c:invertIfNegative val="0"/>
            <c:bubble3D val="0"/>
            <c:spPr>
              <a:solidFill>
                <a:srgbClr val="BC2026"/>
              </a:solidFill>
              <a:ln>
                <a:noFill/>
              </a:ln>
              <a:effectLst/>
            </c:spPr>
            <c:extLst>
              <c:ext xmlns:c16="http://schemas.microsoft.com/office/drawing/2014/chart" uri="{C3380CC4-5D6E-409C-BE32-E72D297353CC}">
                <c16:uniqueId val="{0000000B-10DF-4CE0-8017-4CDF4B996EA4}"/>
              </c:ext>
            </c:extLst>
          </c:dPt>
          <c:dPt>
            <c:idx val="6"/>
            <c:invertIfNegative val="0"/>
            <c:bubble3D val="0"/>
            <c:spPr>
              <a:solidFill>
                <a:srgbClr val="4BA832"/>
              </a:solidFill>
              <a:ln>
                <a:noFill/>
              </a:ln>
              <a:effectLst/>
            </c:spPr>
            <c:extLst>
              <c:ext xmlns:c16="http://schemas.microsoft.com/office/drawing/2014/chart" uri="{C3380CC4-5D6E-409C-BE32-E72D297353CC}">
                <c16:uniqueId val="{0000000D-10DF-4CE0-8017-4CDF4B996EA4}"/>
              </c:ext>
            </c:extLst>
          </c:dPt>
          <c:dPt>
            <c:idx val="7"/>
            <c:invertIfNegative val="0"/>
            <c:bubble3D val="0"/>
            <c:spPr>
              <a:solidFill>
                <a:srgbClr val="4BA832"/>
              </a:solidFill>
              <a:ln>
                <a:noFill/>
              </a:ln>
              <a:effectLst/>
            </c:spPr>
            <c:extLst>
              <c:ext xmlns:c16="http://schemas.microsoft.com/office/drawing/2014/chart" uri="{C3380CC4-5D6E-409C-BE32-E72D297353CC}">
                <c16:uniqueId val="{0000000F-10DF-4CE0-8017-4CDF4B996EA4}"/>
              </c:ext>
            </c:extLst>
          </c:dPt>
          <c:dPt>
            <c:idx val="9"/>
            <c:invertIfNegative val="0"/>
            <c:bubble3D val="0"/>
            <c:spPr>
              <a:solidFill>
                <a:schemeClr val="accent1"/>
              </a:solidFill>
              <a:ln>
                <a:noFill/>
              </a:ln>
              <a:effectLst/>
            </c:spPr>
            <c:extLst>
              <c:ext xmlns:c16="http://schemas.microsoft.com/office/drawing/2014/chart" uri="{C3380CC4-5D6E-409C-BE32-E72D297353CC}">
                <c16:uniqueId val="{00000011-10DF-4CE0-8017-4CDF4B996E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State - FLNE</c:v>
                </c:pt>
                <c:pt idx="1">
                  <c:v>CVTE - FLNE</c:v>
                </c:pt>
                <c:pt idx="2">
                  <c:v>State - EL</c:v>
                </c:pt>
                <c:pt idx="3">
                  <c:v>CVTE - EL</c:v>
                </c:pt>
                <c:pt idx="4">
                  <c:v>State - SWD</c:v>
                </c:pt>
                <c:pt idx="5">
                  <c:v>CVTE - SWD</c:v>
                </c:pt>
                <c:pt idx="6">
                  <c:v>State - EcoDis</c:v>
                </c:pt>
                <c:pt idx="7">
                  <c:v>CVTE - EcoDis</c:v>
                </c:pt>
                <c:pt idx="8">
                  <c:v>State - SOC/WH</c:v>
                </c:pt>
                <c:pt idx="9">
                  <c:v>CVTE - SOC/WH</c:v>
                </c:pt>
              </c:strCache>
            </c:strRef>
          </c:cat>
          <c:val>
            <c:numRef>
              <c:f>Sheet1!$B$2:$B$11</c:f>
              <c:numCache>
                <c:formatCode>General</c:formatCode>
                <c:ptCount val="10"/>
                <c:pt idx="0">
                  <c:v>22.3</c:v>
                </c:pt>
                <c:pt idx="1">
                  <c:v>16.3</c:v>
                </c:pt>
                <c:pt idx="2">
                  <c:v>7.6</c:v>
                </c:pt>
                <c:pt idx="3">
                  <c:v>4.7</c:v>
                </c:pt>
                <c:pt idx="4">
                  <c:v>18.3</c:v>
                </c:pt>
                <c:pt idx="5">
                  <c:v>19.899999999999999</c:v>
                </c:pt>
                <c:pt idx="6">
                  <c:v>36.700000000000003</c:v>
                </c:pt>
                <c:pt idx="7">
                  <c:v>38.200000000000003</c:v>
                </c:pt>
                <c:pt idx="8">
                  <c:v>42.7</c:v>
                </c:pt>
                <c:pt idx="9">
                  <c:v>35.799999999999997</c:v>
                </c:pt>
              </c:numCache>
            </c:numRef>
          </c:val>
          <c:extLst>
            <c:ext xmlns:c16="http://schemas.microsoft.com/office/drawing/2014/chart" uri="{C3380CC4-5D6E-409C-BE32-E72D297353CC}">
              <c16:uniqueId val="{00000012-10DF-4CE0-8017-4CDF4B996EA4}"/>
            </c:ext>
          </c:extLst>
        </c:ser>
        <c:ser>
          <c:idx val="1"/>
          <c:order val="1"/>
          <c:tx>
            <c:strRef>
              <c:f>Sheet1!$C$1</c:f>
              <c:strCache>
                <c:ptCount val="1"/>
                <c:pt idx="0">
                  <c:v>non Group</c:v>
                </c:pt>
              </c:strCache>
            </c:strRef>
          </c:tx>
          <c:spPr>
            <a:solidFill>
              <a:schemeClr val="bg1">
                <a:lumMod val="85000"/>
              </a:schemeClr>
            </a:solidFill>
            <a:ln>
              <a:noFill/>
            </a:ln>
            <a:effectLst/>
          </c:spPr>
          <c:invertIfNegative val="0"/>
          <c:dPt>
            <c:idx val="0"/>
            <c:invertIfNegative val="0"/>
            <c:bubble3D val="0"/>
            <c:spPr>
              <a:solidFill>
                <a:srgbClr val="F3BFD7"/>
              </a:solidFill>
              <a:ln>
                <a:noFill/>
              </a:ln>
              <a:effectLst/>
            </c:spPr>
            <c:extLst>
              <c:ext xmlns:c16="http://schemas.microsoft.com/office/drawing/2014/chart" uri="{C3380CC4-5D6E-409C-BE32-E72D297353CC}">
                <c16:uniqueId val="{00000013-B905-4AD8-9BDC-34BF4BB2EA21}"/>
              </c:ext>
            </c:extLst>
          </c:dPt>
          <c:dPt>
            <c:idx val="1"/>
            <c:invertIfNegative val="0"/>
            <c:bubble3D val="0"/>
            <c:spPr>
              <a:solidFill>
                <a:srgbClr val="F3BFD7"/>
              </a:solidFill>
              <a:ln>
                <a:noFill/>
              </a:ln>
              <a:effectLst/>
            </c:spPr>
            <c:extLst>
              <c:ext xmlns:c16="http://schemas.microsoft.com/office/drawing/2014/chart" uri="{C3380CC4-5D6E-409C-BE32-E72D297353CC}">
                <c16:uniqueId val="{00000015-B905-4AD8-9BDC-34BF4BB2EA21}"/>
              </c:ext>
            </c:extLst>
          </c:dPt>
          <c:dPt>
            <c:idx val="2"/>
            <c:invertIfNegative val="0"/>
            <c:bubble3D val="0"/>
            <c:spPr>
              <a:solidFill>
                <a:srgbClr val="F9BEA1"/>
              </a:solidFill>
              <a:ln>
                <a:noFill/>
              </a:ln>
              <a:effectLst/>
            </c:spPr>
            <c:extLst>
              <c:ext xmlns:c16="http://schemas.microsoft.com/office/drawing/2014/chart" uri="{C3380CC4-5D6E-409C-BE32-E72D297353CC}">
                <c16:uniqueId val="{00000017-B905-4AD8-9BDC-34BF4BB2EA21}"/>
              </c:ext>
            </c:extLst>
          </c:dPt>
          <c:dPt>
            <c:idx val="3"/>
            <c:invertIfNegative val="0"/>
            <c:bubble3D val="0"/>
            <c:spPr>
              <a:solidFill>
                <a:srgbClr val="F9BEA1"/>
              </a:solidFill>
              <a:ln>
                <a:noFill/>
              </a:ln>
              <a:effectLst/>
            </c:spPr>
            <c:extLst>
              <c:ext xmlns:c16="http://schemas.microsoft.com/office/drawing/2014/chart" uri="{C3380CC4-5D6E-409C-BE32-E72D297353CC}">
                <c16:uniqueId val="{00000019-B905-4AD8-9BDC-34BF4BB2EA21}"/>
              </c:ext>
            </c:extLst>
          </c:dPt>
          <c:dPt>
            <c:idx val="4"/>
            <c:invertIfNegative val="0"/>
            <c:bubble3D val="0"/>
            <c:spPr>
              <a:solidFill>
                <a:srgbClr val="F3B7BA"/>
              </a:solidFill>
              <a:ln>
                <a:noFill/>
              </a:ln>
              <a:effectLst/>
            </c:spPr>
            <c:extLst>
              <c:ext xmlns:c16="http://schemas.microsoft.com/office/drawing/2014/chart" uri="{C3380CC4-5D6E-409C-BE32-E72D297353CC}">
                <c16:uniqueId val="{0000001B-B905-4AD8-9BDC-34BF4BB2EA21}"/>
              </c:ext>
            </c:extLst>
          </c:dPt>
          <c:dPt>
            <c:idx val="5"/>
            <c:invertIfNegative val="0"/>
            <c:bubble3D val="0"/>
            <c:spPr>
              <a:solidFill>
                <a:srgbClr val="F3B7BA"/>
              </a:solidFill>
              <a:ln>
                <a:noFill/>
              </a:ln>
              <a:effectLst/>
            </c:spPr>
            <c:extLst>
              <c:ext xmlns:c16="http://schemas.microsoft.com/office/drawing/2014/chart" uri="{C3380CC4-5D6E-409C-BE32-E72D297353CC}">
                <c16:uniqueId val="{0000001D-B905-4AD8-9BDC-34BF4BB2EA21}"/>
              </c:ext>
            </c:extLst>
          </c:dPt>
          <c:dPt>
            <c:idx val="6"/>
            <c:invertIfNegative val="0"/>
            <c:bubble3D val="0"/>
            <c:spPr>
              <a:solidFill>
                <a:srgbClr val="C8ECBE"/>
              </a:solidFill>
              <a:ln>
                <a:noFill/>
              </a:ln>
              <a:effectLst/>
            </c:spPr>
            <c:extLst>
              <c:ext xmlns:c16="http://schemas.microsoft.com/office/drawing/2014/chart" uri="{C3380CC4-5D6E-409C-BE32-E72D297353CC}">
                <c16:uniqueId val="{0000001F-B905-4AD8-9BDC-34BF4BB2EA21}"/>
              </c:ext>
            </c:extLst>
          </c:dPt>
          <c:dPt>
            <c:idx val="7"/>
            <c:invertIfNegative val="0"/>
            <c:bubble3D val="0"/>
            <c:spPr>
              <a:solidFill>
                <a:srgbClr val="C8ECBE"/>
              </a:solidFill>
              <a:ln>
                <a:noFill/>
              </a:ln>
              <a:effectLst/>
            </c:spPr>
            <c:extLst>
              <c:ext xmlns:c16="http://schemas.microsoft.com/office/drawing/2014/chart" uri="{C3380CC4-5D6E-409C-BE32-E72D297353CC}">
                <c16:uniqueId val="{00000021-B905-4AD8-9BDC-34BF4BB2EA21}"/>
              </c:ext>
            </c:extLst>
          </c:dPt>
          <c:dPt>
            <c:idx val="8"/>
            <c:invertIfNegative val="0"/>
            <c:bubble3D val="0"/>
            <c:spPr>
              <a:solidFill>
                <a:srgbClr val="DAE3F3"/>
              </a:solidFill>
              <a:ln>
                <a:noFill/>
              </a:ln>
              <a:effectLst/>
            </c:spPr>
            <c:extLst>
              <c:ext xmlns:c16="http://schemas.microsoft.com/office/drawing/2014/chart" uri="{C3380CC4-5D6E-409C-BE32-E72D297353CC}">
                <c16:uniqueId val="{00000023-B905-4AD8-9BDC-34BF4BB2EA21}"/>
              </c:ext>
            </c:extLst>
          </c:dPt>
          <c:dPt>
            <c:idx val="9"/>
            <c:invertIfNegative val="0"/>
            <c:bubble3D val="0"/>
            <c:spPr>
              <a:solidFill>
                <a:srgbClr val="DAE3F3"/>
              </a:solidFill>
              <a:ln>
                <a:noFill/>
              </a:ln>
              <a:effectLst/>
            </c:spPr>
            <c:extLst>
              <c:ext xmlns:c16="http://schemas.microsoft.com/office/drawing/2014/chart" uri="{C3380CC4-5D6E-409C-BE32-E72D297353CC}">
                <c16:uniqueId val="{00000025-B905-4AD8-9BDC-34BF4BB2EA21}"/>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State - FLNE</c:v>
                </c:pt>
                <c:pt idx="1">
                  <c:v>CVTE - FLNE</c:v>
                </c:pt>
                <c:pt idx="2">
                  <c:v>State - EL</c:v>
                </c:pt>
                <c:pt idx="3">
                  <c:v>CVTE - EL</c:v>
                </c:pt>
                <c:pt idx="4">
                  <c:v>State - SWD</c:v>
                </c:pt>
                <c:pt idx="5">
                  <c:v>CVTE - SWD</c:v>
                </c:pt>
                <c:pt idx="6">
                  <c:v>State - EcoDis</c:v>
                </c:pt>
                <c:pt idx="7">
                  <c:v>CVTE - EcoDis</c:v>
                </c:pt>
                <c:pt idx="8">
                  <c:v>State - SOC/WH</c:v>
                </c:pt>
                <c:pt idx="9">
                  <c:v>CVTE - SOC/WH</c:v>
                </c:pt>
              </c:strCache>
            </c:strRef>
          </c:cat>
          <c:val>
            <c:numRef>
              <c:f>Sheet1!$C$2:$C$11</c:f>
              <c:numCache>
                <c:formatCode>General</c:formatCode>
                <c:ptCount val="10"/>
                <c:pt idx="0">
                  <c:v>77.7</c:v>
                </c:pt>
                <c:pt idx="1">
                  <c:v>83.7</c:v>
                </c:pt>
                <c:pt idx="2">
                  <c:v>92.4</c:v>
                </c:pt>
                <c:pt idx="3">
                  <c:v>95.3</c:v>
                </c:pt>
                <c:pt idx="4">
                  <c:v>81.7</c:v>
                </c:pt>
                <c:pt idx="5">
                  <c:v>80.099999999999994</c:v>
                </c:pt>
                <c:pt idx="6">
                  <c:v>63.3</c:v>
                </c:pt>
                <c:pt idx="7">
                  <c:v>61.8</c:v>
                </c:pt>
                <c:pt idx="8">
                  <c:v>57.3</c:v>
                </c:pt>
                <c:pt idx="9">
                  <c:v>64.2</c:v>
                </c:pt>
              </c:numCache>
            </c:numRef>
          </c:val>
          <c:extLst>
            <c:ext xmlns:c16="http://schemas.microsoft.com/office/drawing/2014/chart" uri="{C3380CC4-5D6E-409C-BE32-E72D297353CC}">
              <c16:uniqueId val="{00000013-10DF-4CE0-8017-4CDF4B996EA4}"/>
            </c:ext>
          </c:extLst>
        </c:ser>
        <c:dLbls>
          <c:showLegendKey val="0"/>
          <c:showVal val="0"/>
          <c:showCatName val="0"/>
          <c:showSerName val="0"/>
          <c:showPercent val="0"/>
          <c:showBubbleSize val="0"/>
        </c:dLbls>
        <c:gapWidth val="40"/>
        <c:overlap val="100"/>
        <c:axId val="192838592"/>
        <c:axId val="192844824"/>
      </c:barChart>
      <c:catAx>
        <c:axId val="192838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844824"/>
        <c:crosses val="autoZero"/>
        <c:auto val="1"/>
        <c:lblAlgn val="ctr"/>
        <c:lblOffset val="100"/>
        <c:noMultiLvlLbl val="0"/>
      </c:catAx>
      <c:valAx>
        <c:axId val="192844824"/>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83859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DESE-231-68486</_dlc_DocId>
    <_dlc_DocIdUrl xmlns="733efe1c-5bbe-4968-87dc-d400e65c879f">
      <Url>https://sharepoint.doemass.org/ese/webteam/cps/_layouts/DocIdRedir.aspx?ID=DESE-231-68486</Url>
      <Description>DESE-231-68486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89E5A-E358-4868-973B-FDB4C5E843CC}">
  <ds:schemaRefs>
    <ds:schemaRef ds:uri="http://schemas.microsoft.com/sharepoint/v3/contenttype/forms"/>
  </ds:schemaRefs>
</ds:datastoreItem>
</file>

<file path=customXml/itemProps2.xml><?xml version="1.0" encoding="utf-8"?>
<ds:datastoreItem xmlns:ds="http://schemas.openxmlformats.org/officeDocument/2006/customXml" ds:itemID="{E6856F7D-D1CB-47C2-83DC-0D93BA1DDDF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64F3432-5F80-40D9-9AF1-0425D1B73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50699-FD7B-4268-BC04-0083E792455B}">
  <ds:schemaRefs>
    <ds:schemaRef ds:uri="http://schemas.microsoft.com/sharepoint/events"/>
  </ds:schemaRefs>
</ds:datastoreItem>
</file>

<file path=customXml/itemProps5.xml><?xml version="1.0" encoding="utf-8"?>
<ds:datastoreItem xmlns:ds="http://schemas.openxmlformats.org/officeDocument/2006/customXml" ds:itemID="{C8DD52BD-C4A2-41CE-81BB-5D2F75D0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BESE 2.22.21 Special Meeting attachment CVTE Waitlist Report</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Special Meeting Attachment: CVTE Waitlist Report</dc:title>
  <dc:subject/>
  <dc:creator>DESE</dc:creator>
  <cp:keywords/>
  <dc:description/>
  <cp:lastModifiedBy>Zou, Dong (EOE)</cp:lastModifiedBy>
  <cp:revision>5</cp:revision>
  <dcterms:created xsi:type="dcterms:W3CDTF">2021-02-22T22:16:00Z</dcterms:created>
  <dcterms:modified xsi:type="dcterms:W3CDTF">2021-02-23T15:24:00Z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2021</vt:lpwstr>
  </property>
</Properties>
</file>