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6FB68" w14:textId="77777777" w:rsidR="00BB215F" w:rsidRDefault="00B66011" w:rsidP="00BB215F">
      <w:pPr>
        <w:spacing w:line="192" w:lineRule="auto"/>
        <w:ind w:left="720"/>
        <w:outlineLvl w:val="0"/>
        <w:rPr>
          <w:rFonts w:ascii="Arial" w:hAnsi="Arial"/>
          <w:b/>
          <w:bCs/>
          <w:i/>
          <w:iCs/>
          <w:sz w:val="40"/>
          <w:szCs w:val="40"/>
        </w:rPr>
      </w:pPr>
      <w:r>
        <w:rPr>
          <w:rFonts w:ascii="Arial" w:hAnsi="Arial"/>
          <w:i/>
          <w:noProof/>
          <w:sz w:val="40"/>
        </w:rPr>
        <w:drawing>
          <wp:anchor distT="0" distB="0" distL="114300" distR="114300" simplePos="0" relativeHeight="251658240" behindDoc="0" locked="0" layoutInCell="1" allowOverlap="1" wp14:anchorId="1789DCC7" wp14:editId="2E09D21C">
            <wp:simplePos x="0" y="0"/>
            <wp:positionH relativeFrom="column">
              <wp:posOffset>-434340</wp:posOffset>
            </wp:positionH>
            <wp:positionV relativeFrom="page">
              <wp:posOffset>542925</wp:posOffset>
            </wp:positionV>
            <wp:extent cx="1090934" cy="1371600"/>
            <wp:effectExtent l="0" t="0" r="0" b="0"/>
            <wp:wrapThrough wrapText="right">
              <wp:wrapPolygon edited="0">
                <wp:start x="0" y="0"/>
                <wp:lineTo x="0" y="21300"/>
                <wp:lineTo x="21122" y="21300"/>
                <wp:lineTo x="21122" y="0"/>
                <wp:lineTo x="0" y="0"/>
              </wp:wrapPolygon>
            </wp:wrapThrough>
            <wp:docPr id="1"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18000"/>
                    </a:blip>
                    <a:srcRect/>
                    <a:stretch>
                      <a:fillRect/>
                    </a:stretch>
                  </pic:blipFill>
                  <pic:spPr>
                    <a:xfrm>
                      <a:off x="0" y="0"/>
                      <a:ext cx="1090934" cy="1371600"/>
                    </a:xfrm>
                    <a:prstGeom prst="rect">
                      <a:avLst/>
                    </a:prstGeom>
                    <a:noFill/>
                    <a:ln>
                      <a:noFill/>
                      <a:prstDash/>
                    </a:ln>
                  </pic:spPr>
                </pic:pic>
              </a:graphicData>
            </a:graphic>
          </wp:anchor>
        </w:drawing>
      </w:r>
      <w:r w:rsidR="00BB215F" w:rsidRPr="720BBD35">
        <w:rPr>
          <w:rFonts w:ascii="Arial" w:hAnsi="Arial"/>
          <w:b/>
          <w:bCs/>
          <w:i/>
          <w:iCs/>
          <w:sz w:val="40"/>
          <w:szCs w:val="40"/>
        </w:rPr>
        <w:t xml:space="preserve">     </w:t>
      </w:r>
    </w:p>
    <w:p w14:paraId="51CB8D7C" w14:textId="620142C3" w:rsidR="00DA12E1" w:rsidRDefault="00BB215F" w:rsidP="00BB215F">
      <w:pPr>
        <w:spacing w:line="192" w:lineRule="auto"/>
        <w:ind w:left="720"/>
        <w:outlineLvl w:val="0"/>
      </w:pPr>
      <w:r>
        <w:rPr>
          <w:rFonts w:ascii="Arial" w:hAnsi="Arial"/>
          <w:b/>
          <w:bCs/>
          <w:i/>
          <w:iCs/>
          <w:sz w:val="40"/>
          <w:szCs w:val="40"/>
        </w:rPr>
        <w:t xml:space="preserve">  </w:t>
      </w:r>
      <w:r w:rsidR="00B66011" w:rsidRPr="6768AAAA">
        <w:rPr>
          <w:rFonts w:ascii="Arial" w:hAnsi="Arial"/>
          <w:b/>
          <w:bCs/>
          <w:i/>
          <w:iCs/>
          <w:sz w:val="40"/>
          <w:szCs w:val="40"/>
        </w:rPr>
        <w:t>Massachusetts Department of</w:t>
      </w:r>
    </w:p>
    <w:p w14:paraId="51CB8D7D" w14:textId="6C06F566" w:rsidR="00DA12E1" w:rsidRDefault="00BB215F">
      <w:pPr>
        <w:ind w:left="-180"/>
        <w:outlineLvl w:val="0"/>
      </w:pPr>
      <w:r>
        <w:rPr>
          <w:rFonts w:ascii="Arial" w:hAnsi="Arial"/>
          <w:b/>
          <w:i/>
          <w:sz w:val="40"/>
        </w:rPr>
        <w:t xml:space="preserve"> </w:t>
      </w:r>
      <w:r w:rsidR="00B66011">
        <w:rPr>
          <w:rFonts w:ascii="Arial" w:hAnsi="Arial"/>
          <w:b/>
          <w:i/>
          <w:sz w:val="40"/>
        </w:rPr>
        <w:t>Elementary and Secondary Education</w:t>
      </w:r>
    </w:p>
    <w:p w14:paraId="51CB8D7E" w14:textId="77777777" w:rsidR="00DA12E1" w:rsidRDefault="00B66011">
      <w:r>
        <w:rPr>
          <w:rFonts w:ascii="Arial" w:hAnsi="Arial"/>
          <w:i/>
          <w:noProof/>
        </w:rPr>
        <mc:AlternateContent>
          <mc:Choice Requires="wps">
            <w:drawing>
              <wp:anchor distT="0" distB="0" distL="114300" distR="114300" simplePos="0" relativeHeight="251658241" behindDoc="0" locked="0" layoutInCell="1" allowOverlap="1" wp14:anchorId="63F4A423" wp14:editId="49CE48AC">
                <wp:simplePos x="0" y="0"/>
                <wp:positionH relativeFrom="column">
                  <wp:posOffset>781050</wp:posOffset>
                </wp:positionH>
                <wp:positionV relativeFrom="paragraph">
                  <wp:posOffset>55880</wp:posOffset>
                </wp:positionV>
                <wp:extent cx="4800600" cy="0"/>
                <wp:effectExtent l="0" t="0" r="0" b="0"/>
                <wp:wrapNone/>
                <wp:docPr id="2" name="Lin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00600" cy="0"/>
                        </a:xfrm>
                        <a:prstGeom prst="straightConnector1">
                          <a:avLst/>
                        </a:prstGeom>
                        <a:noFill/>
                        <a:ln w="12701" cap="flat">
                          <a:solidFill>
                            <a:srgbClr val="000000"/>
                          </a:solidFill>
                          <a:prstDash val="solid"/>
                          <a:round/>
                        </a:ln>
                      </wps:spPr>
                      <wps:bodyPr/>
                    </wps:wsp>
                  </a:graphicData>
                </a:graphic>
              </wp:anchor>
            </w:drawing>
          </mc:Choice>
          <mc:Fallback>
            <w:pict>
              <v:shapetype w14:anchorId="4ECC1064" id="_x0000_t32" coordsize="21600,21600" o:spt="32" o:oned="t" path="m,l21600,21600e" filled="f">
                <v:path arrowok="t" fillok="f" o:connecttype="none"/>
                <o:lock v:ext="edit" shapetype="t"/>
              </v:shapetype>
              <v:shape id="Line 3" o:spid="_x0000_s1026" type="#_x0000_t32" style="position:absolute;margin-left:61.5pt;margin-top:4.4pt;width:378pt;height:0;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" strokeweight=".35281mm"/>
            </w:pict>
          </mc:Fallback>
        </mc:AlternateContent>
      </w:r>
    </w:p>
    <w:p w14:paraId="51CB8D7F" w14:textId="57DFA997" w:rsidR="00DA12E1" w:rsidRDefault="00B66011" w:rsidP="00BB215F">
      <w:pPr>
        <w:pStyle w:val="Heading3"/>
        <w:tabs>
          <w:tab w:val="right" w:pos="9000"/>
        </w:tabs>
        <w:ind w:left="6480" w:right="360" w:hanging="6480"/>
        <w:rPr>
          <w:sz w:val="16"/>
          <w:szCs w:val="16"/>
        </w:rPr>
      </w:pPr>
      <w:r>
        <w:rPr>
          <w:sz w:val="16"/>
          <w:szCs w:val="16"/>
        </w:rPr>
        <w:t xml:space="preserve">75 Pleasant Street, Malden, Massachusetts 02148-4906 </w:t>
      </w:r>
      <w:r>
        <w:rPr>
          <w:sz w:val="16"/>
          <w:szCs w:val="16"/>
        </w:rPr>
        <w:tab/>
        <w:t xml:space="preserve">     </w:t>
      </w:r>
      <w:r w:rsidR="00BB215F">
        <w:rPr>
          <w:sz w:val="16"/>
          <w:szCs w:val="16"/>
        </w:rPr>
        <w:t xml:space="preserve">                        </w:t>
      </w:r>
      <w:r>
        <w:rPr>
          <w:sz w:val="16"/>
          <w:szCs w:val="16"/>
        </w:rPr>
        <w:t xml:space="preserve">  Telephone: (781) 338-3000                                                                                                                 </w:t>
      </w:r>
      <w:r w:rsidR="00BB215F">
        <w:rPr>
          <w:sz w:val="16"/>
          <w:szCs w:val="16"/>
        </w:rPr>
        <w:t xml:space="preserve">    </w:t>
      </w:r>
      <w:r>
        <w:rPr>
          <w:sz w:val="16"/>
          <w:szCs w:val="16"/>
        </w:rPr>
        <w:t>TTY: N.E.T. Relay 1-800-439-2370</w:t>
      </w:r>
    </w:p>
    <w:p w14:paraId="51CB8D80" w14:textId="77777777" w:rsidR="00DA12E1" w:rsidRDefault="00DA12E1">
      <w:pPr>
        <w:ind w:left="720"/>
        <w:rPr>
          <w:rFonts w:ascii="Arial" w:hAnsi="Arial"/>
          <w:i/>
          <w:sz w:val="16"/>
          <w:szCs w:val="16"/>
        </w:rPr>
      </w:pPr>
    </w:p>
    <w:p w14:paraId="51CB8D81" w14:textId="77777777" w:rsidR="00C23C71" w:rsidRDefault="00C23C71">
      <w:pPr>
        <w:sectPr w:rsidR="00C23C71" w:rsidSect="00BB215F">
          <w:footerReference w:type="default" r:id="rId12"/>
          <w:footerReference w:type="first" r:id="rId13"/>
          <w:endnotePr>
            <w:numFmt w:val="decimal"/>
          </w:endnotePr>
          <w:pgSz w:w="12240" w:h="15840"/>
          <w:pgMar w:top="864" w:right="1080" w:bottom="1440" w:left="1800" w:header="720" w:footer="720" w:gutter="0"/>
          <w:cols w:space="720"/>
          <w:titlePg/>
          <w:docGrid w:linePitch="326"/>
        </w:sectPr>
      </w:pPr>
    </w:p>
    <w:p w14:paraId="51CB8D82" w14:textId="77777777" w:rsidR="00DA12E1" w:rsidRDefault="00DA12E1">
      <w:pPr>
        <w:ind w:left="720"/>
        <w:jc w:val="center"/>
        <w:rPr>
          <w:rFonts w:ascii="Arial" w:hAnsi="Arial"/>
          <w:i/>
          <w:sz w:val="16"/>
          <w:szCs w:val="16"/>
        </w:rPr>
      </w:pPr>
    </w:p>
    <w:tbl>
      <w:tblPr>
        <w:tblW w:w="11376" w:type="dxa"/>
        <w:tblCellMar>
          <w:left w:w="10" w:type="dxa"/>
          <w:right w:w="10" w:type="dxa"/>
        </w:tblCellMar>
        <w:tblLook w:val="04A0" w:firstRow="1" w:lastRow="0" w:firstColumn="1" w:lastColumn="0" w:noHBand="0" w:noVBand="1"/>
      </w:tblPr>
      <w:tblGrid>
        <w:gridCol w:w="2951"/>
        <w:gridCol w:w="8425"/>
      </w:tblGrid>
      <w:tr w:rsidR="00DA12E1" w14:paraId="51CB8D86" w14:textId="77777777">
        <w:tc>
          <w:tcPr>
            <w:tcW w:w="2951" w:type="dxa"/>
            <w:shd w:val="clear" w:color="auto" w:fill="auto"/>
            <w:tcMar>
              <w:top w:w="0" w:type="dxa"/>
              <w:left w:w="108" w:type="dxa"/>
              <w:bottom w:w="0" w:type="dxa"/>
              <w:right w:w="108" w:type="dxa"/>
            </w:tcMar>
          </w:tcPr>
          <w:p w14:paraId="51CB8D83" w14:textId="77777777" w:rsidR="00DA12E1" w:rsidRDefault="00B66011">
            <w:pPr>
              <w:jc w:val="center"/>
              <w:rPr>
                <w:rFonts w:ascii="Arial" w:hAnsi="Arial" w:cs="Arial"/>
                <w:sz w:val="16"/>
                <w:szCs w:val="16"/>
              </w:rPr>
            </w:pPr>
            <w:r>
              <w:rPr>
                <w:rFonts w:ascii="Arial" w:hAnsi="Arial" w:cs="Arial"/>
                <w:sz w:val="16"/>
                <w:szCs w:val="16"/>
              </w:rPr>
              <w:t>Jeffrey C. Riley</w:t>
            </w:r>
          </w:p>
          <w:p w14:paraId="51CB8D84" w14:textId="77777777" w:rsidR="00DA12E1" w:rsidRDefault="00B66011">
            <w:pPr>
              <w:jc w:val="center"/>
              <w:rPr>
                <w:rFonts w:ascii="Arial" w:hAnsi="Arial"/>
                <w:i/>
                <w:sz w:val="16"/>
                <w:szCs w:val="16"/>
              </w:rPr>
            </w:pPr>
            <w:r>
              <w:rPr>
                <w:rFonts w:ascii="Arial" w:hAnsi="Arial"/>
                <w:i/>
                <w:sz w:val="16"/>
                <w:szCs w:val="16"/>
              </w:rPr>
              <w:t>Commissioner</w:t>
            </w:r>
          </w:p>
        </w:tc>
        <w:tc>
          <w:tcPr>
            <w:tcW w:w="8425" w:type="dxa"/>
            <w:shd w:val="clear" w:color="auto" w:fill="auto"/>
            <w:tcMar>
              <w:top w:w="0" w:type="dxa"/>
              <w:left w:w="108" w:type="dxa"/>
              <w:bottom w:w="0" w:type="dxa"/>
              <w:right w:w="108" w:type="dxa"/>
            </w:tcMar>
          </w:tcPr>
          <w:p w14:paraId="51CB8D85" w14:textId="77777777" w:rsidR="00DA12E1" w:rsidRDefault="00DA12E1">
            <w:pPr>
              <w:jc w:val="center"/>
              <w:rPr>
                <w:rFonts w:ascii="Arial" w:hAnsi="Arial"/>
                <w:i/>
                <w:sz w:val="16"/>
                <w:szCs w:val="16"/>
              </w:rPr>
            </w:pPr>
          </w:p>
        </w:tc>
      </w:tr>
    </w:tbl>
    <w:p w14:paraId="51CB8D87" w14:textId="77777777" w:rsidR="00DA12E1" w:rsidRDefault="00DA12E1">
      <w:pPr>
        <w:rPr>
          <w:rFonts w:ascii="Arial" w:hAnsi="Arial"/>
          <w:i/>
          <w:sz w:val="18"/>
        </w:rPr>
      </w:pPr>
    </w:p>
    <w:p w14:paraId="51CB8D88" w14:textId="77777777" w:rsidR="00C23C71" w:rsidRDefault="00C23C71">
      <w:pPr>
        <w:sectPr w:rsidR="00C23C71">
          <w:endnotePr>
            <w:numFmt w:val="decimal"/>
          </w:endnotePr>
          <w:type w:val="continuous"/>
          <w:pgSz w:w="12240" w:h="15840"/>
          <w:pgMar w:top="864" w:right="432" w:bottom="1440" w:left="432" w:header="1440" w:footer="720" w:gutter="0"/>
          <w:cols w:space="720"/>
          <w:titlePg/>
        </w:sectPr>
      </w:pPr>
    </w:p>
    <w:p w14:paraId="51CB8D8A" w14:textId="22932A8D" w:rsidR="00DA12E1" w:rsidRDefault="00B66011" w:rsidP="00BB215F">
      <w:pPr>
        <w:pStyle w:val="Heading1"/>
        <w:tabs>
          <w:tab w:val="clear" w:pos="4680"/>
        </w:tabs>
      </w:pPr>
      <w:r>
        <w:t>MEMORANDUM</w:t>
      </w:r>
    </w:p>
    <w:p w14:paraId="51CB8D8B" w14:textId="77777777" w:rsidR="00DA12E1" w:rsidRDefault="00DA12E1">
      <w:pPr>
        <w:pStyle w:val="Footer"/>
        <w:widowControl w:val="0"/>
        <w:tabs>
          <w:tab w:val="clear" w:pos="4320"/>
          <w:tab w:val="clear" w:pos="8640"/>
        </w:tabs>
        <w:rPr>
          <w:szCs w:val="20"/>
        </w:rPr>
      </w:pPr>
    </w:p>
    <w:tbl>
      <w:tblPr>
        <w:tblW w:w="9495" w:type="dxa"/>
        <w:jc w:val="center"/>
        <w:tblCellMar>
          <w:left w:w="10" w:type="dxa"/>
          <w:right w:w="10" w:type="dxa"/>
        </w:tblCellMar>
        <w:tblLook w:val="04A0" w:firstRow="1" w:lastRow="0" w:firstColumn="1" w:lastColumn="0" w:noHBand="0" w:noVBand="1"/>
      </w:tblPr>
      <w:tblGrid>
        <w:gridCol w:w="1201"/>
        <w:gridCol w:w="8294"/>
      </w:tblGrid>
      <w:tr w:rsidR="00DA12E1" w14:paraId="51CB8D8E" w14:textId="77777777" w:rsidTr="720BBD35">
        <w:trPr>
          <w:trHeight w:val="292"/>
          <w:jc w:val="center"/>
        </w:trPr>
        <w:tc>
          <w:tcPr>
            <w:tcW w:w="1201" w:type="dxa"/>
            <w:shd w:val="clear" w:color="auto" w:fill="auto"/>
            <w:tcMar>
              <w:top w:w="0" w:type="dxa"/>
              <w:left w:w="108" w:type="dxa"/>
              <w:bottom w:w="0" w:type="dxa"/>
              <w:right w:w="108" w:type="dxa"/>
            </w:tcMar>
          </w:tcPr>
          <w:p w14:paraId="51CB8D8C" w14:textId="77777777" w:rsidR="00DA12E1" w:rsidRDefault="00B66011">
            <w:pPr>
              <w:rPr>
                <w:b/>
              </w:rPr>
            </w:pPr>
            <w:r>
              <w:rPr>
                <w:b/>
              </w:rPr>
              <w:t>To:</w:t>
            </w:r>
          </w:p>
        </w:tc>
        <w:tc>
          <w:tcPr>
            <w:tcW w:w="8294" w:type="dxa"/>
            <w:shd w:val="clear" w:color="auto" w:fill="auto"/>
            <w:tcMar>
              <w:top w:w="0" w:type="dxa"/>
              <w:left w:w="108" w:type="dxa"/>
              <w:bottom w:w="0" w:type="dxa"/>
              <w:right w:w="108" w:type="dxa"/>
            </w:tcMar>
          </w:tcPr>
          <w:p w14:paraId="51CB8D8D" w14:textId="77777777" w:rsidR="00DA12E1" w:rsidRDefault="00B66011">
            <w:pPr>
              <w:pStyle w:val="Footer"/>
              <w:widowControl w:val="0"/>
              <w:tabs>
                <w:tab w:val="clear" w:pos="4320"/>
                <w:tab w:val="clear" w:pos="8640"/>
              </w:tabs>
              <w:rPr>
                <w:bCs/>
                <w:szCs w:val="20"/>
              </w:rPr>
            </w:pPr>
            <w:r>
              <w:rPr>
                <w:bCs/>
                <w:szCs w:val="20"/>
              </w:rPr>
              <w:t>Members of the Board of Elementary and Secondary Education</w:t>
            </w:r>
          </w:p>
        </w:tc>
      </w:tr>
      <w:tr w:rsidR="00DA12E1" w14:paraId="51CB8D91" w14:textId="77777777" w:rsidTr="720BBD35">
        <w:trPr>
          <w:trHeight w:val="308"/>
          <w:jc w:val="center"/>
        </w:trPr>
        <w:tc>
          <w:tcPr>
            <w:tcW w:w="1201" w:type="dxa"/>
            <w:shd w:val="clear" w:color="auto" w:fill="auto"/>
            <w:tcMar>
              <w:top w:w="0" w:type="dxa"/>
              <w:left w:w="108" w:type="dxa"/>
              <w:bottom w:w="0" w:type="dxa"/>
              <w:right w:w="108" w:type="dxa"/>
            </w:tcMar>
          </w:tcPr>
          <w:p w14:paraId="51CB8D8F" w14:textId="77777777" w:rsidR="00DA12E1" w:rsidRDefault="00B66011">
            <w:r>
              <w:rPr>
                <w:b/>
              </w:rPr>
              <w:t>From:</w:t>
            </w:r>
            <w:r>
              <w:tab/>
            </w:r>
          </w:p>
        </w:tc>
        <w:tc>
          <w:tcPr>
            <w:tcW w:w="8294" w:type="dxa"/>
            <w:shd w:val="clear" w:color="auto" w:fill="auto"/>
            <w:tcMar>
              <w:top w:w="0" w:type="dxa"/>
              <w:left w:w="108" w:type="dxa"/>
              <w:bottom w:w="0" w:type="dxa"/>
              <w:right w:w="108" w:type="dxa"/>
            </w:tcMar>
          </w:tcPr>
          <w:p w14:paraId="51CB8D90" w14:textId="77777777" w:rsidR="00DA12E1" w:rsidRDefault="00B66011">
            <w:pPr>
              <w:pStyle w:val="Footer"/>
              <w:widowControl w:val="0"/>
              <w:tabs>
                <w:tab w:val="clear" w:pos="4320"/>
                <w:tab w:val="clear" w:pos="8640"/>
              </w:tabs>
              <w:rPr>
                <w:bCs/>
                <w:szCs w:val="20"/>
              </w:rPr>
            </w:pPr>
            <w:r>
              <w:rPr>
                <w:bCs/>
                <w:szCs w:val="20"/>
              </w:rPr>
              <w:t>Jeffrey C. Riley, Commissioner</w:t>
            </w:r>
          </w:p>
        </w:tc>
      </w:tr>
      <w:tr w:rsidR="00DA12E1" w14:paraId="51CB8D94" w14:textId="77777777" w:rsidTr="720BBD35">
        <w:trPr>
          <w:trHeight w:val="292"/>
          <w:jc w:val="center"/>
        </w:trPr>
        <w:tc>
          <w:tcPr>
            <w:tcW w:w="1201" w:type="dxa"/>
            <w:shd w:val="clear" w:color="auto" w:fill="auto"/>
            <w:tcMar>
              <w:top w:w="0" w:type="dxa"/>
              <w:left w:w="108" w:type="dxa"/>
              <w:bottom w:w="0" w:type="dxa"/>
              <w:right w:w="108" w:type="dxa"/>
            </w:tcMar>
          </w:tcPr>
          <w:p w14:paraId="51CB8D92" w14:textId="77777777" w:rsidR="00DA12E1" w:rsidRDefault="00B66011">
            <w:r>
              <w:rPr>
                <w:b/>
              </w:rPr>
              <w:t>Date:</w:t>
            </w:r>
            <w:r>
              <w:tab/>
            </w:r>
          </w:p>
        </w:tc>
        <w:tc>
          <w:tcPr>
            <w:tcW w:w="8294" w:type="dxa"/>
            <w:shd w:val="clear" w:color="auto" w:fill="auto"/>
            <w:tcMar>
              <w:top w:w="0" w:type="dxa"/>
              <w:left w:w="108" w:type="dxa"/>
              <w:bottom w:w="0" w:type="dxa"/>
              <w:right w:w="108" w:type="dxa"/>
            </w:tcMar>
          </w:tcPr>
          <w:p w14:paraId="51CB8D93" w14:textId="00C04F8B" w:rsidR="00DA12E1" w:rsidRDefault="004C584A">
            <w:pPr>
              <w:pStyle w:val="Footer"/>
              <w:widowControl w:val="0"/>
              <w:tabs>
                <w:tab w:val="clear" w:pos="4320"/>
                <w:tab w:val="clear" w:pos="8640"/>
              </w:tabs>
            </w:pPr>
            <w:bookmarkStart w:id="0" w:name="_GoBack"/>
            <w:r>
              <w:t xml:space="preserve">February </w:t>
            </w:r>
            <w:r w:rsidR="15172117">
              <w:t>1</w:t>
            </w:r>
            <w:r w:rsidR="27DB9ACD">
              <w:t>2</w:t>
            </w:r>
            <w:r>
              <w:t>, 2021</w:t>
            </w:r>
            <w:r w:rsidR="00B66011">
              <w:t xml:space="preserve"> </w:t>
            </w:r>
            <w:bookmarkEnd w:id="0"/>
          </w:p>
        </w:tc>
      </w:tr>
      <w:tr w:rsidR="00DA12E1" w14:paraId="51CB8D97" w14:textId="77777777" w:rsidTr="720BBD35">
        <w:trPr>
          <w:trHeight w:val="308"/>
          <w:jc w:val="center"/>
        </w:trPr>
        <w:tc>
          <w:tcPr>
            <w:tcW w:w="1201" w:type="dxa"/>
            <w:shd w:val="clear" w:color="auto" w:fill="auto"/>
            <w:tcMar>
              <w:top w:w="0" w:type="dxa"/>
              <w:left w:w="108" w:type="dxa"/>
              <w:bottom w:w="0" w:type="dxa"/>
              <w:right w:w="108" w:type="dxa"/>
            </w:tcMar>
          </w:tcPr>
          <w:p w14:paraId="51CB8D95" w14:textId="77777777" w:rsidR="00DA12E1" w:rsidRDefault="00B66011">
            <w:pPr>
              <w:rPr>
                <w:b/>
              </w:rPr>
            </w:pPr>
            <w:r>
              <w:rPr>
                <w:b/>
              </w:rPr>
              <w:t>Subject:</w:t>
            </w:r>
          </w:p>
        </w:tc>
        <w:tc>
          <w:tcPr>
            <w:tcW w:w="8294" w:type="dxa"/>
            <w:shd w:val="clear" w:color="auto" w:fill="auto"/>
            <w:tcMar>
              <w:top w:w="0" w:type="dxa"/>
              <w:left w:w="108" w:type="dxa"/>
              <w:bottom w:w="0" w:type="dxa"/>
              <w:right w:w="108" w:type="dxa"/>
            </w:tcMar>
          </w:tcPr>
          <w:p w14:paraId="51CB8D96" w14:textId="77777777" w:rsidR="00DA12E1" w:rsidRDefault="00B66011">
            <w:pPr>
              <w:pStyle w:val="Footer"/>
              <w:widowControl w:val="0"/>
              <w:tabs>
                <w:tab w:val="clear" w:pos="4320"/>
                <w:tab w:val="clear" w:pos="8640"/>
              </w:tabs>
            </w:pPr>
            <w:r>
              <w:rPr>
                <w:bCs/>
              </w:rPr>
              <w:t>Career/Vocational Technical Education (CVTE) Update</w:t>
            </w:r>
            <w:r>
              <w:rPr>
                <w:bCs/>
                <w:szCs w:val="20"/>
              </w:rPr>
              <w:t xml:space="preserve"> </w:t>
            </w:r>
          </w:p>
        </w:tc>
      </w:tr>
    </w:tbl>
    <w:p w14:paraId="51CB8D98" w14:textId="77777777" w:rsidR="00DA12E1" w:rsidRDefault="00DA12E1">
      <w:pPr>
        <w:pBdr>
          <w:bottom w:val="single" w:sz="4" w:space="1" w:color="000000"/>
        </w:pBdr>
      </w:pPr>
      <w:bookmarkStart w:id="1" w:name="TO"/>
      <w:bookmarkStart w:id="2" w:name="FROM"/>
      <w:bookmarkStart w:id="3" w:name="DATE"/>
      <w:bookmarkStart w:id="4" w:name="RE"/>
      <w:bookmarkEnd w:id="1"/>
      <w:bookmarkEnd w:id="2"/>
      <w:bookmarkEnd w:id="3"/>
      <w:bookmarkEnd w:id="4"/>
    </w:p>
    <w:p w14:paraId="51CB8D99" w14:textId="77777777" w:rsidR="00C23C71" w:rsidRDefault="00C23C71">
      <w:pPr>
        <w:sectPr w:rsidR="00C23C71">
          <w:endnotePr>
            <w:numFmt w:val="decimal"/>
          </w:endnotePr>
          <w:type w:val="continuous"/>
          <w:pgSz w:w="12240" w:h="15840"/>
          <w:pgMar w:top="864" w:right="1440" w:bottom="1440" w:left="1440" w:header="1440" w:footer="720" w:gutter="0"/>
          <w:cols w:space="720"/>
          <w:titlePg/>
        </w:sectPr>
      </w:pPr>
    </w:p>
    <w:p w14:paraId="51CB8D9A" w14:textId="77777777" w:rsidR="00DA12E1" w:rsidRDefault="00DA12E1">
      <w:pPr>
        <w:widowControl/>
        <w:autoSpaceDE w:val="0"/>
      </w:pPr>
    </w:p>
    <w:p w14:paraId="51CB8D9C" w14:textId="4D36708B" w:rsidR="00DA12E1" w:rsidRDefault="00B66011">
      <w:pPr>
        <w:widowControl/>
        <w:rPr>
          <w:color w:val="1D2228"/>
        </w:rPr>
      </w:pPr>
      <w:r w:rsidRPr="720BBD35">
        <w:rPr>
          <w:color w:val="1D2228"/>
        </w:rPr>
        <w:t xml:space="preserve">As part of the continued work regarding </w:t>
      </w:r>
      <w:r w:rsidR="00C520B2" w:rsidRPr="720BBD35">
        <w:rPr>
          <w:color w:val="1D2228"/>
        </w:rPr>
        <w:t xml:space="preserve">potential changes to the </w:t>
      </w:r>
      <w:r w:rsidRPr="720BBD35">
        <w:rPr>
          <w:color w:val="1D2228"/>
        </w:rPr>
        <w:t xml:space="preserve">Career/Vocational Technical Education (CVTE) </w:t>
      </w:r>
      <w:r w:rsidR="0524F608" w:rsidRPr="720BBD35">
        <w:rPr>
          <w:color w:val="1D2228"/>
        </w:rPr>
        <w:t xml:space="preserve">admissions </w:t>
      </w:r>
      <w:r w:rsidR="00C520B2" w:rsidRPr="720BBD35">
        <w:rPr>
          <w:color w:val="1D2228"/>
        </w:rPr>
        <w:t>regulations</w:t>
      </w:r>
      <w:r w:rsidRPr="720BBD35">
        <w:rPr>
          <w:color w:val="1D2228"/>
        </w:rPr>
        <w:t xml:space="preserve">, </w:t>
      </w:r>
      <w:r w:rsidR="241D81B8" w:rsidRPr="720BBD35">
        <w:rPr>
          <w:color w:val="1D2228"/>
        </w:rPr>
        <w:t xml:space="preserve">603 CMR 4.03(6), </w:t>
      </w:r>
      <w:r w:rsidRPr="720BBD35">
        <w:rPr>
          <w:color w:val="1D2228"/>
        </w:rPr>
        <w:t xml:space="preserve">the Department </w:t>
      </w:r>
      <w:r w:rsidR="007D4B50">
        <w:t>of Elementary and Secondary Education</w:t>
      </w:r>
      <w:r w:rsidR="007D4B50" w:rsidRPr="720BBD35">
        <w:rPr>
          <w:color w:val="1D2228"/>
        </w:rPr>
        <w:t xml:space="preserve"> </w:t>
      </w:r>
      <w:r w:rsidR="208E2235" w:rsidRPr="720BBD35">
        <w:rPr>
          <w:color w:val="1D2228"/>
        </w:rPr>
        <w:t xml:space="preserve">(Department) </w:t>
      </w:r>
      <w:r w:rsidRPr="720BBD35">
        <w:rPr>
          <w:color w:val="1D2228"/>
        </w:rPr>
        <w:t xml:space="preserve">has </w:t>
      </w:r>
      <w:r w:rsidR="078BC29E" w:rsidRPr="720BBD35">
        <w:rPr>
          <w:color w:val="1D2228"/>
        </w:rPr>
        <w:t xml:space="preserve">collected and </w:t>
      </w:r>
      <w:r w:rsidRPr="720BBD35">
        <w:rPr>
          <w:color w:val="1D2228"/>
        </w:rPr>
        <w:t xml:space="preserve">analyzed </w:t>
      </w:r>
      <w:r w:rsidR="00C520B2" w:rsidRPr="720BBD35">
        <w:rPr>
          <w:color w:val="1D2228"/>
        </w:rPr>
        <w:t xml:space="preserve">waitlist </w:t>
      </w:r>
      <w:r w:rsidRPr="720BBD35">
        <w:rPr>
          <w:color w:val="1D2228"/>
        </w:rPr>
        <w:t>data</w:t>
      </w:r>
      <w:r w:rsidR="68A4CB2B" w:rsidRPr="720BBD35">
        <w:rPr>
          <w:color w:val="1D2228"/>
        </w:rPr>
        <w:t xml:space="preserve"> from CVTE programs</w:t>
      </w:r>
      <w:r w:rsidR="71225109" w:rsidRPr="720BBD35">
        <w:rPr>
          <w:color w:val="1D2228"/>
        </w:rPr>
        <w:t>,</w:t>
      </w:r>
      <w:r w:rsidR="00C520B2" w:rsidRPr="720BBD35">
        <w:rPr>
          <w:color w:val="1D2228"/>
        </w:rPr>
        <w:t xml:space="preserve"> and </w:t>
      </w:r>
      <w:r w:rsidR="502D9EDE" w:rsidRPr="720BBD35">
        <w:rPr>
          <w:color w:val="1D2228"/>
        </w:rPr>
        <w:t xml:space="preserve">collaborated </w:t>
      </w:r>
      <w:r w:rsidR="00C520B2" w:rsidRPr="720BBD35">
        <w:rPr>
          <w:color w:val="1D2228"/>
        </w:rPr>
        <w:t xml:space="preserve">with </w:t>
      </w:r>
      <w:r w:rsidRPr="720BBD35">
        <w:rPr>
          <w:color w:val="1D2228"/>
        </w:rPr>
        <w:t>stakeholder</w:t>
      </w:r>
      <w:r w:rsidR="676C573E" w:rsidRPr="720BBD35">
        <w:rPr>
          <w:color w:val="1D2228"/>
        </w:rPr>
        <w:t>s</w:t>
      </w:r>
      <w:r w:rsidRPr="720BBD35">
        <w:rPr>
          <w:color w:val="1D2228"/>
        </w:rPr>
        <w:t xml:space="preserve"> to </w:t>
      </w:r>
      <w:r w:rsidR="001E7F2F">
        <w:rPr>
          <w:color w:val="1D2228"/>
        </w:rPr>
        <w:t xml:space="preserve">explore </w:t>
      </w:r>
      <w:r w:rsidRPr="720BBD35">
        <w:rPr>
          <w:color w:val="1D2228"/>
        </w:rPr>
        <w:t xml:space="preserve">approaches </w:t>
      </w:r>
      <w:r w:rsidR="6906B8EE" w:rsidRPr="720BBD35">
        <w:rPr>
          <w:color w:val="1D2228"/>
        </w:rPr>
        <w:t xml:space="preserve">for </w:t>
      </w:r>
      <w:r w:rsidRPr="720BBD35">
        <w:rPr>
          <w:color w:val="1D2228"/>
        </w:rPr>
        <w:t>increasing equitable access to high-quality vocational technical education in Massachusetts. This memorandum</w:t>
      </w:r>
      <w:r w:rsidR="00370EFC">
        <w:rPr>
          <w:color w:val="1D2228"/>
        </w:rPr>
        <w:t xml:space="preserve"> </w:t>
      </w:r>
      <w:r w:rsidR="1348221D" w:rsidRPr="720BBD35">
        <w:rPr>
          <w:color w:val="1D2228"/>
        </w:rPr>
        <w:t xml:space="preserve">proposes </w:t>
      </w:r>
      <w:r w:rsidR="00E225FE" w:rsidRPr="720BBD35">
        <w:rPr>
          <w:color w:val="1D2228"/>
        </w:rPr>
        <w:t>an updated</w:t>
      </w:r>
      <w:r w:rsidRPr="720BBD35">
        <w:rPr>
          <w:color w:val="1D2228"/>
        </w:rPr>
        <w:t xml:space="preserve"> timeline for </w:t>
      </w:r>
      <w:r w:rsidR="5D57877C" w:rsidRPr="720BBD35">
        <w:rPr>
          <w:color w:val="1D2228"/>
        </w:rPr>
        <w:t>amending the vocational</w:t>
      </w:r>
      <w:r w:rsidRPr="720BBD35">
        <w:rPr>
          <w:color w:val="1D2228"/>
        </w:rPr>
        <w:t xml:space="preserve"> admissions </w:t>
      </w:r>
      <w:r w:rsidR="621DA5A8" w:rsidRPr="720BBD35">
        <w:rPr>
          <w:color w:val="1D2228"/>
        </w:rPr>
        <w:t>regulations</w:t>
      </w:r>
      <w:r w:rsidR="00370EFC">
        <w:rPr>
          <w:color w:val="1D2228"/>
        </w:rPr>
        <w:t xml:space="preserve"> and </w:t>
      </w:r>
      <w:r w:rsidR="00C520B2" w:rsidRPr="62803BD7">
        <w:rPr>
          <w:color w:val="1D2228"/>
        </w:rPr>
        <w:t xml:space="preserve">provides context for </w:t>
      </w:r>
      <w:r w:rsidR="00332B8D" w:rsidRPr="62803BD7">
        <w:rPr>
          <w:color w:val="1D2228"/>
        </w:rPr>
        <w:t>the</w:t>
      </w:r>
      <w:r w:rsidR="00C520B2" w:rsidRPr="62803BD7">
        <w:rPr>
          <w:color w:val="1D2228"/>
        </w:rPr>
        <w:t xml:space="preserve"> special meeting discussion on these topics </w:t>
      </w:r>
      <w:r w:rsidR="00370EFC">
        <w:rPr>
          <w:color w:val="1D2228"/>
        </w:rPr>
        <w:t xml:space="preserve">that the Board </w:t>
      </w:r>
      <w:r w:rsidR="00AB5158">
        <w:rPr>
          <w:bCs/>
        </w:rPr>
        <w:t>of Elementary and Secondary Education</w:t>
      </w:r>
      <w:r w:rsidR="00AB5158">
        <w:rPr>
          <w:color w:val="1D2228"/>
        </w:rPr>
        <w:t xml:space="preserve"> </w:t>
      </w:r>
      <w:r w:rsidR="00370EFC">
        <w:rPr>
          <w:color w:val="1D2228"/>
        </w:rPr>
        <w:t xml:space="preserve">will </w:t>
      </w:r>
      <w:r w:rsidR="009D175C">
        <w:rPr>
          <w:color w:val="1D2228"/>
        </w:rPr>
        <w:t xml:space="preserve">hold </w:t>
      </w:r>
      <w:r w:rsidR="00C520B2" w:rsidRPr="62803BD7">
        <w:rPr>
          <w:color w:val="1D2228"/>
        </w:rPr>
        <w:t>on Monday, February 22, 2021, at 5 p.m.</w:t>
      </w:r>
    </w:p>
    <w:p w14:paraId="1CF66ADD" w14:textId="2AC5EB85" w:rsidR="00C63C4B" w:rsidRDefault="00C63C4B">
      <w:pPr>
        <w:widowControl/>
        <w:rPr>
          <w:color w:val="1D2228"/>
        </w:rPr>
      </w:pPr>
    </w:p>
    <w:p w14:paraId="72852D71" w14:textId="4BF62D8F" w:rsidR="007458E9" w:rsidRDefault="6EA55669">
      <w:pPr>
        <w:widowControl/>
      </w:pPr>
      <w:r w:rsidRPr="720BBD35">
        <w:rPr>
          <w:color w:val="1D2228"/>
        </w:rPr>
        <w:t xml:space="preserve">The Department </w:t>
      </w:r>
      <w:r w:rsidR="00C520B2" w:rsidRPr="720BBD35">
        <w:rPr>
          <w:color w:val="1D2228"/>
        </w:rPr>
        <w:t>acknowledge</w:t>
      </w:r>
      <w:r w:rsidR="1C83E86F" w:rsidRPr="720BBD35">
        <w:rPr>
          <w:color w:val="1D2228"/>
        </w:rPr>
        <w:t>s</w:t>
      </w:r>
      <w:r w:rsidR="00C520B2" w:rsidRPr="720BBD35">
        <w:rPr>
          <w:color w:val="1D2228"/>
        </w:rPr>
        <w:t xml:space="preserve"> and appreciate</w:t>
      </w:r>
      <w:r w:rsidR="560F806F" w:rsidRPr="720BBD35">
        <w:rPr>
          <w:color w:val="1D2228"/>
        </w:rPr>
        <w:t>s</w:t>
      </w:r>
      <w:r w:rsidR="00C520B2" w:rsidRPr="720BBD35">
        <w:rPr>
          <w:color w:val="1D2228"/>
        </w:rPr>
        <w:t xml:space="preserve"> the thoughtful engagement and ongoing dialogue </w:t>
      </w:r>
      <w:r w:rsidR="167450C2" w:rsidRPr="720BBD35">
        <w:rPr>
          <w:color w:val="1D2228"/>
        </w:rPr>
        <w:t xml:space="preserve">with </w:t>
      </w:r>
      <w:r w:rsidR="00C520B2" w:rsidRPr="720BBD35">
        <w:rPr>
          <w:color w:val="1D2228"/>
        </w:rPr>
        <w:t>the Massachusetts Association of Vocational Administrators</w:t>
      </w:r>
      <w:r w:rsidR="53362D6D" w:rsidRPr="720BBD35">
        <w:rPr>
          <w:color w:val="1D2228"/>
        </w:rPr>
        <w:t xml:space="preserve"> (MAVA)</w:t>
      </w:r>
      <w:r w:rsidR="2D40125A" w:rsidRPr="720BBD35">
        <w:rPr>
          <w:color w:val="1D2228"/>
        </w:rPr>
        <w:t xml:space="preserve"> and</w:t>
      </w:r>
      <w:r w:rsidR="00C520B2" w:rsidRPr="720BBD35">
        <w:rPr>
          <w:color w:val="1D2228"/>
        </w:rPr>
        <w:t xml:space="preserve"> vocational school leadership, particular</w:t>
      </w:r>
      <w:r w:rsidR="00F26A1B" w:rsidRPr="720BBD35">
        <w:rPr>
          <w:color w:val="1D2228"/>
        </w:rPr>
        <w:t>ly</w:t>
      </w:r>
      <w:r w:rsidR="00C520B2" w:rsidRPr="720BBD35">
        <w:rPr>
          <w:color w:val="1D2228"/>
        </w:rPr>
        <w:t xml:space="preserve"> during the past several months</w:t>
      </w:r>
      <w:r w:rsidR="007919B1" w:rsidRPr="720BBD35">
        <w:rPr>
          <w:color w:val="1D2228"/>
        </w:rPr>
        <w:t xml:space="preserve">. </w:t>
      </w:r>
      <w:r w:rsidR="009C48CA" w:rsidRPr="720BBD35">
        <w:rPr>
          <w:color w:val="1D2228"/>
        </w:rPr>
        <w:t xml:space="preserve">These key stakeholders have regularly met with </w:t>
      </w:r>
      <w:r w:rsidR="00C520B2" w:rsidRPr="720BBD35">
        <w:rPr>
          <w:color w:val="1D2228"/>
        </w:rPr>
        <w:t>Department</w:t>
      </w:r>
      <w:r w:rsidR="00D67D3B" w:rsidRPr="720BBD35">
        <w:rPr>
          <w:color w:val="1D2228"/>
        </w:rPr>
        <w:t xml:space="preserve"> staff </w:t>
      </w:r>
      <w:r w:rsidR="00824CF1" w:rsidRPr="720BBD35">
        <w:rPr>
          <w:color w:val="1D2228"/>
        </w:rPr>
        <w:t xml:space="preserve">to </w:t>
      </w:r>
      <w:r w:rsidR="00C520B2" w:rsidRPr="720BBD35">
        <w:rPr>
          <w:color w:val="1D2228"/>
        </w:rPr>
        <w:t>discuss</w:t>
      </w:r>
      <w:r w:rsidR="00824CF1" w:rsidRPr="720BBD35">
        <w:rPr>
          <w:color w:val="1D2228"/>
        </w:rPr>
        <w:t xml:space="preserve"> </w:t>
      </w:r>
      <w:r w:rsidR="674494DB" w:rsidRPr="720BBD35">
        <w:rPr>
          <w:color w:val="1D2228"/>
        </w:rPr>
        <w:t>their</w:t>
      </w:r>
      <w:r w:rsidR="00824CF1" w:rsidRPr="720BBD35">
        <w:rPr>
          <w:color w:val="1D2228"/>
        </w:rPr>
        <w:t xml:space="preserve"> current recruitment, application, and admissions policies and practices</w:t>
      </w:r>
      <w:r w:rsidR="00C520B2" w:rsidRPr="720BBD35">
        <w:rPr>
          <w:color w:val="1D2228"/>
        </w:rPr>
        <w:t>.</w:t>
      </w:r>
      <w:r w:rsidR="0050177C" w:rsidRPr="720BBD35">
        <w:rPr>
          <w:color w:val="1D2228"/>
        </w:rPr>
        <w:t xml:space="preserve"> The</w:t>
      </w:r>
      <w:r w:rsidR="54A2262D" w:rsidRPr="720BBD35">
        <w:rPr>
          <w:color w:val="1D2228"/>
        </w:rPr>
        <w:t>ir</w:t>
      </w:r>
      <w:r w:rsidR="0050177C" w:rsidRPr="720BBD35">
        <w:rPr>
          <w:color w:val="1D2228"/>
        </w:rPr>
        <w:t xml:space="preserve"> collaborative efforts have helped </w:t>
      </w:r>
      <w:r w:rsidR="00C520B2" w:rsidRPr="720BBD35">
        <w:rPr>
          <w:color w:val="1D2228"/>
        </w:rPr>
        <w:t xml:space="preserve">to improve the </w:t>
      </w:r>
      <w:r w:rsidR="346BA88C" w:rsidRPr="720BBD35">
        <w:rPr>
          <w:color w:val="1D2228"/>
        </w:rPr>
        <w:t xml:space="preserve">Department’s </w:t>
      </w:r>
      <w:r w:rsidR="00C520B2" w:rsidRPr="720BBD35">
        <w:rPr>
          <w:color w:val="1D2228"/>
        </w:rPr>
        <w:t>data collection and analysis</w:t>
      </w:r>
      <w:r w:rsidR="79772421" w:rsidRPr="720BBD35">
        <w:rPr>
          <w:color w:val="1D2228"/>
        </w:rPr>
        <w:t xml:space="preserve"> </w:t>
      </w:r>
      <w:r w:rsidR="00F26A1B" w:rsidRPr="720BBD35">
        <w:rPr>
          <w:color w:val="1D2228"/>
        </w:rPr>
        <w:t xml:space="preserve">and </w:t>
      </w:r>
      <w:r w:rsidR="00C520B2" w:rsidRPr="720BBD35">
        <w:rPr>
          <w:color w:val="1D2228"/>
        </w:rPr>
        <w:t xml:space="preserve">allowed for the exchange of a variety </w:t>
      </w:r>
      <w:r w:rsidR="0098456E">
        <w:rPr>
          <w:color w:val="1D2228"/>
        </w:rPr>
        <w:t xml:space="preserve">of </w:t>
      </w:r>
      <w:r w:rsidR="00C520B2" w:rsidRPr="720BBD35">
        <w:rPr>
          <w:color w:val="1D2228"/>
        </w:rPr>
        <w:t xml:space="preserve">ideas </w:t>
      </w:r>
      <w:r w:rsidR="4276C745" w:rsidRPr="720BBD35">
        <w:rPr>
          <w:color w:val="1D2228"/>
        </w:rPr>
        <w:t xml:space="preserve">that </w:t>
      </w:r>
      <w:r w:rsidR="00C520B2" w:rsidRPr="720BBD35">
        <w:rPr>
          <w:color w:val="1D2228"/>
        </w:rPr>
        <w:t>will inform the upcoming policy decisions.</w:t>
      </w:r>
    </w:p>
    <w:p w14:paraId="51CB8D9D" w14:textId="77777777" w:rsidR="00DA12E1" w:rsidRDefault="00DA12E1">
      <w:pPr>
        <w:widowControl/>
        <w:rPr>
          <w:b/>
          <w:bCs/>
          <w:color w:val="1D2228"/>
          <w:szCs w:val="24"/>
          <w:u w:val="single"/>
        </w:rPr>
      </w:pPr>
    </w:p>
    <w:p w14:paraId="21199DA2" w14:textId="7609A364" w:rsidR="00094CE8" w:rsidRPr="00094CE8" w:rsidRDefault="00B66011" w:rsidP="00094CE8">
      <w:pPr>
        <w:widowControl/>
        <w:rPr>
          <w:b/>
          <w:bCs/>
          <w:color w:val="1D2228"/>
          <w:u w:val="single"/>
        </w:rPr>
      </w:pPr>
      <w:r w:rsidRPr="00094CE8">
        <w:rPr>
          <w:b/>
          <w:bCs/>
          <w:color w:val="1D2228"/>
          <w:szCs w:val="24"/>
          <w:u w:val="single"/>
        </w:rPr>
        <w:t xml:space="preserve">1.  </w:t>
      </w:r>
      <w:r w:rsidR="00094CE8" w:rsidRPr="00094CE8">
        <w:rPr>
          <w:b/>
          <w:bCs/>
          <w:color w:val="1D2228"/>
          <w:u w:val="single"/>
        </w:rPr>
        <w:t>Timeline for Amending the Vocational Admissions Regulations (603 CMR 4.03(6))</w:t>
      </w:r>
    </w:p>
    <w:p w14:paraId="51CB8D9F" w14:textId="77777777" w:rsidR="00DA12E1" w:rsidRDefault="00DA12E1">
      <w:pPr>
        <w:widowControl/>
        <w:rPr>
          <w:color w:val="1D2228"/>
          <w:szCs w:val="24"/>
          <w:u w:val="single"/>
        </w:rPr>
      </w:pPr>
    </w:p>
    <w:p w14:paraId="51CB8DA8" w14:textId="66D132C7" w:rsidR="00DA12E1" w:rsidRPr="00352DC2" w:rsidRDefault="00B66011">
      <w:pPr>
        <w:widowControl/>
      </w:pPr>
      <w:r w:rsidRPr="720BBD35">
        <w:rPr>
          <w:color w:val="1D2228"/>
        </w:rPr>
        <w:t xml:space="preserve"> </w:t>
      </w:r>
      <w:r w:rsidR="120BB601" w:rsidRPr="720BBD35">
        <w:rPr>
          <w:color w:val="1D2228"/>
        </w:rPr>
        <w:t>T</w:t>
      </w:r>
      <w:r w:rsidR="00BC59D5" w:rsidRPr="720BBD35">
        <w:rPr>
          <w:color w:val="1D2228"/>
        </w:rPr>
        <w:t xml:space="preserve">he Department </w:t>
      </w:r>
      <w:r w:rsidRPr="720BBD35">
        <w:rPr>
          <w:color w:val="1D2228"/>
        </w:rPr>
        <w:t>project</w:t>
      </w:r>
      <w:r w:rsidR="73054C6B" w:rsidRPr="720BBD35">
        <w:rPr>
          <w:color w:val="1D2228"/>
        </w:rPr>
        <w:t>s</w:t>
      </w:r>
      <w:r w:rsidR="00DF0F5D" w:rsidRPr="720BBD35">
        <w:rPr>
          <w:color w:val="1D2228"/>
        </w:rPr>
        <w:t xml:space="preserve"> the following</w:t>
      </w:r>
      <w:r w:rsidRPr="720BBD35">
        <w:rPr>
          <w:color w:val="1D2228"/>
        </w:rPr>
        <w:t xml:space="preserve"> timeline of activities:</w:t>
      </w:r>
    </w:p>
    <w:p w14:paraId="51CB8DA9" w14:textId="77777777" w:rsidR="00DA12E1" w:rsidRPr="00352DC2" w:rsidRDefault="00DA12E1">
      <w:pPr>
        <w:widowControl/>
        <w:rPr>
          <w:color w:val="1D2228"/>
        </w:rPr>
      </w:pPr>
    </w:p>
    <w:p w14:paraId="51CB8DAB" w14:textId="2A350E48" w:rsidR="00DA12E1" w:rsidRPr="00352DC2" w:rsidRDefault="00B66011">
      <w:pPr>
        <w:pStyle w:val="ListParagraph"/>
        <w:numPr>
          <w:ilvl w:val="0"/>
          <w:numId w:val="1"/>
        </w:numPr>
      </w:pPr>
      <w:r w:rsidRPr="720BBD35">
        <w:rPr>
          <w:color w:val="1D2228"/>
        </w:rPr>
        <w:t>Ongoing: Conduct stakeholder engagement with student, parent, and advocacy groups; educators; associations</w:t>
      </w:r>
      <w:r w:rsidR="7A204A5E" w:rsidRPr="720BBD35">
        <w:rPr>
          <w:color w:val="1D2228"/>
        </w:rPr>
        <w:t xml:space="preserve"> of industry professionals</w:t>
      </w:r>
      <w:r w:rsidRPr="720BBD35">
        <w:rPr>
          <w:color w:val="1D2228"/>
        </w:rPr>
        <w:t>; the Vocational Technical Education Advisory Council; and other interested parties.</w:t>
      </w:r>
    </w:p>
    <w:p w14:paraId="51CB8DAC" w14:textId="59627AD8" w:rsidR="00DA12E1" w:rsidRPr="0001709D" w:rsidRDefault="00DF0F5D">
      <w:pPr>
        <w:pStyle w:val="ListParagraph"/>
        <w:numPr>
          <w:ilvl w:val="0"/>
          <w:numId w:val="1"/>
        </w:numPr>
      </w:pPr>
      <w:r w:rsidRPr="720BBD35">
        <w:rPr>
          <w:color w:val="1D2228"/>
        </w:rPr>
        <w:t>February</w:t>
      </w:r>
      <w:r w:rsidR="00B66011" w:rsidRPr="720BBD35">
        <w:rPr>
          <w:color w:val="1D2228"/>
        </w:rPr>
        <w:t xml:space="preserve">: Update the Board on </w:t>
      </w:r>
      <w:r w:rsidR="75683694" w:rsidRPr="720BBD35">
        <w:rPr>
          <w:color w:val="1D2228"/>
        </w:rPr>
        <w:t xml:space="preserve">the Department’s </w:t>
      </w:r>
      <w:r w:rsidR="00B66011" w:rsidRPr="720BBD35">
        <w:rPr>
          <w:color w:val="1D2228"/>
        </w:rPr>
        <w:t>waitlist data collection and analys</w:t>
      </w:r>
      <w:r w:rsidR="65BBB79D" w:rsidRPr="720BBD35">
        <w:rPr>
          <w:color w:val="1D2228"/>
        </w:rPr>
        <w:t>i</w:t>
      </w:r>
      <w:r w:rsidR="00B66011" w:rsidRPr="720BBD35">
        <w:rPr>
          <w:color w:val="1D2228"/>
        </w:rPr>
        <w:t>s.</w:t>
      </w:r>
    </w:p>
    <w:p w14:paraId="11F3142B" w14:textId="4F44D7A1" w:rsidR="0001709D" w:rsidRPr="00352DC2" w:rsidRDefault="0001709D">
      <w:pPr>
        <w:pStyle w:val="ListParagraph"/>
        <w:numPr>
          <w:ilvl w:val="0"/>
          <w:numId w:val="1"/>
        </w:numPr>
      </w:pPr>
      <w:r w:rsidRPr="720BBD35">
        <w:rPr>
          <w:color w:val="1D2228"/>
        </w:rPr>
        <w:t>February</w:t>
      </w:r>
      <w:r w:rsidR="00BE2D45" w:rsidRPr="62803BD7">
        <w:rPr>
          <w:color w:val="1D2228"/>
        </w:rPr>
        <w:t>–</w:t>
      </w:r>
      <w:r w:rsidRPr="720BBD35">
        <w:rPr>
          <w:color w:val="1D2228"/>
        </w:rPr>
        <w:t xml:space="preserve">March: </w:t>
      </w:r>
      <w:r w:rsidR="002D458B" w:rsidRPr="720BBD35">
        <w:rPr>
          <w:color w:val="1D2228"/>
        </w:rPr>
        <w:t xml:space="preserve">Conduct simulations </w:t>
      </w:r>
      <w:r w:rsidR="2A430111" w:rsidRPr="720BBD35">
        <w:rPr>
          <w:color w:val="1D2228"/>
        </w:rPr>
        <w:t xml:space="preserve">using </w:t>
      </w:r>
      <w:r w:rsidR="00181772" w:rsidRPr="720BBD35">
        <w:rPr>
          <w:color w:val="1D2228"/>
        </w:rPr>
        <w:t xml:space="preserve">waitlist collection data </w:t>
      </w:r>
      <w:r w:rsidR="000C208A" w:rsidRPr="720BBD35">
        <w:rPr>
          <w:color w:val="1D2228"/>
        </w:rPr>
        <w:t xml:space="preserve">to </w:t>
      </w:r>
      <w:r w:rsidR="005668A4" w:rsidRPr="720BBD35">
        <w:rPr>
          <w:color w:val="1D2228"/>
        </w:rPr>
        <w:t xml:space="preserve">inform </w:t>
      </w:r>
      <w:r w:rsidR="4B74C09A" w:rsidRPr="720BBD35">
        <w:rPr>
          <w:color w:val="1D2228"/>
        </w:rPr>
        <w:t>collaborations with CVTE schools and programs</w:t>
      </w:r>
      <w:r w:rsidR="005668A4" w:rsidRPr="720BBD35">
        <w:rPr>
          <w:color w:val="1D2228"/>
        </w:rPr>
        <w:t>.</w:t>
      </w:r>
    </w:p>
    <w:p w14:paraId="51CB8DAD" w14:textId="3A60FC34" w:rsidR="00DA12E1" w:rsidRPr="00352DC2" w:rsidRDefault="0001709D">
      <w:pPr>
        <w:pStyle w:val="ListParagraph"/>
        <w:numPr>
          <w:ilvl w:val="0"/>
          <w:numId w:val="1"/>
        </w:numPr>
      </w:pPr>
      <w:r w:rsidRPr="720BBD35">
        <w:rPr>
          <w:color w:val="1D2228"/>
        </w:rPr>
        <w:t>March</w:t>
      </w:r>
      <w:r w:rsidR="00B66011" w:rsidRPr="720BBD35">
        <w:rPr>
          <w:color w:val="1D2228"/>
        </w:rPr>
        <w:t xml:space="preserve">: </w:t>
      </w:r>
      <w:r w:rsidR="5A65B7C3" w:rsidRPr="720BBD35">
        <w:rPr>
          <w:color w:val="1D2228"/>
        </w:rPr>
        <w:t>B</w:t>
      </w:r>
      <w:r w:rsidR="00B66011" w:rsidRPr="720BBD35">
        <w:rPr>
          <w:color w:val="1D2228"/>
        </w:rPr>
        <w:t>ring propos</w:t>
      </w:r>
      <w:r w:rsidR="008E431B" w:rsidRPr="720BBD35">
        <w:rPr>
          <w:color w:val="1D2228"/>
        </w:rPr>
        <w:t>ed</w:t>
      </w:r>
      <w:r w:rsidR="00B66011" w:rsidRPr="720BBD35">
        <w:rPr>
          <w:color w:val="1D2228"/>
        </w:rPr>
        <w:t xml:space="preserve"> regulatory amendments to the Board for </w:t>
      </w:r>
      <w:r w:rsidR="008E431B" w:rsidRPr="720BBD35">
        <w:rPr>
          <w:color w:val="1D2228"/>
        </w:rPr>
        <w:t xml:space="preserve">initial discussion and </w:t>
      </w:r>
      <w:r w:rsidR="00B66011" w:rsidRPr="720BBD35">
        <w:rPr>
          <w:color w:val="1D2228"/>
        </w:rPr>
        <w:t>a vote to solicit public comment.</w:t>
      </w:r>
    </w:p>
    <w:p w14:paraId="51CB8DAE" w14:textId="6D4C01C7" w:rsidR="00DA12E1" w:rsidRDefault="00B66011">
      <w:pPr>
        <w:pStyle w:val="ListParagraph"/>
        <w:numPr>
          <w:ilvl w:val="0"/>
          <w:numId w:val="1"/>
        </w:numPr>
        <w:spacing w:line="251" w:lineRule="auto"/>
      </w:pPr>
      <w:r w:rsidRPr="6768AAAA">
        <w:rPr>
          <w:color w:val="1D2228"/>
        </w:rPr>
        <w:t xml:space="preserve">Spring: </w:t>
      </w:r>
      <w:r w:rsidR="008E431B">
        <w:rPr>
          <w:color w:val="1D2228"/>
        </w:rPr>
        <w:t xml:space="preserve">Review </w:t>
      </w:r>
      <w:r w:rsidRPr="6768AAAA">
        <w:rPr>
          <w:color w:val="1D2228"/>
        </w:rPr>
        <w:t>public comments</w:t>
      </w:r>
      <w:r w:rsidR="008E431B">
        <w:rPr>
          <w:color w:val="1D2228"/>
        </w:rPr>
        <w:t xml:space="preserve"> and revise proposed amendments as needed</w:t>
      </w:r>
      <w:r w:rsidRPr="6768AAAA">
        <w:rPr>
          <w:color w:val="1D2228"/>
        </w:rPr>
        <w:t>.</w:t>
      </w:r>
    </w:p>
    <w:p w14:paraId="6A32F6D7" w14:textId="15AD958A" w:rsidR="00AC5856" w:rsidRPr="007E62DD" w:rsidRDefault="008E431B" w:rsidP="007E62DD">
      <w:pPr>
        <w:pStyle w:val="ListParagraph"/>
        <w:numPr>
          <w:ilvl w:val="0"/>
          <w:numId w:val="1"/>
        </w:numPr>
      </w:pPr>
      <w:r w:rsidRPr="720BBD35">
        <w:rPr>
          <w:color w:val="1D2228"/>
        </w:rPr>
        <w:lastRenderedPageBreak/>
        <w:t>Jun</w:t>
      </w:r>
      <w:r w:rsidR="007A7931" w:rsidRPr="720BBD35">
        <w:rPr>
          <w:color w:val="1D2228"/>
        </w:rPr>
        <w:t>e</w:t>
      </w:r>
      <w:r w:rsidR="00B66011" w:rsidRPr="720BBD35">
        <w:rPr>
          <w:color w:val="1D2228"/>
        </w:rPr>
        <w:t>: Bring final propos</w:t>
      </w:r>
      <w:r w:rsidRPr="720BBD35">
        <w:rPr>
          <w:color w:val="1D2228"/>
        </w:rPr>
        <w:t>ed</w:t>
      </w:r>
      <w:r w:rsidR="00B66011" w:rsidRPr="720BBD35">
        <w:rPr>
          <w:color w:val="1D2228"/>
        </w:rPr>
        <w:t xml:space="preserve"> regulatory amendments to the Board for a </w:t>
      </w:r>
      <w:r w:rsidR="04D8213E" w:rsidRPr="720BBD35">
        <w:rPr>
          <w:color w:val="1D2228"/>
        </w:rPr>
        <w:t>final vote</w:t>
      </w:r>
      <w:r w:rsidR="00B66011" w:rsidRPr="720BBD35">
        <w:rPr>
          <w:color w:val="1D2228"/>
        </w:rPr>
        <w:t>.</w:t>
      </w:r>
    </w:p>
    <w:p w14:paraId="384416BD" w14:textId="61DDC4D8" w:rsidR="00AC5856" w:rsidRDefault="00AC5856">
      <w:pPr>
        <w:widowControl/>
        <w:rPr>
          <w:color w:val="1D2228"/>
          <w:u w:val="single"/>
        </w:rPr>
      </w:pPr>
    </w:p>
    <w:p w14:paraId="51CB8DB6" w14:textId="0D91A6A0" w:rsidR="00DA12E1" w:rsidRDefault="00AC5856">
      <w:pPr>
        <w:widowControl/>
        <w:rPr>
          <w:b/>
          <w:bCs/>
          <w:color w:val="1D2228"/>
          <w:szCs w:val="24"/>
          <w:u w:val="single"/>
        </w:rPr>
      </w:pPr>
      <w:r>
        <w:rPr>
          <w:b/>
          <w:bCs/>
          <w:color w:val="1D2228"/>
          <w:szCs w:val="24"/>
          <w:u w:val="single"/>
        </w:rPr>
        <w:t>2</w:t>
      </w:r>
      <w:r w:rsidR="00B66011">
        <w:rPr>
          <w:b/>
          <w:bCs/>
          <w:color w:val="1D2228"/>
          <w:szCs w:val="24"/>
          <w:u w:val="single"/>
        </w:rPr>
        <w:t xml:space="preserve">.  CVTE </w:t>
      </w:r>
      <w:r w:rsidR="001C72BF">
        <w:rPr>
          <w:b/>
          <w:bCs/>
          <w:color w:val="1D2228"/>
          <w:szCs w:val="24"/>
          <w:u w:val="single"/>
        </w:rPr>
        <w:t>Waitlist Data Collection</w:t>
      </w:r>
      <w:r w:rsidR="004A5ABB">
        <w:rPr>
          <w:b/>
          <w:bCs/>
          <w:color w:val="1D2228"/>
          <w:szCs w:val="24"/>
          <w:u w:val="single"/>
        </w:rPr>
        <w:t xml:space="preserve"> and Analysis</w:t>
      </w:r>
    </w:p>
    <w:p w14:paraId="51CB8DBB" w14:textId="6F9C55F7" w:rsidR="00DA12E1" w:rsidRDefault="00DA12E1">
      <w:pPr>
        <w:pStyle w:val="NormalWeb"/>
        <w:shd w:val="clear" w:color="auto" w:fill="FFFFFF"/>
        <w:spacing w:before="0" w:after="0"/>
      </w:pPr>
    </w:p>
    <w:p w14:paraId="51CB8DC7" w14:textId="7C22F628" w:rsidR="00DA12E1" w:rsidRDefault="00B66011">
      <w:pPr>
        <w:widowControl/>
        <w:rPr>
          <w:color w:val="1D2228"/>
        </w:rPr>
      </w:pPr>
      <w:r w:rsidRPr="720BBD35">
        <w:rPr>
          <w:color w:val="1D2228"/>
        </w:rPr>
        <w:t>The amended vocational technical education regulations approved by the Board in February</w:t>
      </w:r>
      <w:r w:rsidR="00875A3B" w:rsidRPr="720BBD35">
        <w:rPr>
          <w:color w:val="1D2228"/>
        </w:rPr>
        <w:t xml:space="preserve"> 2020</w:t>
      </w:r>
      <w:r w:rsidRPr="720BBD35">
        <w:rPr>
          <w:color w:val="1D2228"/>
        </w:rPr>
        <w:t xml:space="preserve"> included a new requirement that vocational programs report </w:t>
      </w:r>
      <w:r w:rsidR="63058200" w:rsidRPr="720BBD35">
        <w:rPr>
          <w:color w:val="1D2228"/>
        </w:rPr>
        <w:t xml:space="preserve">waitlist </w:t>
      </w:r>
      <w:r w:rsidRPr="720BBD35">
        <w:rPr>
          <w:color w:val="1D2228"/>
        </w:rPr>
        <w:t xml:space="preserve">data to the Department. </w:t>
      </w:r>
      <w:r w:rsidRPr="720BBD35">
        <w:rPr>
          <w:i/>
          <w:iCs/>
          <w:color w:val="1D2228"/>
        </w:rPr>
        <w:t>See</w:t>
      </w:r>
      <w:r w:rsidRPr="720BBD35">
        <w:rPr>
          <w:color w:val="1D2228"/>
        </w:rPr>
        <w:t xml:space="preserve"> 603 CMR 4.03(9) (“Vocational technical secondary schools that have more applicants than available seats shall maintain a waitlist for the current school year for eligible students who do not gain admission to the school, and report such data to the Department.”)</w:t>
      </w:r>
      <w:r w:rsidR="00301EC7" w:rsidRPr="720BBD35">
        <w:rPr>
          <w:color w:val="1D2228"/>
        </w:rPr>
        <w:t xml:space="preserve"> </w:t>
      </w:r>
      <w:r w:rsidR="00CE6AEB" w:rsidRPr="720BBD35">
        <w:rPr>
          <w:color w:val="1D2228"/>
        </w:rPr>
        <w:t xml:space="preserve">The Department </w:t>
      </w:r>
      <w:r w:rsidR="06DF3E0D" w:rsidRPr="720BBD35">
        <w:rPr>
          <w:color w:val="1D2228"/>
        </w:rPr>
        <w:t xml:space="preserve">began collecting </w:t>
      </w:r>
      <w:r w:rsidR="00FCD9CB" w:rsidRPr="720BBD35">
        <w:rPr>
          <w:color w:val="1D2228"/>
        </w:rPr>
        <w:t xml:space="preserve">this </w:t>
      </w:r>
      <w:r w:rsidR="00CE6AEB" w:rsidRPr="720BBD35">
        <w:rPr>
          <w:color w:val="1D2228"/>
        </w:rPr>
        <w:t>waitlist data in fall 2020 to better understand which students apply, but do not gain admission, to</w:t>
      </w:r>
      <w:r w:rsidR="5F14D601" w:rsidRPr="720BBD35">
        <w:rPr>
          <w:color w:val="1D2228"/>
        </w:rPr>
        <w:t xml:space="preserve"> Massachusetts</w:t>
      </w:r>
      <w:r w:rsidR="00CE6AEB" w:rsidRPr="720BBD35">
        <w:rPr>
          <w:color w:val="1D2228"/>
        </w:rPr>
        <w:t xml:space="preserve"> CVTE programs. </w:t>
      </w:r>
      <w:r w:rsidR="00BA3249" w:rsidRPr="720BBD35">
        <w:rPr>
          <w:color w:val="1D2228"/>
        </w:rPr>
        <w:t>T</w:t>
      </w:r>
      <w:r w:rsidRPr="720BBD35">
        <w:rPr>
          <w:color w:val="1D2228"/>
        </w:rPr>
        <w:t xml:space="preserve">he Department </w:t>
      </w:r>
      <w:r w:rsidR="002A337A" w:rsidRPr="720BBD35">
        <w:rPr>
          <w:color w:val="1D2228"/>
        </w:rPr>
        <w:t>has conduct</w:t>
      </w:r>
      <w:r w:rsidR="4584233E" w:rsidRPr="720BBD35">
        <w:rPr>
          <w:color w:val="1D2228"/>
        </w:rPr>
        <w:t>ed</w:t>
      </w:r>
      <w:r w:rsidRPr="720BBD35">
        <w:rPr>
          <w:color w:val="1D2228"/>
        </w:rPr>
        <w:t xml:space="preserve"> multiple rounds of consultation with vocational </w:t>
      </w:r>
      <w:r w:rsidR="008E431B" w:rsidRPr="720BBD35">
        <w:rPr>
          <w:color w:val="1D2228"/>
        </w:rPr>
        <w:t xml:space="preserve">schools and </w:t>
      </w:r>
      <w:r w:rsidRPr="720BBD35">
        <w:rPr>
          <w:color w:val="1D2228"/>
        </w:rPr>
        <w:t xml:space="preserve">districts </w:t>
      </w:r>
      <w:r w:rsidR="001267C3">
        <w:rPr>
          <w:color w:val="1D2228"/>
        </w:rPr>
        <w:t xml:space="preserve">in </w:t>
      </w:r>
      <w:r w:rsidR="00A07A09">
        <w:rPr>
          <w:color w:val="1D2228"/>
        </w:rPr>
        <w:t xml:space="preserve">an </w:t>
      </w:r>
      <w:r w:rsidRPr="720BBD35">
        <w:rPr>
          <w:color w:val="1D2228"/>
        </w:rPr>
        <w:t xml:space="preserve">effort </w:t>
      </w:r>
      <w:r w:rsidR="008E431B" w:rsidRPr="720BBD35">
        <w:rPr>
          <w:color w:val="1D2228"/>
        </w:rPr>
        <w:t xml:space="preserve">to </w:t>
      </w:r>
      <w:r w:rsidR="00D45D56">
        <w:rPr>
          <w:color w:val="1D2228"/>
        </w:rPr>
        <w:t xml:space="preserve">produce an </w:t>
      </w:r>
      <w:r w:rsidR="00BA3249" w:rsidRPr="720BBD35">
        <w:rPr>
          <w:color w:val="1D2228"/>
        </w:rPr>
        <w:t>accurate</w:t>
      </w:r>
      <w:r w:rsidR="00D45D56">
        <w:rPr>
          <w:color w:val="1D2228"/>
        </w:rPr>
        <w:t>, clear,</w:t>
      </w:r>
      <w:r w:rsidR="008E431B" w:rsidRPr="720BBD35">
        <w:rPr>
          <w:color w:val="1D2228"/>
        </w:rPr>
        <w:t xml:space="preserve"> and informative</w:t>
      </w:r>
      <w:r w:rsidR="008E431B" w:rsidRPr="720BBD35" w:rsidDel="00D45D56">
        <w:rPr>
          <w:color w:val="1D2228"/>
        </w:rPr>
        <w:t xml:space="preserve"> </w:t>
      </w:r>
      <w:r w:rsidR="00D45D56" w:rsidRPr="62803BD7">
        <w:rPr>
          <w:color w:val="1D2228"/>
        </w:rPr>
        <w:t>report</w:t>
      </w:r>
      <w:r w:rsidRPr="720BBD35">
        <w:rPr>
          <w:color w:val="1D2228"/>
        </w:rPr>
        <w:t>.</w:t>
      </w:r>
    </w:p>
    <w:p w14:paraId="662A7CF0" w14:textId="0707F083" w:rsidR="00301EC7" w:rsidRDefault="00301EC7">
      <w:pPr>
        <w:widowControl/>
        <w:rPr>
          <w:color w:val="1D2228"/>
        </w:rPr>
      </w:pPr>
    </w:p>
    <w:p w14:paraId="21AE2AC8" w14:textId="1097C3E0" w:rsidR="00301EC7" w:rsidRPr="00301EC7" w:rsidRDefault="0077575B" w:rsidP="720BBD35">
      <w:pPr>
        <w:widowControl/>
        <w:rPr>
          <w:color w:val="1D2228"/>
        </w:rPr>
      </w:pPr>
      <w:r w:rsidRPr="62803BD7">
        <w:rPr>
          <w:color w:val="1D2228"/>
        </w:rPr>
        <w:t>T</w:t>
      </w:r>
      <w:r w:rsidR="00BA3249" w:rsidRPr="62803BD7">
        <w:rPr>
          <w:color w:val="1D2228"/>
        </w:rPr>
        <w:t>he</w:t>
      </w:r>
      <w:r w:rsidR="00BA3249" w:rsidRPr="720BBD35" w:rsidDel="00AB5158">
        <w:rPr>
          <w:color w:val="1D2228"/>
        </w:rPr>
        <w:t xml:space="preserve"> </w:t>
      </w:r>
      <w:r w:rsidR="00BA3249" w:rsidRPr="720BBD35">
        <w:rPr>
          <w:color w:val="1D2228"/>
        </w:rPr>
        <w:t>report</w:t>
      </w:r>
      <w:r w:rsidR="00AB5158">
        <w:rPr>
          <w:color w:val="1D2228"/>
        </w:rPr>
        <w:t xml:space="preserve"> that the Department will provide in advance of the </w:t>
      </w:r>
      <w:r>
        <w:rPr>
          <w:color w:val="1D2228"/>
        </w:rPr>
        <w:t>special meeting</w:t>
      </w:r>
      <w:r w:rsidR="00301EC7" w:rsidRPr="720BBD35">
        <w:rPr>
          <w:color w:val="1D2228"/>
        </w:rPr>
        <w:t xml:space="preserve"> will </w:t>
      </w:r>
      <w:r w:rsidR="008D7BC5">
        <w:rPr>
          <w:color w:val="1D2228"/>
        </w:rPr>
        <w:t xml:space="preserve">include </w:t>
      </w:r>
      <w:r w:rsidR="00301EC7" w:rsidRPr="720BBD35">
        <w:rPr>
          <w:color w:val="1D2228"/>
        </w:rPr>
        <w:t xml:space="preserve">summary information regarding the </w:t>
      </w:r>
      <w:r w:rsidR="00FB2E85" w:rsidRPr="720BBD35">
        <w:rPr>
          <w:color w:val="1D2228"/>
        </w:rPr>
        <w:t>data collected</w:t>
      </w:r>
      <w:r w:rsidR="00540A44" w:rsidRPr="720BBD35">
        <w:rPr>
          <w:color w:val="1D2228"/>
        </w:rPr>
        <w:t xml:space="preserve">, </w:t>
      </w:r>
      <w:r w:rsidR="00F4280A">
        <w:rPr>
          <w:color w:val="1D2228"/>
        </w:rPr>
        <w:t xml:space="preserve">as </w:t>
      </w:r>
      <w:r w:rsidR="00BC22F6">
        <w:rPr>
          <w:color w:val="1D2228"/>
        </w:rPr>
        <w:t xml:space="preserve">to </w:t>
      </w:r>
      <w:r w:rsidR="00883A09" w:rsidRPr="720BBD35">
        <w:rPr>
          <w:color w:val="1D2228"/>
        </w:rPr>
        <w:t xml:space="preserve">statewide and Gateway City CVTE </w:t>
      </w:r>
      <w:r w:rsidR="00540A44" w:rsidRPr="720BBD35">
        <w:rPr>
          <w:color w:val="1D2228"/>
        </w:rPr>
        <w:t xml:space="preserve">applications submitted and completed, </w:t>
      </w:r>
      <w:r w:rsidR="62879EC6" w:rsidRPr="720BBD35">
        <w:rPr>
          <w:color w:val="1D2228"/>
        </w:rPr>
        <w:t xml:space="preserve">admission </w:t>
      </w:r>
      <w:r w:rsidR="00824651" w:rsidRPr="720BBD35">
        <w:rPr>
          <w:color w:val="1D2228"/>
        </w:rPr>
        <w:t>offers</w:t>
      </w:r>
      <w:r w:rsidR="00F4663E" w:rsidRPr="720BBD35">
        <w:rPr>
          <w:color w:val="1D2228"/>
        </w:rPr>
        <w:t xml:space="preserve">, </w:t>
      </w:r>
      <w:r w:rsidR="00540A44" w:rsidRPr="720BBD35">
        <w:rPr>
          <w:color w:val="1D2228"/>
        </w:rPr>
        <w:t>acceptance</w:t>
      </w:r>
      <w:r w:rsidR="29CBA257" w:rsidRPr="720BBD35">
        <w:rPr>
          <w:color w:val="1D2228"/>
        </w:rPr>
        <w:t>s</w:t>
      </w:r>
      <w:r w:rsidR="00F4663E" w:rsidRPr="720BBD35">
        <w:rPr>
          <w:color w:val="1D2228"/>
        </w:rPr>
        <w:t xml:space="preserve">, and enrollment. </w:t>
      </w:r>
      <w:r w:rsidR="00AD20C7">
        <w:rPr>
          <w:color w:val="1D2228"/>
        </w:rPr>
        <w:t xml:space="preserve">The data </w:t>
      </w:r>
      <w:r w:rsidR="00BF7197">
        <w:rPr>
          <w:color w:val="1D2228"/>
        </w:rPr>
        <w:t xml:space="preserve">help to broaden our understanding </w:t>
      </w:r>
      <w:r w:rsidR="004F6AEA" w:rsidRPr="720BBD35">
        <w:rPr>
          <w:color w:val="1D2228"/>
        </w:rPr>
        <w:t>of application gaps (</w:t>
      </w:r>
      <w:r w:rsidR="005B1893" w:rsidRPr="720BBD35">
        <w:rPr>
          <w:color w:val="1D2228"/>
        </w:rPr>
        <w:t>number of applicants out of total catchment pool) and offer gaps (</w:t>
      </w:r>
      <w:r w:rsidR="008A55EF" w:rsidRPr="720BBD35">
        <w:rPr>
          <w:color w:val="1D2228"/>
        </w:rPr>
        <w:t>offers of admission out of applicants)</w:t>
      </w:r>
      <w:r w:rsidR="14453F73" w:rsidRPr="720BBD35">
        <w:rPr>
          <w:color w:val="1D2228"/>
        </w:rPr>
        <w:t xml:space="preserve"> across subgroups of student populations</w:t>
      </w:r>
      <w:r w:rsidR="00436CE7">
        <w:rPr>
          <w:color w:val="1D2228"/>
        </w:rPr>
        <w:t xml:space="preserve">. </w:t>
      </w:r>
      <w:r w:rsidR="00436CE7" w:rsidRPr="62803BD7">
        <w:rPr>
          <w:color w:val="1D2228"/>
        </w:rPr>
        <w:t>B</w:t>
      </w:r>
      <w:r w:rsidR="00E52C21" w:rsidRPr="62803BD7">
        <w:rPr>
          <w:color w:val="1D2228"/>
        </w:rPr>
        <w:t>oth</w:t>
      </w:r>
      <w:r w:rsidR="00BD6EC2" w:rsidRPr="720BBD35">
        <w:rPr>
          <w:color w:val="1D2228"/>
        </w:rPr>
        <w:t xml:space="preserve"> student demand and current admissions criteria </w:t>
      </w:r>
      <w:r w:rsidR="00811997">
        <w:rPr>
          <w:color w:val="1D2228"/>
        </w:rPr>
        <w:t xml:space="preserve">affect </w:t>
      </w:r>
      <w:r w:rsidR="00D01E97" w:rsidRPr="720BBD35">
        <w:rPr>
          <w:color w:val="1D2228"/>
        </w:rPr>
        <w:t xml:space="preserve">statewide and </w:t>
      </w:r>
      <w:r w:rsidR="00E52C21" w:rsidRPr="720BBD35">
        <w:rPr>
          <w:color w:val="1D2228"/>
        </w:rPr>
        <w:t xml:space="preserve">local outcomes. </w:t>
      </w:r>
    </w:p>
    <w:p w14:paraId="6DEEC8B8" w14:textId="3903F23F" w:rsidR="00301EC7" w:rsidRPr="00301EC7" w:rsidRDefault="00301EC7" w:rsidP="720BBD35">
      <w:pPr>
        <w:widowControl/>
        <w:rPr>
          <w:color w:val="1D2228"/>
        </w:rPr>
      </w:pPr>
    </w:p>
    <w:p w14:paraId="56A28597" w14:textId="52D5F931" w:rsidR="00301EC7" w:rsidRPr="00301EC7" w:rsidRDefault="00745CBA" w:rsidP="712AFD2F">
      <w:pPr>
        <w:widowControl/>
        <w:rPr>
          <w:color w:val="1D2228"/>
        </w:rPr>
      </w:pPr>
      <w:r w:rsidRPr="720BBD35">
        <w:rPr>
          <w:color w:val="1D2228"/>
        </w:rPr>
        <w:t xml:space="preserve">The Department is </w:t>
      </w:r>
      <w:r w:rsidR="5E5880A0" w:rsidRPr="720BBD35">
        <w:rPr>
          <w:color w:val="1D2228"/>
        </w:rPr>
        <w:t xml:space="preserve">also </w:t>
      </w:r>
      <w:r w:rsidR="1F2F694D" w:rsidRPr="720BBD35">
        <w:rPr>
          <w:color w:val="1D2228"/>
        </w:rPr>
        <w:t>creating</w:t>
      </w:r>
      <w:r w:rsidRPr="720BBD35">
        <w:rPr>
          <w:color w:val="1D2228"/>
        </w:rPr>
        <w:t xml:space="preserve"> an interactive data tool </w:t>
      </w:r>
      <w:r w:rsidR="56262034" w:rsidRPr="720BBD35">
        <w:rPr>
          <w:color w:val="1D2228"/>
        </w:rPr>
        <w:t xml:space="preserve">to help vocational schools and programs visualize their own </w:t>
      </w:r>
      <w:r w:rsidRPr="720BBD35">
        <w:rPr>
          <w:color w:val="1D2228"/>
        </w:rPr>
        <w:t>school-level information</w:t>
      </w:r>
      <w:r w:rsidR="4C59A31D" w:rsidRPr="720BBD35">
        <w:rPr>
          <w:color w:val="1D2228"/>
        </w:rPr>
        <w:t xml:space="preserve"> to support local analysis</w:t>
      </w:r>
      <w:r w:rsidR="7E81DBE5" w:rsidRPr="720BBD35">
        <w:rPr>
          <w:color w:val="1D2228"/>
        </w:rPr>
        <w:t xml:space="preserve"> of </w:t>
      </w:r>
      <w:r w:rsidR="77AFA44B" w:rsidRPr="720BBD35">
        <w:rPr>
          <w:color w:val="1D2228"/>
        </w:rPr>
        <w:t>patterns of recruitment, admission, and enrollment</w:t>
      </w:r>
      <w:r w:rsidRPr="720BBD35">
        <w:rPr>
          <w:color w:val="1D2228"/>
        </w:rPr>
        <w:t xml:space="preserve">. </w:t>
      </w:r>
      <w:r w:rsidR="59C950B8" w:rsidRPr="62803BD7">
        <w:rPr>
          <w:color w:val="201F1E"/>
        </w:rPr>
        <w:t xml:space="preserve">We anticipate that this tool will be available in the next several weeks at </w:t>
      </w:r>
      <w:hyperlink r:id="rId14">
        <w:r w:rsidR="59C950B8" w:rsidRPr="62803BD7">
          <w:rPr>
            <w:rStyle w:val="Hyperlink"/>
          </w:rPr>
          <w:t>Career/Vocational Technical Education Reporting &amp; Data Resources</w:t>
        </w:r>
      </w:hyperlink>
      <w:r w:rsidR="59C950B8">
        <w:t>.</w:t>
      </w:r>
      <w:r w:rsidR="59C950B8" w:rsidRPr="720BBD35">
        <w:rPr>
          <w:color w:val="1D2228"/>
        </w:rPr>
        <w:t xml:space="preserve"> </w:t>
      </w:r>
      <w:r w:rsidR="00A03DD7" w:rsidRPr="720BBD35">
        <w:rPr>
          <w:color w:val="1D2228"/>
        </w:rPr>
        <w:t xml:space="preserve"> </w:t>
      </w:r>
    </w:p>
    <w:p w14:paraId="5AD5B2AA" w14:textId="77777777" w:rsidR="00273978" w:rsidRDefault="00273978">
      <w:pPr>
        <w:widowControl/>
        <w:rPr>
          <w:color w:val="1D2228"/>
        </w:rPr>
      </w:pPr>
    </w:p>
    <w:p w14:paraId="702D9CC6" w14:textId="7D84E9B7" w:rsidR="00AB3C00" w:rsidRPr="00073D30" w:rsidRDefault="00AB3C00" w:rsidP="00AB3C00">
      <w:pPr>
        <w:widowControl/>
        <w:rPr>
          <w:b/>
          <w:color w:val="1D2228"/>
          <w:u w:val="single"/>
        </w:rPr>
      </w:pPr>
      <w:r w:rsidRPr="62803BD7">
        <w:rPr>
          <w:b/>
          <w:color w:val="1D2228"/>
          <w:u w:val="single"/>
        </w:rPr>
        <w:t>3.  Special Meeting on CVTE</w:t>
      </w:r>
    </w:p>
    <w:p w14:paraId="20E45A28" w14:textId="77777777" w:rsidR="00AB3C00" w:rsidRPr="00073D30" w:rsidRDefault="00AB3C00" w:rsidP="62803BD7">
      <w:pPr>
        <w:pStyle w:val="NormalWeb"/>
        <w:shd w:val="clear" w:color="auto" w:fill="FFFFFF" w:themeFill="background1"/>
        <w:spacing w:before="0" w:after="0"/>
      </w:pPr>
    </w:p>
    <w:p w14:paraId="4B95B751" w14:textId="2957C2EC" w:rsidR="00C520B2" w:rsidRPr="00AB3C00" w:rsidRDefault="00073D30" w:rsidP="00C520B2">
      <w:pPr>
        <w:spacing w:after="150"/>
        <w:rPr>
          <w:color w:val="1D2228"/>
        </w:rPr>
      </w:pPr>
      <w:r>
        <w:rPr>
          <w:color w:val="1D2228"/>
        </w:rPr>
        <w:t xml:space="preserve">The </w:t>
      </w:r>
      <w:r w:rsidR="009533D5">
        <w:rPr>
          <w:color w:val="1D2228"/>
        </w:rPr>
        <w:t xml:space="preserve">Board’s </w:t>
      </w:r>
      <w:r w:rsidR="00C520B2" w:rsidRPr="62803BD7">
        <w:rPr>
          <w:color w:val="1D2228"/>
        </w:rPr>
        <w:t>special</w:t>
      </w:r>
      <w:r w:rsidR="00AB3C00" w:rsidRPr="62803BD7">
        <w:rPr>
          <w:color w:val="1D2228"/>
        </w:rPr>
        <w:t xml:space="preserve"> </w:t>
      </w:r>
      <w:r w:rsidR="00C520B2" w:rsidRPr="62803BD7">
        <w:rPr>
          <w:color w:val="1D2228"/>
        </w:rPr>
        <w:t>meeting</w:t>
      </w:r>
      <w:r w:rsidR="00AB3C00" w:rsidRPr="62803BD7">
        <w:rPr>
          <w:color w:val="1D2228"/>
        </w:rPr>
        <w:t xml:space="preserve"> </w:t>
      </w:r>
      <w:r w:rsidR="009533D5">
        <w:rPr>
          <w:color w:val="1D2228"/>
        </w:rPr>
        <w:t xml:space="preserve">on </w:t>
      </w:r>
      <w:r w:rsidR="00AB3C00" w:rsidRPr="62803BD7">
        <w:rPr>
          <w:color w:val="1D2228"/>
        </w:rPr>
        <w:t>February 22</w:t>
      </w:r>
      <w:r w:rsidR="009533D5">
        <w:rPr>
          <w:color w:val="1D2228"/>
        </w:rPr>
        <w:t xml:space="preserve"> </w:t>
      </w:r>
      <w:r w:rsidR="00AB3C00" w:rsidRPr="62803BD7">
        <w:rPr>
          <w:color w:val="1D2228"/>
        </w:rPr>
        <w:t xml:space="preserve">will provide members with </w:t>
      </w:r>
      <w:r w:rsidR="009533D5">
        <w:rPr>
          <w:color w:val="1D2228"/>
        </w:rPr>
        <w:t xml:space="preserve">the opportunity to </w:t>
      </w:r>
      <w:r w:rsidR="004C0272">
        <w:rPr>
          <w:color w:val="1D2228"/>
        </w:rPr>
        <w:t xml:space="preserve">review and discuss </w:t>
      </w:r>
      <w:r w:rsidR="00412FA1">
        <w:rPr>
          <w:color w:val="1D2228"/>
        </w:rPr>
        <w:t>these issues in depth. The Department will p</w:t>
      </w:r>
      <w:r w:rsidR="00FA0AEB">
        <w:rPr>
          <w:color w:val="1D2228"/>
        </w:rPr>
        <w:t xml:space="preserve">resent </w:t>
      </w:r>
      <w:r w:rsidR="44765F4E" w:rsidRPr="62803BD7">
        <w:rPr>
          <w:color w:val="1D2228"/>
        </w:rPr>
        <w:t xml:space="preserve">further </w:t>
      </w:r>
      <w:r w:rsidR="00AB3C00" w:rsidRPr="62803BD7">
        <w:rPr>
          <w:color w:val="1D2228"/>
        </w:rPr>
        <w:t xml:space="preserve">information </w:t>
      </w:r>
      <w:r w:rsidR="00C520B2" w:rsidRPr="62803BD7">
        <w:rPr>
          <w:color w:val="1D2228"/>
        </w:rPr>
        <w:t xml:space="preserve">to </w:t>
      </w:r>
      <w:r w:rsidR="6DCCE100" w:rsidRPr="62803BD7">
        <w:rPr>
          <w:color w:val="1D2228"/>
        </w:rPr>
        <w:t xml:space="preserve">help </w:t>
      </w:r>
      <w:r w:rsidR="00FA0AEB">
        <w:rPr>
          <w:color w:val="1D2228"/>
        </w:rPr>
        <w:t>provide context</w:t>
      </w:r>
      <w:r w:rsidR="00E36712">
        <w:rPr>
          <w:color w:val="1D2228"/>
        </w:rPr>
        <w:t xml:space="preserve"> for the continuing </w:t>
      </w:r>
      <w:r w:rsidR="00C520B2" w:rsidRPr="62803BD7">
        <w:rPr>
          <w:color w:val="1D2228"/>
        </w:rPr>
        <w:t>discussion</w:t>
      </w:r>
      <w:r w:rsidR="0EFE2D34" w:rsidRPr="62803BD7">
        <w:rPr>
          <w:color w:val="1D2228"/>
        </w:rPr>
        <w:t>s</w:t>
      </w:r>
      <w:r w:rsidR="00C520B2" w:rsidRPr="62803BD7">
        <w:rPr>
          <w:color w:val="1D2228"/>
        </w:rPr>
        <w:t xml:space="preserve"> </w:t>
      </w:r>
      <w:r w:rsidR="00E36712">
        <w:rPr>
          <w:color w:val="1D2228"/>
        </w:rPr>
        <w:t xml:space="preserve">on </w:t>
      </w:r>
      <w:r w:rsidR="00FD7449">
        <w:rPr>
          <w:color w:val="1D2228"/>
        </w:rPr>
        <w:t xml:space="preserve">vocational </w:t>
      </w:r>
      <w:r w:rsidR="00C520B2" w:rsidRPr="62803BD7">
        <w:rPr>
          <w:color w:val="1D2228"/>
        </w:rPr>
        <w:t xml:space="preserve">admissions. </w:t>
      </w:r>
      <w:r w:rsidR="6B17744E" w:rsidRPr="62803BD7">
        <w:rPr>
          <w:color w:val="1D2228"/>
        </w:rPr>
        <w:t xml:space="preserve">This </w:t>
      </w:r>
      <w:r w:rsidR="00C520B2" w:rsidRPr="62803BD7">
        <w:rPr>
          <w:color w:val="1D2228"/>
        </w:rPr>
        <w:t xml:space="preserve">overview will include </w:t>
      </w:r>
      <w:r w:rsidR="6FD45E8C" w:rsidRPr="62803BD7">
        <w:rPr>
          <w:color w:val="1D2228"/>
        </w:rPr>
        <w:t xml:space="preserve">information </w:t>
      </w:r>
      <w:r w:rsidR="0020596B">
        <w:rPr>
          <w:color w:val="1D2228"/>
        </w:rPr>
        <w:t xml:space="preserve">on </w:t>
      </w:r>
      <w:r w:rsidR="00C520B2" w:rsidRPr="62803BD7">
        <w:rPr>
          <w:color w:val="1D2228"/>
        </w:rPr>
        <w:t xml:space="preserve">aspects </w:t>
      </w:r>
      <w:r w:rsidR="258EF6F5" w:rsidRPr="62803BD7">
        <w:rPr>
          <w:color w:val="1D2228"/>
        </w:rPr>
        <w:t xml:space="preserve">unique to Massachusetts </w:t>
      </w:r>
      <w:r w:rsidR="00C520B2" w:rsidRPr="62803BD7">
        <w:rPr>
          <w:color w:val="1D2228"/>
        </w:rPr>
        <w:t xml:space="preserve">CVTE such as the exploratory process, program selection, and scheduling. We will also review data trends with respect to enrollment and </w:t>
      </w:r>
      <w:r w:rsidR="00AB3C00" w:rsidRPr="62803BD7">
        <w:rPr>
          <w:color w:val="1D2228"/>
        </w:rPr>
        <w:t xml:space="preserve">the </w:t>
      </w:r>
      <w:r w:rsidR="00C520B2" w:rsidRPr="62803BD7">
        <w:rPr>
          <w:color w:val="1D2228"/>
        </w:rPr>
        <w:t xml:space="preserve">new waitlist data. </w:t>
      </w:r>
    </w:p>
    <w:p w14:paraId="63E7405E" w14:textId="2D8B20E1" w:rsidR="009242A3" w:rsidRDefault="009242A3" w:rsidP="009242A3">
      <w:pPr>
        <w:widowControl/>
        <w:rPr>
          <w:color w:val="1D2228"/>
        </w:rPr>
      </w:pPr>
      <w:r w:rsidRPr="720BBD35">
        <w:rPr>
          <w:color w:val="1D2228"/>
        </w:rPr>
        <w:t xml:space="preserve">Department staff, including Elizabeth Bennett, </w:t>
      </w:r>
      <w:r w:rsidR="4F1F9912" w:rsidRPr="55CFCD9A">
        <w:rPr>
          <w:color w:val="1D2228"/>
        </w:rPr>
        <w:t>Associate Commissioner for College, Career, and Technical Education</w:t>
      </w:r>
      <w:r w:rsidR="0020596B">
        <w:rPr>
          <w:color w:val="1D2228"/>
        </w:rPr>
        <w:t>, and Caitlin</w:t>
      </w:r>
      <w:r w:rsidR="00DF2060">
        <w:rPr>
          <w:color w:val="1D2228"/>
        </w:rPr>
        <w:t xml:space="preserve"> Looby of our </w:t>
      </w:r>
      <w:r w:rsidR="002E67C7">
        <w:rPr>
          <w:color w:val="1D2228"/>
        </w:rPr>
        <w:t>legal team,</w:t>
      </w:r>
      <w:r w:rsidR="4F1F9912" w:rsidRPr="55CFCD9A" w:rsidDel="002E67C7">
        <w:rPr>
          <w:color w:val="1D2228"/>
        </w:rPr>
        <w:t xml:space="preserve"> </w:t>
      </w:r>
      <w:r w:rsidRPr="720BBD35">
        <w:rPr>
          <w:color w:val="1D2228"/>
        </w:rPr>
        <w:t>will be</w:t>
      </w:r>
      <w:r w:rsidR="383E87FF" w:rsidRPr="720BBD35">
        <w:rPr>
          <w:color w:val="1D2228"/>
        </w:rPr>
        <w:t xml:space="preserve"> present</w:t>
      </w:r>
      <w:r w:rsidRPr="720BBD35">
        <w:rPr>
          <w:color w:val="1D2228"/>
        </w:rPr>
        <w:t xml:space="preserve"> at the meeting to address the Board and answer questions.</w:t>
      </w:r>
    </w:p>
    <w:p w14:paraId="51CB8DCC" w14:textId="77777777" w:rsidR="00DA12E1" w:rsidRDefault="00DA12E1">
      <w:pPr>
        <w:widowControl/>
        <w:rPr>
          <w:b/>
          <w:bCs/>
          <w:color w:val="1D2228"/>
          <w:u w:val="single"/>
        </w:rPr>
      </w:pPr>
    </w:p>
    <w:p w14:paraId="17A39175" w14:textId="743E41C6" w:rsidR="008E431B" w:rsidRDefault="008E431B">
      <w:pPr>
        <w:widowControl/>
        <w:rPr>
          <w:color w:val="1D2228"/>
        </w:rPr>
      </w:pPr>
    </w:p>
    <w:p w14:paraId="5707765A" w14:textId="77777777" w:rsidR="008E431B" w:rsidRDefault="008E431B">
      <w:pPr>
        <w:widowControl/>
        <w:rPr>
          <w:color w:val="1D2228"/>
        </w:rPr>
      </w:pPr>
    </w:p>
    <w:p w14:paraId="136E3534" w14:textId="4E906876" w:rsidR="008E431B" w:rsidRDefault="008E431B" w:rsidP="62803BD7">
      <w:pPr>
        <w:widowControl/>
        <w:rPr>
          <w:color w:val="1D2228"/>
        </w:rPr>
      </w:pPr>
      <w:r w:rsidRPr="712AFD2F">
        <w:rPr>
          <w:b/>
          <w:bCs/>
          <w:color w:val="1D2228"/>
        </w:rPr>
        <w:t>Attachment:</w:t>
      </w:r>
      <w:r w:rsidRPr="712AFD2F">
        <w:rPr>
          <w:color w:val="1D2228"/>
        </w:rPr>
        <w:t xml:space="preserve"> </w:t>
      </w:r>
      <w:r>
        <w:tab/>
      </w:r>
      <w:r w:rsidRPr="712AFD2F">
        <w:rPr>
          <w:color w:val="1D2228"/>
        </w:rPr>
        <w:t xml:space="preserve">603 CMR </w:t>
      </w:r>
      <w:r>
        <w:t>4.03(6)(a) – Current MA Regulation on Vocational Admissions</w:t>
      </w:r>
    </w:p>
    <w:p w14:paraId="32B6ED3A" w14:textId="77777777" w:rsidR="00B66011" w:rsidRDefault="00B66011">
      <w:pPr>
        <w:widowControl/>
        <w:rPr>
          <w:color w:val="1D2228"/>
          <w:szCs w:val="24"/>
        </w:rPr>
      </w:pPr>
    </w:p>
    <w:p w14:paraId="51CB8DE0" w14:textId="3E811AC6" w:rsidR="008E431B" w:rsidRDefault="008E431B">
      <w:pPr>
        <w:widowControl/>
        <w:suppressAutoHyphens w:val="0"/>
        <w:rPr>
          <w:rFonts w:eastAsia="Calibri"/>
          <w:szCs w:val="24"/>
        </w:rPr>
      </w:pPr>
      <w:r>
        <w:br w:type="page"/>
      </w:r>
    </w:p>
    <w:p w14:paraId="29608760" w14:textId="52BE91C7" w:rsidR="008E431B" w:rsidRDefault="008E431B" w:rsidP="008E431B">
      <w:pPr>
        <w:pStyle w:val="ListParagraph"/>
        <w:jc w:val="center"/>
        <w:rPr>
          <w:b/>
          <w:bCs/>
        </w:rPr>
      </w:pPr>
      <w:r w:rsidRPr="002A7488">
        <w:rPr>
          <w:b/>
          <w:bCs/>
        </w:rPr>
        <w:lastRenderedPageBreak/>
        <w:t>A</w:t>
      </w:r>
      <w:r>
        <w:rPr>
          <w:b/>
          <w:bCs/>
        </w:rPr>
        <w:t>TTACHMENT</w:t>
      </w:r>
      <w:r w:rsidRPr="002A7488">
        <w:rPr>
          <w:b/>
          <w:bCs/>
        </w:rPr>
        <w:t xml:space="preserve"> A </w:t>
      </w:r>
    </w:p>
    <w:p w14:paraId="79ECFD76" w14:textId="7664A06E" w:rsidR="00DA12E1" w:rsidRDefault="008E431B" w:rsidP="002A7488">
      <w:pPr>
        <w:pStyle w:val="ListParagraph"/>
        <w:jc w:val="center"/>
        <w:rPr>
          <w:b/>
          <w:bCs/>
        </w:rPr>
      </w:pPr>
      <w:r w:rsidRPr="002A7488">
        <w:rPr>
          <w:b/>
          <w:bCs/>
        </w:rPr>
        <w:t>603 CMR 4.03(6)(a)</w:t>
      </w:r>
      <w:r>
        <w:rPr>
          <w:b/>
          <w:bCs/>
        </w:rPr>
        <w:t xml:space="preserve"> – Current MA Regulation on Vocational Admissions </w:t>
      </w:r>
    </w:p>
    <w:p w14:paraId="619A8AB7" w14:textId="00C88818" w:rsidR="008E431B" w:rsidRDefault="008E431B" w:rsidP="23029D37">
      <w:pPr>
        <w:pStyle w:val="ListParagraph"/>
        <w:rPr>
          <w:b/>
          <w:bCs/>
        </w:rPr>
      </w:pPr>
    </w:p>
    <w:p w14:paraId="71407EB0" w14:textId="77777777" w:rsidR="008E431B" w:rsidRPr="002A7488" w:rsidRDefault="008E431B" w:rsidP="008E431B">
      <w:pPr>
        <w:widowControl/>
        <w:suppressAutoHyphens w:val="0"/>
        <w:autoSpaceDN/>
        <w:spacing w:after="150"/>
        <w:textAlignment w:val="auto"/>
        <w:rPr>
          <w:color w:val="333333"/>
          <w:szCs w:val="24"/>
        </w:rPr>
      </w:pPr>
      <w:r w:rsidRPr="002A7488">
        <w:rPr>
          <w:color w:val="333333"/>
          <w:szCs w:val="24"/>
        </w:rPr>
        <w:t>(6) </w:t>
      </w:r>
      <w:r w:rsidRPr="002A7488">
        <w:rPr>
          <w:b/>
          <w:bCs/>
          <w:color w:val="333333"/>
          <w:szCs w:val="24"/>
        </w:rPr>
        <w:t>Admission of Students</w:t>
      </w:r>
    </w:p>
    <w:p w14:paraId="52491DBF" w14:textId="4770F44A" w:rsidR="008E431B" w:rsidRPr="002A7488" w:rsidRDefault="008E431B" w:rsidP="720BBD35">
      <w:pPr>
        <w:widowControl/>
        <w:suppressAutoHyphens w:val="0"/>
        <w:autoSpaceDN/>
        <w:spacing w:after="150"/>
        <w:ind w:left="720"/>
        <w:textAlignment w:val="auto"/>
        <w:rPr>
          <w:color w:val="333333"/>
        </w:rPr>
      </w:pPr>
      <w:r w:rsidRPr="720BBD35">
        <w:rPr>
          <w:color w:val="333333"/>
        </w:rPr>
        <w:t>(a) Each vocational technical school and comprehensive school which is selective in terms of admission to its secondary vocational technical programs shall develop and implement an admission policy that is consistent with the Department</w:t>
      </w:r>
      <w:r w:rsidR="2C17E4E1" w:rsidRPr="720BBD35">
        <w:rPr>
          <w:color w:val="333333"/>
        </w:rPr>
        <w:t>’</w:t>
      </w:r>
      <w:r w:rsidRPr="720BBD35">
        <w:rPr>
          <w:color w:val="333333"/>
        </w:rPr>
        <w:t xml:space="preserve">s </w:t>
      </w:r>
      <w:r w:rsidR="09BE4CAB" w:rsidRPr="720BBD35">
        <w:rPr>
          <w:color w:val="333333"/>
        </w:rPr>
        <w:t>“</w:t>
      </w:r>
      <w:r w:rsidRPr="720BBD35">
        <w:rPr>
          <w:i/>
          <w:iCs/>
          <w:color w:val="333333"/>
        </w:rPr>
        <w:t>Guidelines for Admission Policies of Vocational Technical Secondary Schools and Comprehensive Secondary Schools</w:t>
      </w:r>
      <w:r w:rsidR="136481C1" w:rsidRPr="720BBD35">
        <w:rPr>
          <w:i/>
          <w:iCs/>
          <w:color w:val="333333"/>
        </w:rPr>
        <w:t>”</w:t>
      </w:r>
      <w:r w:rsidRPr="720BBD35">
        <w:rPr>
          <w:color w:val="333333"/>
        </w:rPr>
        <w:t xml:space="preserve"> that are incorporated into 603 CMR 4.00 by reference. The policy must be approved by the Department prior to implementation. The policy shall be published in the Program of Studies and a copy shall be provided to each student applicant and their parent/guardian. The policy must include the following:</w:t>
      </w:r>
    </w:p>
    <w:p w14:paraId="5A07134F" w14:textId="77777777" w:rsidR="008E431B" w:rsidRPr="002A7488" w:rsidRDefault="008E431B" w:rsidP="008E431B">
      <w:pPr>
        <w:widowControl/>
        <w:numPr>
          <w:ilvl w:val="0"/>
          <w:numId w:val="3"/>
        </w:numPr>
        <w:suppressAutoHyphens w:val="0"/>
        <w:autoSpaceDN/>
        <w:spacing w:after="150"/>
        <w:ind w:left="1440"/>
        <w:textAlignment w:val="auto"/>
        <w:rPr>
          <w:color w:val="333333"/>
          <w:szCs w:val="24"/>
        </w:rPr>
      </w:pPr>
      <w:r w:rsidRPr="002A7488">
        <w:rPr>
          <w:color w:val="333333"/>
          <w:szCs w:val="24"/>
        </w:rPr>
        <w:t xml:space="preserve">The criteria to be used in selecting students and the process for application and admission to the school. Each selective vocational technical secondary school in Massachusetts shall use a combination of selection criteria to determine which applicants have an ability to benefit, and therefore be admitted to the school unless the school opts to use first come-first served or a lottery for admissions. The criteria used shall include academic grades, attendance record, discipline/conduct record, recommendations from the sending-school school counselor, and may include a student interview, provided however, that no one criterion exceeds 50% of the total. Resident students who meet the minimum requirements for admission shall be admitted prior to acceptance of any non-resident students seeking the same course of study. Schools shall condition admission on a student having been promoted to the grade that they have been admitted </w:t>
      </w:r>
      <w:proofErr w:type="gramStart"/>
      <w:r w:rsidRPr="002A7488">
        <w:rPr>
          <w:color w:val="333333"/>
          <w:szCs w:val="24"/>
        </w:rPr>
        <w:t>to enter</w:t>
      </w:r>
      <w:proofErr w:type="gramEnd"/>
      <w:r w:rsidRPr="002A7488">
        <w:rPr>
          <w:color w:val="333333"/>
          <w:szCs w:val="24"/>
        </w:rPr>
        <w:t>. Schools may condition admission on a student having passed courses in English Language Arts or its equivalent and mathematics for the school year immediately preceding their enrollment in a selective vocational technical school or program;</w:t>
      </w:r>
    </w:p>
    <w:p w14:paraId="5C7C9F41" w14:textId="77777777" w:rsidR="008E431B" w:rsidRPr="002A7488" w:rsidRDefault="008E431B" w:rsidP="008E431B">
      <w:pPr>
        <w:widowControl/>
        <w:numPr>
          <w:ilvl w:val="0"/>
          <w:numId w:val="3"/>
        </w:numPr>
        <w:suppressAutoHyphens w:val="0"/>
        <w:autoSpaceDN/>
        <w:spacing w:after="150"/>
        <w:ind w:left="1440"/>
        <w:textAlignment w:val="auto"/>
        <w:rPr>
          <w:color w:val="333333"/>
          <w:szCs w:val="24"/>
        </w:rPr>
      </w:pPr>
      <w:r w:rsidRPr="002A7488">
        <w:rPr>
          <w:color w:val="333333"/>
          <w:szCs w:val="24"/>
        </w:rPr>
        <w:t>A description of the Exploratory Program;</w:t>
      </w:r>
    </w:p>
    <w:p w14:paraId="33F66D7C" w14:textId="77777777" w:rsidR="008E431B" w:rsidRPr="002A7488" w:rsidRDefault="008E431B" w:rsidP="008E431B">
      <w:pPr>
        <w:widowControl/>
        <w:numPr>
          <w:ilvl w:val="0"/>
          <w:numId w:val="3"/>
        </w:numPr>
        <w:suppressAutoHyphens w:val="0"/>
        <w:autoSpaceDN/>
        <w:spacing w:after="150"/>
        <w:ind w:left="1440"/>
        <w:textAlignment w:val="auto"/>
        <w:rPr>
          <w:color w:val="333333"/>
          <w:szCs w:val="24"/>
        </w:rPr>
      </w:pPr>
      <w:r w:rsidRPr="002A7488">
        <w:rPr>
          <w:color w:val="333333"/>
          <w:szCs w:val="24"/>
        </w:rPr>
        <w:t>The criteria and process to be used in selecting students for admission to particular vocational technical education programs commonly referred to as vocational technical majors within the selective vocational technical secondary school or comprehensive secondary school; and</w:t>
      </w:r>
    </w:p>
    <w:p w14:paraId="0FD304F8" w14:textId="77777777" w:rsidR="008E431B" w:rsidRPr="002A7488" w:rsidRDefault="008E431B" w:rsidP="008E431B">
      <w:pPr>
        <w:widowControl/>
        <w:numPr>
          <w:ilvl w:val="0"/>
          <w:numId w:val="3"/>
        </w:numPr>
        <w:suppressAutoHyphens w:val="0"/>
        <w:autoSpaceDN/>
        <w:spacing w:after="150"/>
        <w:ind w:left="1440"/>
        <w:textAlignment w:val="auto"/>
        <w:rPr>
          <w:color w:val="333333"/>
          <w:szCs w:val="24"/>
        </w:rPr>
      </w:pPr>
      <w:r w:rsidRPr="002A7488">
        <w:rPr>
          <w:b/>
          <w:bCs/>
          <w:color w:val="333333"/>
          <w:szCs w:val="24"/>
        </w:rPr>
        <w:t>A Review Process and an Appeal Process.</w:t>
      </w:r>
      <w:r w:rsidRPr="002A7488">
        <w:rPr>
          <w:color w:val="333333"/>
          <w:szCs w:val="24"/>
        </w:rPr>
        <w:t> A process at the school district level for students and parents/guardians to review and appeal the decision to deny the student admission to the school or program shall be included. The district shall maintain documentation as to the specific admission requirements that were not met, and must provide such documentation to the Department or to the student's parent/guardian upon request.</w:t>
      </w:r>
    </w:p>
    <w:p w14:paraId="2819ACA1" w14:textId="77777777" w:rsidR="008E431B" w:rsidRPr="008E431B" w:rsidRDefault="008E431B" w:rsidP="23029D37">
      <w:pPr>
        <w:pStyle w:val="ListParagraph"/>
      </w:pPr>
    </w:p>
    <w:p w14:paraId="53D0C3AF" w14:textId="0AEFE360" w:rsidR="008E431B" w:rsidRDefault="008E431B" w:rsidP="23029D37">
      <w:pPr>
        <w:pStyle w:val="ListParagraph"/>
      </w:pPr>
    </w:p>
    <w:p w14:paraId="2FF28256" w14:textId="77777777" w:rsidR="008E431B" w:rsidRDefault="008E431B" w:rsidP="23029D37">
      <w:pPr>
        <w:pStyle w:val="ListParagraph"/>
      </w:pPr>
    </w:p>
    <w:sectPr w:rsidR="008E431B">
      <w:endnotePr>
        <w:numFmt w:val="decimal"/>
      </w:endnotePr>
      <w:type w:val="continuous"/>
      <w:pgSz w:w="12240" w:h="15840"/>
      <w:pgMar w:top="864" w:right="1440" w:bottom="1440"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B934A" w14:textId="77777777" w:rsidR="00D31771" w:rsidRDefault="00D31771">
      <w:r>
        <w:separator/>
      </w:r>
    </w:p>
  </w:endnote>
  <w:endnote w:type="continuationSeparator" w:id="0">
    <w:p w14:paraId="03AE1749" w14:textId="77777777" w:rsidR="00D31771" w:rsidRDefault="00D31771">
      <w:r>
        <w:continuationSeparator/>
      </w:r>
    </w:p>
  </w:endnote>
  <w:endnote w:type="continuationNotice" w:id="1">
    <w:p w14:paraId="08C8CCC3" w14:textId="77777777" w:rsidR="00D31771" w:rsidRDefault="00D31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B8D8E" w14:textId="77777777" w:rsidR="00B75F51" w:rsidRDefault="00B66011">
    <w:pPr>
      <w:pStyle w:val="Footer"/>
      <w:jc w:val="right"/>
    </w:pPr>
    <w:r>
      <w:fldChar w:fldCharType="begin"/>
    </w:r>
    <w:r>
      <w:instrText xml:space="preserve"> PAGE </w:instrText>
    </w:r>
    <w:r>
      <w:fldChar w:fldCharType="separate"/>
    </w:r>
    <w:r>
      <w:t>2</w:t>
    </w:r>
    <w:r>
      <w:fldChar w:fldCharType="end"/>
    </w:r>
  </w:p>
  <w:p w14:paraId="51CB8D8F" w14:textId="77777777" w:rsidR="00B75F51" w:rsidRDefault="00D31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EF904" w14:textId="2F2DE6C1" w:rsidR="00BB215F" w:rsidRDefault="00BB215F">
    <w:pPr>
      <w:pStyle w:val="Footer"/>
      <w:jc w:val="right"/>
    </w:pPr>
  </w:p>
  <w:p w14:paraId="51CB8D98" w14:textId="77777777" w:rsidR="00B75F51" w:rsidRDefault="00D31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03950" w14:textId="77777777" w:rsidR="00D31771" w:rsidRDefault="00D31771">
      <w:r>
        <w:rPr>
          <w:color w:val="000000"/>
        </w:rPr>
        <w:separator/>
      </w:r>
    </w:p>
  </w:footnote>
  <w:footnote w:type="continuationSeparator" w:id="0">
    <w:p w14:paraId="5AED2252" w14:textId="77777777" w:rsidR="00D31771" w:rsidRDefault="00D31771">
      <w:r>
        <w:continuationSeparator/>
      </w:r>
    </w:p>
  </w:footnote>
  <w:footnote w:type="continuationNotice" w:id="1">
    <w:p w14:paraId="02831E02" w14:textId="77777777" w:rsidR="00D31771" w:rsidRDefault="00D317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67AE"/>
    <w:multiLevelType w:val="multilevel"/>
    <w:tmpl w:val="7E2E3F8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454705D5"/>
    <w:multiLevelType w:val="multilevel"/>
    <w:tmpl w:val="D5083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6172FD"/>
    <w:multiLevelType w:val="multilevel"/>
    <w:tmpl w:val="333E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2E1"/>
    <w:rsid w:val="0001709D"/>
    <w:rsid w:val="00041163"/>
    <w:rsid w:val="00073D30"/>
    <w:rsid w:val="00094CE8"/>
    <w:rsid w:val="000A64A6"/>
    <w:rsid w:val="000C208A"/>
    <w:rsid w:val="000C3ADA"/>
    <w:rsid w:val="000C571E"/>
    <w:rsid w:val="000C7C3C"/>
    <w:rsid w:val="001267C3"/>
    <w:rsid w:val="0014176A"/>
    <w:rsid w:val="0014FD73"/>
    <w:rsid w:val="0016053A"/>
    <w:rsid w:val="00181772"/>
    <w:rsid w:val="00193BCA"/>
    <w:rsid w:val="001B2767"/>
    <w:rsid w:val="001C72BF"/>
    <w:rsid w:val="001E7F2F"/>
    <w:rsid w:val="0020596B"/>
    <w:rsid w:val="002138C6"/>
    <w:rsid w:val="002265E2"/>
    <w:rsid w:val="00252A00"/>
    <w:rsid w:val="00273978"/>
    <w:rsid w:val="002774CC"/>
    <w:rsid w:val="002A337A"/>
    <w:rsid w:val="002A7488"/>
    <w:rsid w:val="002C12C3"/>
    <w:rsid w:val="002D2C09"/>
    <w:rsid w:val="002D458B"/>
    <w:rsid w:val="002D6447"/>
    <w:rsid w:val="002E67C7"/>
    <w:rsid w:val="00301EC7"/>
    <w:rsid w:val="00332B8D"/>
    <w:rsid w:val="0035163A"/>
    <w:rsid w:val="00351927"/>
    <w:rsid w:val="00352DC2"/>
    <w:rsid w:val="00370EFC"/>
    <w:rsid w:val="003E0DCC"/>
    <w:rsid w:val="003E6855"/>
    <w:rsid w:val="003F1FAD"/>
    <w:rsid w:val="00412FA1"/>
    <w:rsid w:val="004221BE"/>
    <w:rsid w:val="00436CE7"/>
    <w:rsid w:val="00442603"/>
    <w:rsid w:val="00443B65"/>
    <w:rsid w:val="00475CB2"/>
    <w:rsid w:val="004771CA"/>
    <w:rsid w:val="004A5ABB"/>
    <w:rsid w:val="004B6FFC"/>
    <w:rsid w:val="004C0272"/>
    <w:rsid w:val="004C0826"/>
    <w:rsid w:val="004C584A"/>
    <w:rsid w:val="004F4B41"/>
    <w:rsid w:val="004F6AEA"/>
    <w:rsid w:val="0050177C"/>
    <w:rsid w:val="00511B16"/>
    <w:rsid w:val="00515755"/>
    <w:rsid w:val="00530CC2"/>
    <w:rsid w:val="00540A44"/>
    <w:rsid w:val="00564E53"/>
    <w:rsid w:val="005668A4"/>
    <w:rsid w:val="00566CE2"/>
    <w:rsid w:val="00567B14"/>
    <w:rsid w:val="00573E53"/>
    <w:rsid w:val="005A7E3D"/>
    <w:rsid w:val="005B1893"/>
    <w:rsid w:val="00630BCF"/>
    <w:rsid w:val="00650586"/>
    <w:rsid w:val="00687DFB"/>
    <w:rsid w:val="00743A9A"/>
    <w:rsid w:val="007458E9"/>
    <w:rsid w:val="00745CBA"/>
    <w:rsid w:val="0077575B"/>
    <w:rsid w:val="007919B1"/>
    <w:rsid w:val="007A7931"/>
    <w:rsid w:val="007B05FD"/>
    <w:rsid w:val="007B6252"/>
    <w:rsid w:val="007C15DE"/>
    <w:rsid w:val="007D4B50"/>
    <w:rsid w:val="007E62DD"/>
    <w:rsid w:val="007F2984"/>
    <w:rsid w:val="00811997"/>
    <w:rsid w:val="00824651"/>
    <w:rsid w:val="00824CF1"/>
    <w:rsid w:val="00835C78"/>
    <w:rsid w:val="00846E11"/>
    <w:rsid w:val="00875A3B"/>
    <w:rsid w:val="00883A09"/>
    <w:rsid w:val="008A55EF"/>
    <w:rsid w:val="008B4C56"/>
    <w:rsid w:val="008C2E2A"/>
    <w:rsid w:val="008D7BC5"/>
    <w:rsid w:val="008E228F"/>
    <w:rsid w:val="008E431B"/>
    <w:rsid w:val="009242A3"/>
    <w:rsid w:val="00941FC8"/>
    <w:rsid w:val="009533D5"/>
    <w:rsid w:val="0098456E"/>
    <w:rsid w:val="009B0285"/>
    <w:rsid w:val="009C48CA"/>
    <w:rsid w:val="009D175C"/>
    <w:rsid w:val="00A03DD7"/>
    <w:rsid w:val="00A07A09"/>
    <w:rsid w:val="00A62FB7"/>
    <w:rsid w:val="00A81CE7"/>
    <w:rsid w:val="00AA1894"/>
    <w:rsid w:val="00AB1A9D"/>
    <w:rsid w:val="00AB3C00"/>
    <w:rsid w:val="00AB5158"/>
    <w:rsid w:val="00AC5798"/>
    <w:rsid w:val="00AC5856"/>
    <w:rsid w:val="00AD20C7"/>
    <w:rsid w:val="00AE227D"/>
    <w:rsid w:val="00AE648F"/>
    <w:rsid w:val="00B03DE2"/>
    <w:rsid w:val="00B52786"/>
    <w:rsid w:val="00B54796"/>
    <w:rsid w:val="00B66011"/>
    <w:rsid w:val="00BA3249"/>
    <w:rsid w:val="00BB215F"/>
    <w:rsid w:val="00BC22F6"/>
    <w:rsid w:val="00BC59D5"/>
    <w:rsid w:val="00BD6EC2"/>
    <w:rsid w:val="00BE2D45"/>
    <w:rsid w:val="00BF7197"/>
    <w:rsid w:val="00C14B66"/>
    <w:rsid w:val="00C23C71"/>
    <w:rsid w:val="00C51678"/>
    <w:rsid w:val="00C520B2"/>
    <w:rsid w:val="00C6005A"/>
    <w:rsid w:val="00C627DE"/>
    <w:rsid w:val="00C63C4B"/>
    <w:rsid w:val="00C7260A"/>
    <w:rsid w:val="00CD7988"/>
    <w:rsid w:val="00CE6AEB"/>
    <w:rsid w:val="00D01E97"/>
    <w:rsid w:val="00D05360"/>
    <w:rsid w:val="00D069F9"/>
    <w:rsid w:val="00D31771"/>
    <w:rsid w:val="00D45D56"/>
    <w:rsid w:val="00D67D3B"/>
    <w:rsid w:val="00D82CB9"/>
    <w:rsid w:val="00DA12E1"/>
    <w:rsid w:val="00DB5C93"/>
    <w:rsid w:val="00DB5F56"/>
    <w:rsid w:val="00DE4A49"/>
    <w:rsid w:val="00DF0F5D"/>
    <w:rsid w:val="00DF2060"/>
    <w:rsid w:val="00E05D6F"/>
    <w:rsid w:val="00E120EC"/>
    <w:rsid w:val="00E225FE"/>
    <w:rsid w:val="00E36712"/>
    <w:rsid w:val="00E52C21"/>
    <w:rsid w:val="00E56F3B"/>
    <w:rsid w:val="00EC2660"/>
    <w:rsid w:val="00EE7CE5"/>
    <w:rsid w:val="00F008BE"/>
    <w:rsid w:val="00F26A1B"/>
    <w:rsid w:val="00F30AF2"/>
    <w:rsid w:val="00F3358F"/>
    <w:rsid w:val="00F4280A"/>
    <w:rsid w:val="00F4663E"/>
    <w:rsid w:val="00F53AFF"/>
    <w:rsid w:val="00F57F05"/>
    <w:rsid w:val="00FA0AEB"/>
    <w:rsid w:val="00FB2E85"/>
    <w:rsid w:val="00FB3AC1"/>
    <w:rsid w:val="00FCD9CB"/>
    <w:rsid w:val="00FD7449"/>
    <w:rsid w:val="02355279"/>
    <w:rsid w:val="0255A099"/>
    <w:rsid w:val="0497F1EB"/>
    <w:rsid w:val="04D8213E"/>
    <w:rsid w:val="0524F608"/>
    <w:rsid w:val="055E6B52"/>
    <w:rsid w:val="05F761B5"/>
    <w:rsid w:val="0698426F"/>
    <w:rsid w:val="06DF3E0D"/>
    <w:rsid w:val="078BC29E"/>
    <w:rsid w:val="0797A8AD"/>
    <w:rsid w:val="08002676"/>
    <w:rsid w:val="08796E66"/>
    <w:rsid w:val="09AE90BC"/>
    <w:rsid w:val="09BE4CAB"/>
    <w:rsid w:val="09FC166A"/>
    <w:rsid w:val="0A153EC7"/>
    <w:rsid w:val="0A4DD4C8"/>
    <w:rsid w:val="0A7A0EB0"/>
    <w:rsid w:val="0A8A6B79"/>
    <w:rsid w:val="0B538ECA"/>
    <w:rsid w:val="0BC30C62"/>
    <w:rsid w:val="0C730756"/>
    <w:rsid w:val="0C7473B2"/>
    <w:rsid w:val="0D5CBD47"/>
    <w:rsid w:val="0DE1474A"/>
    <w:rsid w:val="0E1C365D"/>
    <w:rsid w:val="0EFAAD24"/>
    <w:rsid w:val="0EFE2D34"/>
    <w:rsid w:val="0FAAA818"/>
    <w:rsid w:val="0FB7048D"/>
    <w:rsid w:val="0FBA1C87"/>
    <w:rsid w:val="114757F2"/>
    <w:rsid w:val="120BB601"/>
    <w:rsid w:val="12C48E7D"/>
    <w:rsid w:val="12EC796D"/>
    <w:rsid w:val="1348221D"/>
    <w:rsid w:val="136481C1"/>
    <w:rsid w:val="1388E914"/>
    <w:rsid w:val="14453F73"/>
    <w:rsid w:val="15172117"/>
    <w:rsid w:val="15D50BA6"/>
    <w:rsid w:val="161EC3E9"/>
    <w:rsid w:val="163BC885"/>
    <w:rsid w:val="167450C2"/>
    <w:rsid w:val="168556D5"/>
    <w:rsid w:val="170FC85E"/>
    <w:rsid w:val="177584A8"/>
    <w:rsid w:val="17EF74FA"/>
    <w:rsid w:val="1AED5ABF"/>
    <w:rsid w:val="1BB5F81B"/>
    <w:rsid w:val="1C1C24F8"/>
    <w:rsid w:val="1C2B24CD"/>
    <w:rsid w:val="1C66B477"/>
    <w:rsid w:val="1C83E86F"/>
    <w:rsid w:val="1C8A0A99"/>
    <w:rsid w:val="1D4356A7"/>
    <w:rsid w:val="1D51C87C"/>
    <w:rsid w:val="1DC6F52E"/>
    <w:rsid w:val="1E33BC58"/>
    <w:rsid w:val="1E652FA6"/>
    <w:rsid w:val="1EA9E620"/>
    <w:rsid w:val="1F2F694D"/>
    <w:rsid w:val="1FB39B6F"/>
    <w:rsid w:val="2055CE5F"/>
    <w:rsid w:val="208E2235"/>
    <w:rsid w:val="20F148C7"/>
    <w:rsid w:val="2239B7C8"/>
    <w:rsid w:val="22513EAF"/>
    <w:rsid w:val="22669597"/>
    <w:rsid w:val="22B38EAE"/>
    <w:rsid w:val="23029D37"/>
    <w:rsid w:val="240773C3"/>
    <w:rsid w:val="241D81B8"/>
    <w:rsid w:val="24989912"/>
    <w:rsid w:val="258EF6F5"/>
    <w:rsid w:val="25D20713"/>
    <w:rsid w:val="265F4EF0"/>
    <w:rsid w:val="27BCE5FD"/>
    <w:rsid w:val="27DB9ACD"/>
    <w:rsid w:val="27F45DED"/>
    <w:rsid w:val="28EC5193"/>
    <w:rsid w:val="293B05F9"/>
    <w:rsid w:val="2954779F"/>
    <w:rsid w:val="29CBA257"/>
    <w:rsid w:val="2A430111"/>
    <w:rsid w:val="2A51BD2D"/>
    <w:rsid w:val="2AF486BF"/>
    <w:rsid w:val="2C17E4E1"/>
    <w:rsid w:val="2D14C20D"/>
    <w:rsid w:val="2D40125A"/>
    <w:rsid w:val="2D92901B"/>
    <w:rsid w:val="2E44A863"/>
    <w:rsid w:val="2E639F71"/>
    <w:rsid w:val="2ED8445B"/>
    <w:rsid w:val="2FF29BE2"/>
    <w:rsid w:val="31896E6A"/>
    <w:rsid w:val="32EDE9C2"/>
    <w:rsid w:val="33371094"/>
    <w:rsid w:val="34544802"/>
    <w:rsid w:val="346BA88C"/>
    <w:rsid w:val="34A3568B"/>
    <w:rsid w:val="34BA6120"/>
    <w:rsid w:val="36285181"/>
    <w:rsid w:val="367F9969"/>
    <w:rsid w:val="383E87FF"/>
    <w:rsid w:val="38D3BFB7"/>
    <w:rsid w:val="39023FBE"/>
    <w:rsid w:val="3927B925"/>
    <w:rsid w:val="39853983"/>
    <w:rsid w:val="399E61E0"/>
    <w:rsid w:val="3A165536"/>
    <w:rsid w:val="3A629D1B"/>
    <w:rsid w:val="3AF851EB"/>
    <w:rsid w:val="3B12980F"/>
    <w:rsid w:val="3B411AC7"/>
    <w:rsid w:val="3B836A43"/>
    <w:rsid w:val="3BDB148C"/>
    <w:rsid w:val="3CAD8C9A"/>
    <w:rsid w:val="3DABE9B8"/>
    <w:rsid w:val="3EB623F9"/>
    <w:rsid w:val="3F448013"/>
    <w:rsid w:val="40D07B0B"/>
    <w:rsid w:val="40FD9533"/>
    <w:rsid w:val="41A3281B"/>
    <w:rsid w:val="42015259"/>
    <w:rsid w:val="4276C745"/>
    <w:rsid w:val="43C4DA33"/>
    <w:rsid w:val="44765F4E"/>
    <w:rsid w:val="454DD613"/>
    <w:rsid w:val="4584233E"/>
    <w:rsid w:val="45A3EC2E"/>
    <w:rsid w:val="45C4EB9E"/>
    <w:rsid w:val="45CFBD8E"/>
    <w:rsid w:val="45FE0A5C"/>
    <w:rsid w:val="477D2E68"/>
    <w:rsid w:val="48D80020"/>
    <w:rsid w:val="48FB4017"/>
    <w:rsid w:val="4B74C09A"/>
    <w:rsid w:val="4BE5950B"/>
    <w:rsid w:val="4C089A4B"/>
    <w:rsid w:val="4C59A31D"/>
    <w:rsid w:val="4C90EE4F"/>
    <w:rsid w:val="4D3CA853"/>
    <w:rsid w:val="4DA7E2F5"/>
    <w:rsid w:val="4DAEFE13"/>
    <w:rsid w:val="4E94E8A0"/>
    <w:rsid w:val="4F1F9912"/>
    <w:rsid w:val="501D7B84"/>
    <w:rsid w:val="502D9EDE"/>
    <w:rsid w:val="51CE6D9B"/>
    <w:rsid w:val="51D6D4F8"/>
    <w:rsid w:val="527297F3"/>
    <w:rsid w:val="53362D6D"/>
    <w:rsid w:val="53776E7F"/>
    <w:rsid w:val="5395E550"/>
    <w:rsid w:val="53EE3259"/>
    <w:rsid w:val="541CDA29"/>
    <w:rsid w:val="54A2262D"/>
    <w:rsid w:val="54DC1BE9"/>
    <w:rsid w:val="55B8AA8A"/>
    <w:rsid w:val="55CFCD9A"/>
    <w:rsid w:val="55DDE78F"/>
    <w:rsid w:val="560F806F"/>
    <w:rsid w:val="56262034"/>
    <w:rsid w:val="568CBD08"/>
    <w:rsid w:val="58E4E508"/>
    <w:rsid w:val="58F04B4C"/>
    <w:rsid w:val="59AB9077"/>
    <w:rsid w:val="59C950B8"/>
    <w:rsid w:val="59DF8383"/>
    <w:rsid w:val="5A65B7C3"/>
    <w:rsid w:val="5BE42F0B"/>
    <w:rsid w:val="5C26AB9B"/>
    <w:rsid w:val="5C5D1062"/>
    <w:rsid w:val="5CAE1A96"/>
    <w:rsid w:val="5D03EC12"/>
    <w:rsid w:val="5D57877C"/>
    <w:rsid w:val="5D65C1EF"/>
    <w:rsid w:val="5E3601F4"/>
    <w:rsid w:val="5E5880A0"/>
    <w:rsid w:val="5E9175F9"/>
    <w:rsid w:val="5F14D601"/>
    <w:rsid w:val="5FCF59DF"/>
    <w:rsid w:val="5FE36935"/>
    <w:rsid w:val="60E02A1F"/>
    <w:rsid w:val="60E8109D"/>
    <w:rsid w:val="61D75D35"/>
    <w:rsid w:val="61F85CA5"/>
    <w:rsid w:val="6214CF0E"/>
    <w:rsid w:val="621DA5A8"/>
    <w:rsid w:val="62803BD7"/>
    <w:rsid w:val="6285B2F4"/>
    <w:rsid w:val="62879EC6"/>
    <w:rsid w:val="63058200"/>
    <w:rsid w:val="63942D06"/>
    <w:rsid w:val="63EFD119"/>
    <w:rsid w:val="63F8B70C"/>
    <w:rsid w:val="642CABC8"/>
    <w:rsid w:val="6444FB2D"/>
    <w:rsid w:val="6576B21C"/>
    <w:rsid w:val="65785F89"/>
    <w:rsid w:val="65BBB79D"/>
    <w:rsid w:val="65FE5BCE"/>
    <w:rsid w:val="6675CE20"/>
    <w:rsid w:val="66BC7449"/>
    <w:rsid w:val="66EDDF0A"/>
    <w:rsid w:val="6700E918"/>
    <w:rsid w:val="673C83FF"/>
    <w:rsid w:val="674494DB"/>
    <w:rsid w:val="674C82D2"/>
    <w:rsid w:val="6768AAAA"/>
    <w:rsid w:val="676C573E"/>
    <w:rsid w:val="67848975"/>
    <w:rsid w:val="679350D7"/>
    <w:rsid w:val="68A4CB2B"/>
    <w:rsid w:val="69047B0B"/>
    <w:rsid w:val="6906B8EE"/>
    <w:rsid w:val="692059D6"/>
    <w:rsid w:val="69CC8148"/>
    <w:rsid w:val="6A0C2F43"/>
    <w:rsid w:val="6B17744E"/>
    <w:rsid w:val="6B6C65CF"/>
    <w:rsid w:val="6C45FD5E"/>
    <w:rsid w:val="6CD502C2"/>
    <w:rsid w:val="6D808ABB"/>
    <w:rsid w:val="6DCCE100"/>
    <w:rsid w:val="6E56FA71"/>
    <w:rsid w:val="6EA55669"/>
    <w:rsid w:val="6F73BC8F"/>
    <w:rsid w:val="6FA24C3B"/>
    <w:rsid w:val="6FD45E8C"/>
    <w:rsid w:val="6FF2CAD2"/>
    <w:rsid w:val="7041D95B"/>
    <w:rsid w:val="7079514B"/>
    <w:rsid w:val="71225109"/>
    <w:rsid w:val="712AFD2F"/>
    <w:rsid w:val="7141E6C1"/>
    <w:rsid w:val="715B8C06"/>
    <w:rsid w:val="720BBD35"/>
    <w:rsid w:val="7255504F"/>
    <w:rsid w:val="72E38E47"/>
    <w:rsid w:val="72FE8409"/>
    <w:rsid w:val="73054C6B"/>
    <w:rsid w:val="750BF964"/>
    <w:rsid w:val="7513E6EA"/>
    <w:rsid w:val="752E6ACA"/>
    <w:rsid w:val="75683694"/>
    <w:rsid w:val="758E5BB1"/>
    <w:rsid w:val="75E5B481"/>
    <w:rsid w:val="76710877"/>
    <w:rsid w:val="768B74F6"/>
    <w:rsid w:val="77AFA44B"/>
    <w:rsid w:val="78846330"/>
    <w:rsid w:val="789AD3C1"/>
    <w:rsid w:val="791D5543"/>
    <w:rsid w:val="79772421"/>
    <w:rsid w:val="797F5219"/>
    <w:rsid w:val="7A204A5E"/>
    <w:rsid w:val="7A8A3CC7"/>
    <w:rsid w:val="7AACEE8E"/>
    <w:rsid w:val="7BBC03F2"/>
    <w:rsid w:val="7C8630C8"/>
    <w:rsid w:val="7D3EABF6"/>
    <w:rsid w:val="7E750BC1"/>
    <w:rsid w:val="7E7F1C8E"/>
    <w:rsid w:val="7E81DBE5"/>
    <w:rsid w:val="7EB035C9"/>
    <w:rsid w:val="7EB79F52"/>
    <w:rsid w:val="7EC41A4A"/>
    <w:rsid w:val="7F598863"/>
    <w:rsid w:val="7FA840F7"/>
    <w:rsid w:val="7FAFC87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8D7C"/>
  <w15:docId w15:val="{74EF91B7-723A-4CB9-8E38-57E7C9F3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pPr>
      <w:widowControl w:val="0"/>
      <w:suppressAutoHyphens/>
    </w:pPr>
    <w:rPr>
      <w:sz w:val="24"/>
    </w:rPr>
  </w:style>
  <w:style w:type="paragraph" w:styleId="Heading1">
    <w:name w:val="heading 1"/>
    <w:basedOn w:val="Normal"/>
    <w:next w:val="Normal"/>
    <w:uiPriority w:val="9"/>
    <w:qFormat/>
    <w:pPr>
      <w:keepNext/>
      <w:tabs>
        <w:tab w:val="center" w:pos="4680"/>
      </w:tabs>
      <w:jc w:val="center"/>
      <w:outlineLvl w:val="0"/>
    </w:pPr>
    <w:rPr>
      <w:b/>
    </w:rPr>
  </w:style>
  <w:style w:type="paragraph" w:styleId="Heading2">
    <w:name w:val="heading 2"/>
    <w:basedOn w:val="Normal"/>
    <w:next w:val="Normal"/>
    <w:uiPriority w:val="9"/>
    <w:unhideWhenUsed/>
    <w:qFormat/>
    <w:pPr>
      <w:keepNext/>
      <w:ind w:left="720"/>
      <w:jc w:val="right"/>
      <w:outlineLvl w:val="1"/>
    </w:pPr>
    <w:rPr>
      <w:rFonts w:ascii="Arial" w:hAnsi="Arial"/>
      <w:i/>
      <w:sz w:val="18"/>
    </w:rPr>
  </w:style>
  <w:style w:type="paragraph" w:styleId="Heading3">
    <w:name w:val="heading 3"/>
    <w:basedOn w:val="Normal"/>
    <w:next w:val="Normal"/>
    <w:uiPriority w:val="9"/>
    <w:unhideWhenUsed/>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Footer">
    <w:name w:val="footer"/>
    <w:basedOn w:val="Normal"/>
    <w:uiPriority w:val="99"/>
    <w:pPr>
      <w:widowControl/>
      <w:tabs>
        <w:tab w:val="center" w:pos="4320"/>
        <w:tab w:val="right" w:pos="8640"/>
      </w:tabs>
    </w:pPr>
    <w:rPr>
      <w:szCs w:val="24"/>
    </w:rPr>
  </w:style>
  <w:style w:type="character" w:customStyle="1" w:styleId="FooterChar">
    <w:name w:val="Footer Char"/>
    <w:basedOn w:val="DefaultParagraphFont"/>
    <w:uiPriority w:val="99"/>
    <w:rPr>
      <w:sz w:val="24"/>
      <w:szCs w:val="24"/>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sz w:val="24"/>
    </w:rPr>
  </w:style>
  <w:style w:type="character" w:styleId="Hyperlink">
    <w:name w:val="Hyperlink"/>
    <w:basedOn w:val="DefaultParagraphFont"/>
    <w:rPr>
      <w:color w:val="0000FF"/>
      <w:u w:val="single"/>
    </w:rPr>
  </w:style>
  <w:style w:type="paragraph" w:styleId="NoSpacing">
    <w:name w:val="No Spacing"/>
    <w:pPr>
      <w:suppressAutoHyphens/>
    </w:pPr>
    <w:rPr>
      <w:rFonts w:ascii="Calibri" w:eastAsia="Calibri" w:hAnsi="Calibri" w:cs="Arial"/>
      <w:sz w:val="22"/>
      <w:szCs w:val="22"/>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widowControl/>
      <w:ind w:left="720"/>
    </w:pPr>
    <w:rPr>
      <w:rFonts w:eastAsia="Calibri"/>
      <w:szCs w:val="24"/>
    </w:rPr>
  </w:style>
  <w:style w:type="character" w:customStyle="1" w:styleId="ListParagraphChar">
    <w:name w:val="List Paragraph Char"/>
    <w:basedOn w:val="DefaultParagraphFont"/>
    <w:rPr>
      <w:rFonts w:eastAsia="Calibri"/>
      <w:sz w:val="24"/>
      <w:szCs w:val="24"/>
    </w:rPr>
  </w:style>
  <w:style w:type="character" w:styleId="Strong">
    <w:name w:val="Strong"/>
    <w:basedOn w:val="DefaultParagraphFont"/>
    <w:rPr>
      <w:b/>
      <w:bCs/>
    </w:rPr>
  </w:style>
  <w:style w:type="character" w:styleId="Emphasis">
    <w:name w:val="Emphasis"/>
    <w:basedOn w:val="DefaultParagraphFont"/>
    <w:rPr>
      <w:i/>
      <w:iCs/>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styleId="FollowedHyperlink">
    <w:name w:val="FollowedHyperlink"/>
    <w:basedOn w:val="DefaultParagraphFont"/>
    <w:rPr>
      <w:color w:val="800080"/>
      <w:u w:val="single"/>
    </w:rPr>
  </w:style>
  <w:style w:type="paragraph" w:styleId="FootnoteText">
    <w:name w:val="footnote text"/>
    <w:basedOn w:val="Normal"/>
    <w:rPr>
      <w:sz w:val="20"/>
    </w:rPr>
  </w:style>
  <w:style w:type="character" w:customStyle="1" w:styleId="FootnoteTextChar">
    <w:name w:val="Footnote Text Char"/>
    <w:basedOn w:val="DefaultParagraphFont"/>
  </w:style>
  <w:style w:type="paragraph" w:styleId="NormalWeb">
    <w:name w:val="Normal (Web)"/>
    <w:basedOn w:val="Normal"/>
    <w:uiPriority w:val="99"/>
    <w:pPr>
      <w:widowControl/>
      <w:spacing w:before="100" w:after="100"/>
    </w:pPr>
    <w:rPr>
      <w:szCs w:val="24"/>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apple-converted-space">
    <w:name w:val="apple-converted-space"/>
    <w:basedOn w:val="DefaultParagraphFont"/>
    <w:rsid w:val="008E4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392747">
      <w:bodyDiv w:val="1"/>
      <w:marLeft w:val="0"/>
      <w:marRight w:val="0"/>
      <w:marTop w:val="0"/>
      <w:marBottom w:val="0"/>
      <w:divBdr>
        <w:top w:val="none" w:sz="0" w:space="0" w:color="auto"/>
        <w:left w:val="none" w:sz="0" w:space="0" w:color="auto"/>
        <w:bottom w:val="none" w:sz="0" w:space="0" w:color="auto"/>
        <w:right w:val="none" w:sz="0" w:space="0" w:color="auto"/>
      </w:divBdr>
    </w:div>
    <w:div w:id="2098748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cte/cvt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DESE-231-68377</_dlc_DocId>
    <_dlc_DocIdUrl xmlns="733efe1c-5bbe-4968-87dc-d400e65c879f">
      <Url>https://sharepoint.doemass.org/ese/webteam/cps/_layouts/DocIdRedir.aspx?ID=DESE-231-68377</Url>
      <Description>DESE-231-68377</Description>
    </_dlc_DocIdUrl>
  </documentManagement>
</p:properties>
</file>

<file path=customXml/itemProps1.xml><?xml version="1.0" encoding="utf-8"?>
<ds:datastoreItem xmlns:ds="http://schemas.openxmlformats.org/officeDocument/2006/customXml" ds:itemID="{353F259C-7309-440B-A390-78BA830074C2}">
  <ds:schemaRefs>
    <ds:schemaRef ds:uri="http://schemas.microsoft.com/sharepoint/v3/contenttype/forms"/>
  </ds:schemaRefs>
</ds:datastoreItem>
</file>

<file path=customXml/itemProps2.xml><?xml version="1.0" encoding="utf-8"?>
<ds:datastoreItem xmlns:ds="http://schemas.openxmlformats.org/officeDocument/2006/customXml" ds:itemID="{F9D19F70-D520-4837-A33D-41B74D69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71EE06-B29B-4C5B-BA3C-A531443FA660}">
  <ds:schemaRefs>
    <ds:schemaRef ds:uri="http://schemas.microsoft.com/sharepoint/events"/>
  </ds:schemaRefs>
</ds:datastoreItem>
</file>

<file path=customXml/itemProps4.xml><?xml version="1.0" encoding="utf-8"?>
<ds:datastoreItem xmlns:ds="http://schemas.openxmlformats.org/officeDocument/2006/customXml" ds:itemID="{6D383884-D7A6-4915-B24D-3819A54F221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BESE February 2021 Special Meeting Memo CVTE Update,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2021 Special Meeting Memo CVTE Update, February 12, 2021</dc:title>
  <dc:creator>DESE</dc:creator>
  <cp:lastModifiedBy>Zou, Dong (EOE)</cp:lastModifiedBy>
  <cp:revision>5</cp:revision>
  <cp:lastPrinted>2008-03-05T18:17:00Z</cp:lastPrinted>
  <dcterms:created xsi:type="dcterms:W3CDTF">2021-02-12T22:29:00Z</dcterms:created>
  <dcterms:modified xsi:type="dcterms:W3CDTF">2021-02-16T20:36:00Z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16 2021</vt:lpwstr>
  </property>
</Properties>
</file>