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A73A6"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351BFFF3" wp14:editId="4993719B">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25E299BB">
        <w:rPr>
          <w:rFonts w:ascii="Arial" w:hAnsi="Arial"/>
          <w:b/>
          <w:bCs/>
          <w:i/>
          <w:iCs/>
          <w:sz w:val="40"/>
          <w:szCs w:val="40"/>
        </w:rPr>
        <w:t>Massachusetts Department of</w:t>
      </w:r>
    </w:p>
    <w:p w14:paraId="54234D5E"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695BF37A"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6847FE5B" wp14:editId="387A21D3">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3D067"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0798717B"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7E462D35" w14:textId="77777777" w:rsidR="00A20194" w:rsidRPr="00C974A6" w:rsidRDefault="00A20194">
      <w:pPr>
        <w:ind w:left="720"/>
        <w:rPr>
          <w:rFonts w:ascii="Arial" w:hAnsi="Arial"/>
          <w:i/>
          <w:sz w:val="16"/>
          <w:szCs w:val="16"/>
        </w:rPr>
      </w:pPr>
    </w:p>
    <w:p w14:paraId="65414CED"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153117E9"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33306F3C" w14:textId="77777777">
        <w:tc>
          <w:tcPr>
            <w:tcW w:w="2988" w:type="dxa"/>
          </w:tcPr>
          <w:p w14:paraId="176F0A22"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19E46E94"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6B72EE64" w14:textId="77777777" w:rsidR="00C974A6" w:rsidRPr="00C974A6" w:rsidRDefault="00C974A6" w:rsidP="00C974A6">
            <w:pPr>
              <w:jc w:val="center"/>
              <w:rPr>
                <w:rFonts w:ascii="Arial" w:hAnsi="Arial"/>
                <w:i/>
                <w:sz w:val="16"/>
                <w:szCs w:val="16"/>
              </w:rPr>
            </w:pPr>
          </w:p>
        </w:tc>
      </w:tr>
    </w:tbl>
    <w:p w14:paraId="642822D7" w14:textId="77777777" w:rsidR="00A20194" w:rsidRDefault="00A20194">
      <w:pPr>
        <w:rPr>
          <w:rFonts w:ascii="Arial" w:hAnsi="Arial"/>
          <w:i/>
          <w:sz w:val="18"/>
        </w:rPr>
      </w:pPr>
    </w:p>
    <w:p w14:paraId="72CD8E55"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52DA5939" w14:textId="77777777" w:rsidR="0059178C" w:rsidRDefault="0059178C" w:rsidP="0059178C">
      <w:pPr>
        <w:pStyle w:val="Heading1"/>
        <w:tabs>
          <w:tab w:val="clear" w:pos="4680"/>
        </w:tabs>
      </w:pPr>
      <w:r>
        <w:t>MEMORANDUM</w:t>
      </w:r>
    </w:p>
    <w:p w14:paraId="1D9DD3C6" w14:textId="77777777" w:rsidR="0059178C" w:rsidRDefault="0059178C" w:rsidP="0059178C">
      <w:pPr>
        <w:pStyle w:val="Footer"/>
        <w:widowControl w:val="0"/>
        <w:tabs>
          <w:tab w:val="clear" w:pos="4320"/>
          <w:tab w:val="clear" w:pos="8640"/>
        </w:tabs>
        <w:rPr>
          <w:snapToGrid w:val="0"/>
          <w:szCs w:val="20"/>
        </w:rPr>
      </w:pPr>
    </w:p>
    <w:p w14:paraId="4AD21444" w14:textId="77777777" w:rsidR="0059178C" w:rsidRDefault="0059178C" w:rsidP="0059178C">
      <w:pPr>
        <w:pStyle w:val="Footer"/>
        <w:widowControl w:val="0"/>
        <w:tabs>
          <w:tab w:val="clear" w:pos="4320"/>
          <w:tab w:val="clear" w:pos="8640"/>
        </w:tabs>
        <w:rPr>
          <w:snapToGrid w:val="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4"/>
        <w:gridCol w:w="8176"/>
      </w:tblGrid>
      <w:tr w:rsidR="0059178C" w14:paraId="6B26914A" w14:textId="77777777" w:rsidTr="00195B56">
        <w:tc>
          <w:tcPr>
            <w:tcW w:w="1188" w:type="dxa"/>
          </w:tcPr>
          <w:p w14:paraId="78605D86" w14:textId="77777777" w:rsidR="0059178C" w:rsidRDefault="0059178C" w:rsidP="00492C87">
            <w:pPr>
              <w:rPr>
                <w:b/>
              </w:rPr>
            </w:pPr>
            <w:r>
              <w:rPr>
                <w:b/>
              </w:rPr>
              <w:t>To:</w:t>
            </w:r>
          </w:p>
        </w:tc>
        <w:tc>
          <w:tcPr>
            <w:tcW w:w="8388" w:type="dxa"/>
          </w:tcPr>
          <w:p w14:paraId="23F0E24E" w14:textId="77777777" w:rsidR="0059178C" w:rsidRDefault="0059178C" w:rsidP="00492C87">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4C2F651F" w14:textId="77777777" w:rsidTr="00195B56">
        <w:tc>
          <w:tcPr>
            <w:tcW w:w="1188" w:type="dxa"/>
          </w:tcPr>
          <w:p w14:paraId="41A0C49C" w14:textId="77777777" w:rsidR="0059178C" w:rsidRDefault="0059178C" w:rsidP="00492C87">
            <w:pPr>
              <w:rPr>
                <w:b/>
              </w:rPr>
            </w:pPr>
            <w:r>
              <w:rPr>
                <w:b/>
              </w:rPr>
              <w:t>From:</w:t>
            </w:r>
            <w:r>
              <w:tab/>
            </w:r>
          </w:p>
        </w:tc>
        <w:tc>
          <w:tcPr>
            <w:tcW w:w="8388" w:type="dxa"/>
          </w:tcPr>
          <w:p w14:paraId="4FA370E8" w14:textId="77777777" w:rsidR="0059178C" w:rsidRDefault="0059178C" w:rsidP="00492C87">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14332875" w14:textId="77777777" w:rsidTr="00195B56">
        <w:tc>
          <w:tcPr>
            <w:tcW w:w="1188" w:type="dxa"/>
          </w:tcPr>
          <w:p w14:paraId="5147453B" w14:textId="77777777" w:rsidR="0059178C" w:rsidRDefault="0059178C" w:rsidP="00492C87">
            <w:pPr>
              <w:rPr>
                <w:b/>
              </w:rPr>
            </w:pPr>
            <w:r>
              <w:rPr>
                <w:b/>
              </w:rPr>
              <w:t>Date:</w:t>
            </w:r>
            <w:r>
              <w:tab/>
            </w:r>
          </w:p>
        </w:tc>
        <w:tc>
          <w:tcPr>
            <w:tcW w:w="8388" w:type="dxa"/>
          </w:tcPr>
          <w:p w14:paraId="3637C2A6" w14:textId="72F7FD5C" w:rsidR="0059178C" w:rsidRDefault="25149798" w:rsidP="00492C87">
            <w:pPr>
              <w:pStyle w:val="Footer"/>
              <w:widowControl w:val="0"/>
              <w:tabs>
                <w:tab w:val="clear" w:pos="4320"/>
                <w:tab w:val="clear" w:pos="8640"/>
              </w:tabs>
            </w:pPr>
            <w:r w:rsidRPr="0691C94C">
              <w:rPr>
                <w:snapToGrid w:val="0"/>
              </w:rPr>
              <w:t xml:space="preserve">May </w:t>
            </w:r>
            <w:r w:rsidR="00082B07">
              <w:rPr>
                <w:snapToGrid w:val="0"/>
              </w:rPr>
              <w:t>14</w:t>
            </w:r>
            <w:r w:rsidR="00DB7360" w:rsidRPr="0691C94C">
              <w:rPr>
                <w:snapToGrid w:val="0"/>
              </w:rPr>
              <w:t>,</w:t>
            </w:r>
            <w:r w:rsidR="007C6C4B" w:rsidRPr="0691C94C">
              <w:rPr>
                <w:snapToGrid w:val="0"/>
              </w:rPr>
              <w:t xml:space="preserve"> 2021</w:t>
            </w:r>
          </w:p>
        </w:tc>
      </w:tr>
      <w:tr w:rsidR="0059178C" w14:paraId="6FE848B0" w14:textId="77777777" w:rsidTr="00195B56">
        <w:tc>
          <w:tcPr>
            <w:tcW w:w="1188" w:type="dxa"/>
          </w:tcPr>
          <w:p w14:paraId="09A3D54B" w14:textId="77777777" w:rsidR="0059178C" w:rsidRDefault="0059178C" w:rsidP="00492C87">
            <w:pPr>
              <w:rPr>
                <w:b/>
              </w:rPr>
            </w:pPr>
            <w:r>
              <w:rPr>
                <w:b/>
              </w:rPr>
              <w:t>Subject:</w:t>
            </w:r>
          </w:p>
        </w:tc>
        <w:tc>
          <w:tcPr>
            <w:tcW w:w="8388" w:type="dxa"/>
          </w:tcPr>
          <w:p w14:paraId="6D3A47FB" w14:textId="57479794" w:rsidR="0059178C" w:rsidRPr="007C6C4B" w:rsidRDefault="007C6C4B" w:rsidP="007C6C4B">
            <w:pPr>
              <w:pStyle w:val="Footer"/>
              <w:widowControl w:val="0"/>
            </w:pPr>
            <w:r w:rsidRPr="007C6C4B">
              <w:t>Early College Programs and Innovation Pathways</w:t>
            </w:r>
            <w:r w:rsidR="0059178C" w:rsidRPr="007C6C4B">
              <w:rPr>
                <w:snapToGrid w:val="0"/>
                <w:szCs w:val="20"/>
              </w:rPr>
              <w:t xml:space="preserve"> </w:t>
            </w:r>
          </w:p>
        </w:tc>
      </w:tr>
    </w:tbl>
    <w:p w14:paraId="3D398658"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62E3A1ED"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51C7F7A2" w14:textId="77777777" w:rsidR="0059178C" w:rsidRDefault="0059178C" w:rsidP="0059178C">
      <w:pPr>
        <w:rPr>
          <w:sz w:val="16"/>
        </w:rPr>
      </w:pPr>
    </w:p>
    <w:p w14:paraId="7C924DA7" w14:textId="77777777" w:rsidR="007C6C4B" w:rsidRPr="00D56EA4" w:rsidRDefault="007C6C4B" w:rsidP="00D56EA4">
      <w:pPr>
        <w:pStyle w:val="Heading1"/>
        <w:spacing w:after="100" w:afterAutospacing="1"/>
        <w:jc w:val="left"/>
        <w:rPr>
          <w:szCs w:val="24"/>
        </w:rPr>
      </w:pPr>
      <w:r w:rsidRPr="00D56EA4">
        <w:rPr>
          <w:szCs w:val="24"/>
        </w:rPr>
        <w:t>Introduction</w:t>
      </w:r>
    </w:p>
    <w:p w14:paraId="13B9F1F0" w14:textId="69332AD1" w:rsidR="007C6C4B" w:rsidRPr="004F2EED" w:rsidRDefault="007C6C4B" w:rsidP="007C6C4B">
      <w:r>
        <w:t xml:space="preserve">On February 22, 2021, the Board </w:t>
      </w:r>
      <w:r w:rsidR="001132C7">
        <w:t xml:space="preserve">of Elementary and Secondary Education </w:t>
      </w:r>
      <w:r>
        <w:t>had a special meeting to discuss Career/Vocational Technical</w:t>
      </w:r>
      <w:r w:rsidR="001A339B">
        <w:t xml:space="preserve"> Education</w:t>
      </w:r>
      <w:r>
        <w:t xml:space="preserve"> (CVTE) programs. Associate Commissioner Elizabeth Bennett </w:t>
      </w:r>
      <w:r w:rsidR="001A339B">
        <w:t xml:space="preserve">noted </w:t>
      </w:r>
      <w:r>
        <w:t xml:space="preserve">that CVTE pathways are part of the Commonwealth’s </w:t>
      </w:r>
      <w:r w:rsidR="001A339B">
        <w:t xml:space="preserve">broad initiative to </w:t>
      </w:r>
      <w:r>
        <w:t>support high quality college</w:t>
      </w:r>
      <w:r w:rsidR="001A339B">
        <w:t>-</w:t>
      </w:r>
      <w:r>
        <w:t xml:space="preserve"> and career</w:t>
      </w:r>
      <w:r w:rsidR="004F2EED">
        <w:t xml:space="preserve"> pathway </w:t>
      </w:r>
      <w:r>
        <w:t xml:space="preserve">programs. At your </w:t>
      </w:r>
      <w:r w:rsidR="75E4DBB1">
        <w:t>May 25</w:t>
      </w:r>
      <w:r>
        <w:t xml:space="preserve">, 2021 meeting, you will have the opportunity to hear about two </w:t>
      </w:r>
      <w:r w:rsidR="001132C7">
        <w:t>other important components of this initiative</w:t>
      </w:r>
      <w:r>
        <w:t>: Early College and Innovation Pathways</w:t>
      </w:r>
      <w:r w:rsidR="000765D6">
        <w:t>.</w:t>
      </w:r>
      <w:r>
        <w:t xml:space="preserve"> </w:t>
      </w:r>
    </w:p>
    <w:p w14:paraId="737D96A2" w14:textId="77777777" w:rsidR="007C6C4B" w:rsidRPr="004F2EED" w:rsidRDefault="007C6C4B" w:rsidP="007C6C4B">
      <w:pPr>
        <w:rPr>
          <w:b/>
          <w:bCs/>
          <w:szCs w:val="24"/>
        </w:rPr>
      </w:pPr>
    </w:p>
    <w:p w14:paraId="5F8337D0" w14:textId="6702DA4C" w:rsidR="007C6C4B" w:rsidRPr="004F2EED" w:rsidRDefault="007C6C4B" w:rsidP="00D56EA4">
      <w:pPr>
        <w:pStyle w:val="Heading1"/>
        <w:spacing w:after="100" w:afterAutospacing="1"/>
        <w:jc w:val="left"/>
        <w:rPr>
          <w:szCs w:val="24"/>
        </w:rPr>
      </w:pPr>
      <w:r w:rsidRPr="004F2EED">
        <w:rPr>
          <w:szCs w:val="24"/>
        </w:rPr>
        <w:t>High Quality College and Career Pathways</w:t>
      </w:r>
    </w:p>
    <w:p w14:paraId="2EF313E1" w14:textId="3A76B3BA" w:rsidR="000A4B32" w:rsidRDefault="004F2EED" w:rsidP="0691C94C">
      <w:pPr>
        <w:pStyle w:val="NormalWeb"/>
        <w:shd w:val="clear" w:color="auto" w:fill="FFFFFF" w:themeFill="background1"/>
        <w:spacing w:before="0" w:beforeAutospacing="0" w:after="0" w:afterAutospacing="0"/>
        <w:rPr>
          <w:color w:val="333333"/>
        </w:rPr>
      </w:pPr>
      <w:r w:rsidRPr="0691C94C">
        <w:rPr>
          <w:color w:val="333333"/>
        </w:rPr>
        <w:t xml:space="preserve">In 2017, the Commonwealth launched a </w:t>
      </w:r>
      <w:proofErr w:type="gramStart"/>
      <w:r w:rsidRPr="0691C94C">
        <w:rPr>
          <w:color w:val="333333"/>
        </w:rPr>
        <w:t>High Quality</w:t>
      </w:r>
      <w:proofErr w:type="gramEnd"/>
      <w:r w:rsidRPr="0691C94C">
        <w:rPr>
          <w:color w:val="333333"/>
        </w:rPr>
        <w:t xml:space="preserve"> College and Career Pathways initiative to serve as an overarching strategy for significantly expanding student access to high-quality career pathways. In addition to </w:t>
      </w:r>
      <w:hyperlink r:id="rId13">
        <w:r w:rsidRPr="0691C94C">
          <w:rPr>
            <w:rStyle w:val="Hyperlink"/>
            <w:color w:val="0368D4"/>
          </w:rPr>
          <w:t>Chapter 74</w:t>
        </w:r>
      </w:hyperlink>
      <w:r w:rsidRPr="0691C94C">
        <w:rPr>
          <w:color w:val="333333"/>
        </w:rPr>
        <w:t>, CVTE pathways, there are two new types of pathways for this effort: </w:t>
      </w:r>
      <w:r w:rsidRPr="0691C94C">
        <w:rPr>
          <w:b/>
          <w:bCs/>
          <w:color w:val="333333"/>
        </w:rPr>
        <w:t>Early College</w:t>
      </w:r>
      <w:r w:rsidRPr="0691C94C">
        <w:rPr>
          <w:color w:val="333333"/>
        </w:rPr>
        <w:t> and </w:t>
      </w:r>
      <w:r w:rsidRPr="0691C94C">
        <w:rPr>
          <w:b/>
          <w:bCs/>
          <w:color w:val="333333"/>
        </w:rPr>
        <w:t>Innovation Pathways</w:t>
      </w:r>
      <w:r w:rsidRPr="0691C94C">
        <w:rPr>
          <w:color w:val="333333"/>
        </w:rPr>
        <w:t>. While more specific sets of characteristics define each pathway, both are anchored in the five guiding principles defined in</w:t>
      </w:r>
      <w:r w:rsidR="002F6751">
        <w:rPr>
          <w:color w:val="333333"/>
        </w:rPr>
        <w:t xml:space="preserve"> </w:t>
      </w:r>
      <w:r w:rsidRPr="0691C94C">
        <w:rPr>
          <w:color w:val="333333"/>
        </w:rPr>
        <w:t>the </w:t>
      </w:r>
      <w:hyperlink r:id="rId14">
        <w:r w:rsidRPr="0691C94C">
          <w:rPr>
            <w:rStyle w:val="Hyperlink"/>
            <w:color w:val="0368D4"/>
          </w:rPr>
          <w:t>Massachusetts Early College Designation — Preliminary Outline of Key Elements</w:t>
        </w:r>
      </w:hyperlink>
      <w:r w:rsidRPr="0691C94C">
        <w:rPr>
          <w:color w:val="333333"/>
        </w:rPr>
        <w:t xml:space="preserve">: equitable access, guided academic pathways, enhanced student support, connection to career, and effective partnerships. </w:t>
      </w:r>
    </w:p>
    <w:p w14:paraId="60C2B679" w14:textId="77777777" w:rsidR="000A4B32" w:rsidRDefault="000A4B32" w:rsidP="0691C94C">
      <w:pPr>
        <w:pStyle w:val="NormalWeb"/>
        <w:shd w:val="clear" w:color="auto" w:fill="FFFFFF" w:themeFill="background1"/>
        <w:spacing w:before="0" w:beforeAutospacing="0" w:after="0" w:afterAutospacing="0"/>
        <w:rPr>
          <w:color w:val="333333"/>
        </w:rPr>
      </w:pPr>
    </w:p>
    <w:p w14:paraId="76BF8CC6" w14:textId="106BD9E0" w:rsidR="00A9309B" w:rsidRDefault="007C6C4B" w:rsidP="0691C94C">
      <w:pPr>
        <w:pStyle w:val="NormalWeb"/>
        <w:shd w:val="clear" w:color="auto" w:fill="FFFFFF" w:themeFill="background1"/>
        <w:spacing w:before="0" w:beforeAutospacing="0" w:after="0" w:afterAutospacing="0"/>
        <w:rPr>
          <w:rFonts w:eastAsia="Arial"/>
        </w:rPr>
      </w:pPr>
      <w:r w:rsidRPr="0691C94C">
        <w:rPr>
          <w:rFonts w:eastAsia="Arial"/>
        </w:rPr>
        <w:t xml:space="preserve">The pathways initiative came to full fruition upon the state’s receipt of a highly competitive New Skills for Youth (NSFY) grant </w:t>
      </w:r>
      <w:r w:rsidR="00185D28" w:rsidRPr="0691C94C">
        <w:rPr>
          <w:rFonts w:eastAsia="Arial"/>
        </w:rPr>
        <w:t xml:space="preserve">in 2016 </w:t>
      </w:r>
      <w:r w:rsidRPr="0691C94C">
        <w:rPr>
          <w:rFonts w:eastAsia="Arial"/>
        </w:rPr>
        <w:t xml:space="preserve">from the Council of Chief State School Officers (CCSSO) focused on quality career pathways.  </w:t>
      </w:r>
      <w:r w:rsidRPr="0691C94C">
        <w:rPr>
          <w:rFonts w:eastAsia="Arial"/>
          <w:color w:val="000000" w:themeColor="text1"/>
        </w:rPr>
        <w:t xml:space="preserve">Through national research and data, CCSSO identified six core components for these pathways: </w:t>
      </w:r>
      <w:r w:rsidRPr="0691C94C">
        <w:rPr>
          <w:rFonts w:eastAsia="Arial"/>
        </w:rPr>
        <w:t>Career Advising</w:t>
      </w:r>
      <w:r w:rsidRPr="0691C94C">
        <w:rPr>
          <w:rFonts w:eastAsia="Arial"/>
          <w:color w:val="000000" w:themeColor="text1"/>
        </w:rPr>
        <w:t xml:space="preserve">; </w:t>
      </w:r>
      <w:r w:rsidRPr="0691C94C">
        <w:rPr>
          <w:rFonts w:eastAsia="Arial"/>
        </w:rPr>
        <w:t>Labor Market Information; Integrated Instruction</w:t>
      </w:r>
      <w:r w:rsidRPr="0691C94C">
        <w:rPr>
          <w:rFonts w:eastAsia="Arial"/>
          <w:color w:val="000000" w:themeColor="text1"/>
        </w:rPr>
        <w:t xml:space="preserve">; </w:t>
      </w:r>
      <w:r w:rsidRPr="0691C94C">
        <w:rPr>
          <w:rFonts w:eastAsia="Arial"/>
        </w:rPr>
        <w:t>Work-based Learning; Credential Preparation; and Postsecondary Linkages</w:t>
      </w:r>
      <w:r w:rsidRPr="0691C94C">
        <w:rPr>
          <w:rFonts w:eastAsia="Arial"/>
          <w:color w:val="000000" w:themeColor="text1"/>
        </w:rPr>
        <w:t>. Ultimately, these components are addressed</w:t>
      </w:r>
      <w:r w:rsidR="004F2EED" w:rsidRPr="0691C94C">
        <w:rPr>
          <w:rFonts w:eastAsia="Arial"/>
          <w:color w:val="000000" w:themeColor="text1"/>
        </w:rPr>
        <w:t>, along with the five guiding principles, as part of a formal state-level designation process to identify programs that meet state criteria.</w:t>
      </w:r>
      <w:r w:rsidRPr="0691C94C">
        <w:rPr>
          <w:rFonts w:eastAsia="Arial"/>
        </w:rPr>
        <w:t xml:space="preserve">  </w:t>
      </w:r>
    </w:p>
    <w:p w14:paraId="6A2BCE7A" w14:textId="77777777" w:rsidR="00A9309B" w:rsidRDefault="00A9309B" w:rsidP="0691C94C">
      <w:pPr>
        <w:pStyle w:val="NormalWeb"/>
        <w:shd w:val="clear" w:color="auto" w:fill="FFFFFF" w:themeFill="background1"/>
        <w:spacing w:before="0" w:beforeAutospacing="0" w:after="0" w:afterAutospacing="0"/>
        <w:rPr>
          <w:rFonts w:eastAsia="Arial"/>
        </w:rPr>
      </w:pPr>
    </w:p>
    <w:p w14:paraId="67BBE806" w14:textId="2724F5C6" w:rsidR="00185D28" w:rsidRDefault="007C6C4B" w:rsidP="0691C94C">
      <w:pPr>
        <w:pStyle w:val="NormalWeb"/>
        <w:shd w:val="clear" w:color="auto" w:fill="FFFFFF" w:themeFill="background1"/>
        <w:spacing w:before="0" w:beforeAutospacing="0" w:after="0" w:afterAutospacing="0"/>
      </w:pPr>
      <w:r w:rsidRPr="0691C94C">
        <w:rPr>
          <w:rFonts w:eastAsia="Arial"/>
        </w:rPr>
        <w:t xml:space="preserve">These pathways provide participating students in the Commonwealth with supportive, rigorous academic experiences and career development education relevant to their next steps after high school. </w:t>
      </w:r>
      <w:r w:rsidR="004F2EED" w:rsidRPr="0691C94C">
        <w:rPr>
          <w:rFonts w:eastAsia="Arial"/>
        </w:rPr>
        <w:t xml:space="preserve">The Department, along with the Executive Office of Education, the Department of </w:t>
      </w:r>
      <w:r w:rsidR="004F2EED" w:rsidRPr="0691C94C">
        <w:rPr>
          <w:rFonts w:eastAsia="Arial"/>
        </w:rPr>
        <w:lastRenderedPageBreak/>
        <w:t xml:space="preserve">Higher Education, and the state’s sixteen </w:t>
      </w:r>
      <w:proofErr w:type="spellStart"/>
      <w:r w:rsidR="004F2EED" w:rsidRPr="0691C94C">
        <w:rPr>
          <w:rFonts w:eastAsia="Arial"/>
        </w:rPr>
        <w:t>MassHire</w:t>
      </w:r>
      <w:proofErr w:type="spellEnd"/>
      <w:r w:rsidR="004F2EED" w:rsidRPr="0691C94C">
        <w:rPr>
          <w:rFonts w:eastAsia="Arial"/>
        </w:rPr>
        <w:t xml:space="preserve"> workforce boards</w:t>
      </w:r>
      <w:r w:rsidR="00535809" w:rsidRPr="0691C94C">
        <w:rPr>
          <w:rFonts w:eastAsia="Arial"/>
        </w:rPr>
        <w:t xml:space="preserve"> </w:t>
      </w:r>
      <w:r w:rsidRPr="0691C94C">
        <w:rPr>
          <w:rFonts w:eastAsia="Arial"/>
        </w:rPr>
        <w:t xml:space="preserve">work collaboratively with schools and districts </w:t>
      </w:r>
      <w:r w:rsidR="004F2EED" w:rsidRPr="0691C94C">
        <w:rPr>
          <w:rFonts w:eastAsia="Arial"/>
        </w:rPr>
        <w:t xml:space="preserve">and regional higher education and employer partners </w:t>
      </w:r>
      <w:r w:rsidRPr="0691C94C">
        <w:rPr>
          <w:rFonts w:eastAsia="Arial"/>
        </w:rPr>
        <w:t xml:space="preserve">to provide students with equitable access to a pathway deemed a strong individualized fit, with on and off ramps across different pathways throughout high school, </w:t>
      </w:r>
      <w:r w:rsidR="00346AF2" w:rsidRPr="0691C94C">
        <w:rPr>
          <w:rFonts w:eastAsia="Arial"/>
        </w:rPr>
        <w:t xml:space="preserve">and help them </w:t>
      </w:r>
      <w:r w:rsidR="00C90902" w:rsidRPr="0691C94C">
        <w:rPr>
          <w:rFonts w:eastAsia="Arial"/>
        </w:rPr>
        <w:t xml:space="preserve">to </w:t>
      </w:r>
      <w:r w:rsidRPr="0691C94C">
        <w:rPr>
          <w:rFonts w:eastAsia="Arial"/>
        </w:rPr>
        <w:t xml:space="preserve">graduate with a well-designed post-secondary plan and a robust knowledge of Massachusetts’ workforce opportunities. </w:t>
      </w:r>
      <w:r>
        <w:t>All pathways are designed to increase access and decrease barriers for students</w:t>
      </w:r>
      <w:r w:rsidR="008F41AA">
        <w:t xml:space="preserve">; </w:t>
      </w:r>
      <w:r>
        <w:t xml:space="preserve">they all prioritize historically underserved students. </w:t>
      </w:r>
    </w:p>
    <w:p w14:paraId="65C8E368" w14:textId="77777777" w:rsidR="00185D28" w:rsidRPr="00185D28" w:rsidRDefault="00185D28" w:rsidP="00185D28">
      <w:pPr>
        <w:pStyle w:val="NormalWeb"/>
        <w:shd w:val="clear" w:color="auto" w:fill="FFFFFF"/>
        <w:spacing w:before="0" w:beforeAutospacing="0" w:after="0" w:afterAutospacing="0"/>
      </w:pPr>
    </w:p>
    <w:p w14:paraId="6A569721" w14:textId="069C36F8" w:rsidR="007C6C4B" w:rsidRDefault="007C6C4B" w:rsidP="0043309E">
      <w:pPr>
        <w:rPr>
          <w:b/>
          <w:bCs/>
          <w:szCs w:val="24"/>
        </w:rPr>
      </w:pPr>
      <w:r w:rsidRPr="00D56EA4">
        <w:rPr>
          <w:b/>
          <w:bCs/>
          <w:szCs w:val="24"/>
        </w:rPr>
        <w:t>Early College Programs</w:t>
      </w:r>
    </w:p>
    <w:p w14:paraId="49601897" w14:textId="77777777" w:rsidR="00185D28" w:rsidRPr="00D56EA4" w:rsidRDefault="00185D28" w:rsidP="00185D28">
      <w:pPr>
        <w:rPr>
          <w:b/>
          <w:bCs/>
          <w:szCs w:val="24"/>
        </w:rPr>
      </w:pPr>
    </w:p>
    <w:p w14:paraId="16F0C254" w14:textId="332CEF94" w:rsidR="007C6C4B" w:rsidRPr="00D56EA4" w:rsidRDefault="007C6C4B" w:rsidP="00185D28">
      <w:r>
        <w:t xml:space="preserve">In 2017, the Board of Elementary and Secondary Education (BESE), along with the Board of Higher Education (BHE) voted to approve the establishment of a statewide </w:t>
      </w:r>
      <w:hyperlink r:id="rId15">
        <w:r w:rsidRPr="0691C94C">
          <w:rPr>
            <w:rStyle w:val="Hyperlink"/>
          </w:rPr>
          <w:t>Early College Designation</w:t>
        </w:r>
      </w:hyperlink>
      <w:r>
        <w:t xml:space="preserve">, as well as the formation of an Early College Joint Committee </w:t>
      </w:r>
      <w:r w:rsidR="00687F6A">
        <w:t xml:space="preserve">(ECJC) </w:t>
      </w:r>
      <w:r>
        <w:t xml:space="preserve">to oversee the </w:t>
      </w:r>
      <w:r w:rsidR="00687F6A">
        <w:t>d</w:t>
      </w:r>
      <w:r>
        <w:t xml:space="preserve">evelopment of that </w:t>
      </w:r>
      <w:r w:rsidR="00687F6A">
        <w:t>d</w:t>
      </w:r>
      <w:r>
        <w:t xml:space="preserve">esignation and to grant approvals of </w:t>
      </w:r>
      <w:r w:rsidR="00185D28">
        <w:t xml:space="preserve">Early College </w:t>
      </w:r>
      <w:r w:rsidR="00687F6A">
        <w:t>d</w:t>
      </w:r>
      <w:r>
        <w:t xml:space="preserve">esignation to programs. </w:t>
      </w:r>
      <w:r w:rsidR="0043309E">
        <w:t>Currently</w:t>
      </w:r>
      <w:r>
        <w:t xml:space="preserve">, </w:t>
      </w:r>
      <w:hyperlink r:id="rId16">
        <w:r w:rsidR="2F149F75" w:rsidRPr="5D2E6016">
          <w:rPr>
            <w:rStyle w:val="Hyperlink"/>
          </w:rPr>
          <w:t>3</w:t>
        </w:r>
        <w:r w:rsidR="37675B7E" w:rsidRPr="5D2E6016">
          <w:rPr>
            <w:rStyle w:val="Hyperlink"/>
          </w:rPr>
          <w:t>5</w:t>
        </w:r>
        <w:r w:rsidR="3C83DFAB" w:rsidRPr="0691C94C">
          <w:rPr>
            <w:rStyle w:val="Hyperlink"/>
          </w:rPr>
          <w:t xml:space="preserve"> </w:t>
        </w:r>
        <w:r w:rsidRPr="0691C94C">
          <w:rPr>
            <w:rStyle w:val="Hyperlink"/>
          </w:rPr>
          <w:t xml:space="preserve">high schools and </w:t>
        </w:r>
        <w:r w:rsidR="518F5F1F" w:rsidRPr="5D2E6016">
          <w:rPr>
            <w:rStyle w:val="Hyperlink"/>
          </w:rPr>
          <w:t>19</w:t>
        </w:r>
        <w:r w:rsidRPr="0691C94C">
          <w:rPr>
            <w:rStyle w:val="Hyperlink"/>
          </w:rPr>
          <w:t xml:space="preserve"> higher education institutions have committed to </w:t>
        </w:r>
        <w:r w:rsidR="0043309E" w:rsidRPr="0691C94C">
          <w:rPr>
            <w:rStyle w:val="Hyperlink"/>
          </w:rPr>
          <w:t>d</w:t>
        </w:r>
        <w:r w:rsidRPr="0691C94C">
          <w:rPr>
            <w:rStyle w:val="Hyperlink"/>
          </w:rPr>
          <w:t>esignated partnerships</w:t>
        </w:r>
      </w:hyperlink>
      <w:r w:rsidR="0043309E" w:rsidRPr="0691C94C">
        <w:rPr>
          <w:rStyle w:val="Hyperlink"/>
        </w:rPr>
        <w:t xml:space="preserve"> </w:t>
      </w:r>
      <w:r w:rsidR="4075DE3D" w:rsidRPr="0691C94C">
        <w:rPr>
          <w:rStyle w:val="Hyperlink"/>
        </w:rPr>
        <w:t xml:space="preserve">currently </w:t>
      </w:r>
      <w:r w:rsidR="0043309E" w:rsidRPr="0691C94C">
        <w:rPr>
          <w:rStyle w:val="Hyperlink"/>
        </w:rPr>
        <w:t xml:space="preserve">serving </w:t>
      </w:r>
      <w:r w:rsidR="61A7ADEE" w:rsidRPr="5D2E6016">
        <w:rPr>
          <w:rStyle w:val="Hyperlink"/>
        </w:rPr>
        <w:t xml:space="preserve">just </w:t>
      </w:r>
      <w:r w:rsidR="641459BA" w:rsidRPr="5D2E6016">
        <w:rPr>
          <w:rStyle w:val="Hyperlink"/>
        </w:rPr>
        <w:t>under</w:t>
      </w:r>
      <w:r w:rsidR="0043309E" w:rsidRPr="0691C94C">
        <w:rPr>
          <w:rStyle w:val="Hyperlink"/>
        </w:rPr>
        <w:t xml:space="preserve"> 3,000 students</w:t>
      </w:r>
      <w:r>
        <w:t xml:space="preserve">. Partnerships are well-represented across the state, with the majority of them located in Gateway Cities. </w:t>
      </w:r>
      <w:r w:rsidR="34B7486D">
        <w:t xml:space="preserve">In addition, three new partnerships were recently approved to start in </w:t>
      </w:r>
      <w:r w:rsidR="006D666D">
        <w:t>f</w:t>
      </w:r>
      <w:r w:rsidR="34B7486D">
        <w:t>all 2021</w:t>
      </w:r>
      <w:r w:rsidR="69E0445B">
        <w:t>. They are Danvers High School/North Shore Community College, Whittier Regional Vocational Technical High School/Northern Essex Community College</w:t>
      </w:r>
      <w:r w:rsidR="006D666D">
        <w:t>,</w:t>
      </w:r>
      <w:r w:rsidR="69E0445B">
        <w:t xml:space="preserve"> and Dearborn STEM Academy</w:t>
      </w:r>
      <w:r w:rsidR="4EF81CE4">
        <w:t xml:space="preserve">/Wentworth Institute of Technology.  </w:t>
      </w:r>
      <w:r w:rsidR="715B1614">
        <w:t xml:space="preserve">  </w:t>
      </w:r>
    </w:p>
    <w:p w14:paraId="15AB453E" w14:textId="77777777" w:rsidR="00D56EA4" w:rsidRPr="00185D28" w:rsidRDefault="00D56EA4" w:rsidP="00185D28">
      <w:pPr>
        <w:rPr>
          <w:szCs w:val="24"/>
        </w:rPr>
      </w:pPr>
    </w:p>
    <w:p w14:paraId="2D5BD53A" w14:textId="38F8E2BA" w:rsidR="007C6C4B" w:rsidRPr="00D56EA4" w:rsidRDefault="00185D28" w:rsidP="00185D28">
      <w:r w:rsidRPr="0691C94C">
        <w:rPr>
          <w:shd w:val="clear" w:color="auto" w:fill="FFFFFF"/>
        </w:rPr>
        <w:t>Early college programs, distinct from traditional dual enrollment, are designed to blend elements of high school and college to provide students with the opportunity to experience and complete college level academic coursework on a clearly articulated pathway and simultaneously gain exposure to a variety of career opportunities</w:t>
      </w:r>
      <w:r w:rsidRPr="0691C94C">
        <w:rPr>
          <w:color w:val="333333"/>
          <w:shd w:val="clear" w:color="auto" w:fill="FFFFFF"/>
        </w:rPr>
        <w:t xml:space="preserve">. </w:t>
      </w:r>
      <w:r w:rsidRPr="0691C94C">
        <w:rPr>
          <w:shd w:val="clear" w:color="auto" w:fill="FFFFFF"/>
        </w:rPr>
        <w:t>Early college programs also reduce the time and expense of earning a college credential while increasing the likelihood of completion.</w:t>
      </w:r>
      <w:r w:rsidRPr="00535809" w:rsidDel="00185D28">
        <w:rPr>
          <w:szCs w:val="24"/>
        </w:rPr>
        <w:t xml:space="preserve"> </w:t>
      </w:r>
      <w:r w:rsidR="00386D85" w:rsidRPr="0691C94C">
        <w:t xml:space="preserve">The </w:t>
      </w:r>
      <w:r w:rsidR="003D22EC" w:rsidRPr="0691C94C">
        <w:t xml:space="preserve">model </w:t>
      </w:r>
      <w:r w:rsidR="007C6C4B" w:rsidRPr="0691C94C">
        <w:t>prioritiz</w:t>
      </w:r>
      <w:r w:rsidR="009909F4" w:rsidRPr="0691C94C">
        <w:t>es</w:t>
      </w:r>
      <w:r w:rsidR="007C6C4B" w:rsidRPr="0691C94C">
        <w:t xml:space="preserve"> students who do not historically access and complete college and introduce</w:t>
      </w:r>
      <w:r w:rsidR="009909F4" w:rsidRPr="0691C94C">
        <w:t>s</w:t>
      </w:r>
      <w:r w:rsidR="007C6C4B" w:rsidRPr="0691C94C">
        <w:t xml:space="preserve"> it to them earlier, free of cost, and with more support while they are still in high school. National data has </w:t>
      </w:r>
      <w:r w:rsidR="004F2EED" w:rsidRPr="0691C94C">
        <w:t xml:space="preserve">shown </w:t>
      </w:r>
      <w:r w:rsidR="007C6C4B" w:rsidRPr="0691C94C">
        <w:t xml:space="preserve">the success of this model, and the emerging data on MA Early College programs </w:t>
      </w:r>
      <w:r w:rsidR="00ED44B5" w:rsidRPr="0691C94C">
        <w:t>are</w:t>
      </w:r>
      <w:r w:rsidR="007C6C4B" w:rsidRPr="0691C94C">
        <w:t xml:space="preserve"> promising.</w:t>
      </w:r>
    </w:p>
    <w:p w14:paraId="370FDB34" w14:textId="4A53AB59" w:rsidR="007C6C4B" w:rsidRPr="00D56EA4" w:rsidRDefault="007C6C4B" w:rsidP="00185D28">
      <w:pPr>
        <w:rPr>
          <w:szCs w:val="24"/>
        </w:rPr>
      </w:pPr>
    </w:p>
    <w:p w14:paraId="76591827" w14:textId="2B937D34" w:rsidR="007C6C4B" w:rsidRPr="00D56EA4" w:rsidRDefault="007C6C4B" w:rsidP="00185D28">
      <w:pPr>
        <w:spacing w:after="100" w:afterAutospacing="1"/>
        <w:rPr>
          <w:b/>
          <w:bCs/>
          <w:szCs w:val="24"/>
        </w:rPr>
      </w:pPr>
      <w:r w:rsidRPr="00D56EA4">
        <w:rPr>
          <w:b/>
          <w:bCs/>
          <w:szCs w:val="24"/>
        </w:rPr>
        <w:t>Highlights of the February 18, 2021 Early College Joint Committee</w:t>
      </w:r>
      <w:r w:rsidR="00ED44B5">
        <w:rPr>
          <w:b/>
          <w:bCs/>
          <w:szCs w:val="24"/>
        </w:rPr>
        <w:t xml:space="preserve"> Meeting</w:t>
      </w:r>
      <w:r w:rsidRPr="00D56EA4">
        <w:rPr>
          <w:b/>
          <w:bCs/>
          <w:szCs w:val="24"/>
        </w:rPr>
        <w:t xml:space="preserve"> </w:t>
      </w:r>
    </w:p>
    <w:p w14:paraId="53008E32" w14:textId="64C8F5F9" w:rsidR="007C6C4B" w:rsidRPr="00D56EA4" w:rsidRDefault="007C6C4B" w:rsidP="00185D28">
      <w:pPr>
        <w:pStyle w:val="paragraph"/>
        <w:spacing w:before="0" w:beforeAutospacing="0" w:after="0" w:afterAutospacing="0"/>
        <w:textAlignment w:val="baseline"/>
        <w:rPr>
          <w:rStyle w:val="normaltextrun"/>
          <w:color w:val="000000"/>
          <w:position w:val="1"/>
        </w:rPr>
      </w:pPr>
      <w:r w:rsidRPr="00D56EA4">
        <w:rPr>
          <w:rStyle w:val="normaltextrun"/>
          <w:color w:val="000000"/>
          <w:position w:val="1"/>
        </w:rPr>
        <w:t xml:space="preserve">Several topics were on the agenda for the </w:t>
      </w:r>
      <w:r w:rsidR="00687F6A">
        <w:rPr>
          <w:rStyle w:val="normaltextrun"/>
          <w:color w:val="000000"/>
          <w:position w:val="1"/>
        </w:rPr>
        <w:t xml:space="preserve">ECJC’s </w:t>
      </w:r>
      <w:r w:rsidRPr="00D56EA4">
        <w:rPr>
          <w:rStyle w:val="normaltextrun"/>
          <w:color w:val="000000"/>
          <w:position w:val="1"/>
        </w:rPr>
        <w:t>February 18 meeting. They are summarized below</w:t>
      </w:r>
      <w:r w:rsidR="00173685">
        <w:rPr>
          <w:rStyle w:val="normaltextrun"/>
          <w:color w:val="000000"/>
          <w:position w:val="1"/>
        </w:rPr>
        <w:t>:</w:t>
      </w:r>
    </w:p>
    <w:p w14:paraId="575C0215" w14:textId="5837A2C9" w:rsidR="007C6C4B" w:rsidRPr="00F05B63" w:rsidRDefault="007C6C4B" w:rsidP="00185D28">
      <w:pPr>
        <w:pStyle w:val="paragraph"/>
        <w:numPr>
          <w:ilvl w:val="0"/>
          <w:numId w:val="3"/>
        </w:numPr>
        <w:spacing w:before="0" w:beforeAutospacing="0" w:after="0" w:afterAutospacing="0"/>
        <w:textAlignment w:val="baseline"/>
      </w:pPr>
      <w:r w:rsidRPr="00D56EA4">
        <w:rPr>
          <w:rStyle w:val="normaltextrun"/>
          <w:b/>
          <w:bCs/>
          <w:i/>
          <w:iCs/>
          <w:color w:val="000000"/>
          <w:position w:val="1"/>
        </w:rPr>
        <w:t>Educator Diversity Initiative</w:t>
      </w:r>
      <w:r w:rsidRPr="00D56EA4">
        <w:rPr>
          <w:rStyle w:val="normaltextrun"/>
          <w:color w:val="000000"/>
          <w:position w:val="1"/>
        </w:rPr>
        <w:t>: </w:t>
      </w:r>
      <w:r w:rsidR="00687F6A" w:rsidRPr="002753BD">
        <w:rPr>
          <w:rStyle w:val="normaltextrun"/>
          <w:position w:val="1"/>
        </w:rPr>
        <w:t>Staff from the Department of Elementary and Secondary Educatio</w:t>
      </w:r>
      <w:r w:rsidR="00B17F4D" w:rsidRPr="002753BD">
        <w:rPr>
          <w:rStyle w:val="normaltextrun"/>
          <w:position w:val="1"/>
        </w:rPr>
        <w:t>n</w:t>
      </w:r>
      <w:r w:rsidR="00687F6A" w:rsidRPr="002753BD">
        <w:rPr>
          <w:rStyle w:val="normaltextrun"/>
          <w:position w:val="1"/>
        </w:rPr>
        <w:t xml:space="preserve"> and the Department of Higher Education presented an overview of the educator diversity initiative. </w:t>
      </w:r>
      <w:r w:rsidRPr="002753BD">
        <w:rPr>
          <w:rStyle w:val="normaltextrun"/>
          <w:position w:val="1"/>
        </w:rPr>
        <w:t xml:space="preserve">This was followed by a </w:t>
      </w:r>
      <w:r w:rsidR="00687F6A" w:rsidRPr="002753BD">
        <w:rPr>
          <w:rStyle w:val="normaltextrun"/>
        </w:rPr>
        <w:t>p</w:t>
      </w:r>
      <w:r w:rsidRPr="002753BD">
        <w:rPr>
          <w:rStyle w:val="normaltextrun"/>
        </w:rPr>
        <w:t xml:space="preserve">resentation by Amanda Fernandez, Paul Toner, and Manny Cruz, which outlined the case for intentional strategies to connect </w:t>
      </w:r>
      <w:r w:rsidR="00B17F4D" w:rsidRPr="002753BD">
        <w:rPr>
          <w:rStyle w:val="normaltextrun"/>
        </w:rPr>
        <w:t xml:space="preserve">the educator diversity initiative </w:t>
      </w:r>
      <w:r w:rsidRPr="002753BD">
        <w:rPr>
          <w:rStyle w:val="normaltextrun"/>
        </w:rPr>
        <w:t xml:space="preserve">with Early College work. </w:t>
      </w:r>
      <w:r w:rsidR="00B17F4D" w:rsidRPr="002753BD">
        <w:rPr>
          <w:rStyle w:val="normaltextrun"/>
        </w:rPr>
        <w:t>T</w:t>
      </w:r>
      <w:r w:rsidRPr="002753BD">
        <w:rPr>
          <w:rStyle w:val="normaltextrun"/>
        </w:rPr>
        <w:t>he President of Framingham State</w:t>
      </w:r>
      <w:r w:rsidR="00B17F4D" w:rsidRPr="002753BD">
        <w:rPr>
          <w:rStyle w:val="normaltextrun"/>
        </w:rPr>
        <w:t xml:space="preserve"> University</w:t>
      </w:r>
      <w:r w:rsidRPr="002753BD">
        <w:rPr>
          <w:rStyle w:val="normaltextrun"/>
        </w:rPr>
        <w:t xml:space="preserve">, Javier </w:t>
      </w:r>
      <w:proofErr w:type="spellStart"/>
      <w:r w:rsidRPr="002753BD">
        <w:rPr>
          <w:rStyle w:val="normaltextrun"/>
        </w:rPr>
        <w:t>Cevallos</w:t>
      </w:r>
      <w:proofErr w:type="spellEnd"/>
      <w:r w:rsidRPr="002753BD">
        <w:rPr>
          <w:rStyle w:val="normaltextrun"/>
        </w:rPr>
        <w:t xml:space="preserve">, </w:t>
      </w:r>
      <w:r w:rsidR="00B17F4D" w:rsidRPr="002753BD">
        <w:rPr>
          <w:rStyle w:val="normaltextrun"/>
        </w:rPr>
        <w:t xml:space="preserve">and </w:t>
      </w:r>
      <w:r w:rsidRPr="002753BD">
        <w:rPr>
          <w:rStyle w:val="normaltextrun"/>
        </w:rPr>
        <w:t xml:space="preserve">his colleague, Colleen Coffey, </w:t>
      </w:r>
      <w:r w:rsidR="00B17F4D" w:rsidRPr="002753BD">
        <w:rPr>
          <w:rStyle w:val="normaltextrun"/>
        </w:rPr>
        <w:t xml:space="preserve">then </w:t>
      </w:r>
      <w:r w:rsidRPr="002753BD">
        <w:rPr>
          <w:rStyle w:val="normaltextrun"/>
        </w:rPr>
        <w:t xml:space="preserve">discussed potential intersections with Early College pathways focused on </w:t>
      </w:r>
      <w:r w:rsidR="00B17F4D" w:rsidRPr="002753BD">
        <w:rPr>
          <w:rStyle w:val="normaltextrun"/>
        </w:rPr>
        <w:t>e</w:t>
      </w:r>
      <w:r w:rsidRPr="002753BD">
        <w:rPr>
          <w:rStyle w:val="normaltextrun"/>
        </w:rPr>
        <w:t>ducation</w:t>
      </w:r>
      <w:r w:rsidR="00B17F4D" w:rsidRPr="002753BD">
        <w:rPr>
          <w:rStyle w:val="normaltextrun"/>
        </w:rPr>
        <w:t>.</w:t>
      </w:r>
      <w:r w:rsidRPr="00535809">
        <w:rPr>
          <w:rStyle w:val="eop"/>
        </w:rPr>
        <w:t>​</w:t>
      </w:r>
    </w:p>
    <w:p w14:paraId="69995915" w14:textId="370880B0" w:rsidR="00D56EA4" w:rsidRDefault="007C6C4B" w:rsidP="00D56EA4">
      <w:pPr>
        <w:pStyle w:val="paragraph"/>
        <w:numPr>
          <w:ilvl w:val="0"/>
          <w:numId w:val="3"/>
        </w:numPr>
        <w:spacing w:before="0" w:beforeAutospacing="0" w:after="0" w:afterAutospacing="0"/>
        <w:textAlignment w:val="baseline"/>
        <w:rPr>
          <w:rStyle w:val="normaltextrun"/>
        </w:rPr>
      </w:pPr>
      <w:r w:rsidRPr="002753BD">
        <w:rPr>
          <w:rStyle w:val="normaltextrun"/>
          <w:b/>
          <w:bCs/>
          <w:i/>
          <w:iCs/>
          <w:position w:val="1"/>
        </w:rPr>
        <w:t>Designation Process</w:t>
      </w:r>
      <w:r w:rsidRPr="002753BD">
        <w:rPr>
          <w:rStyle w:val="normaltextrun"/>
          <w:position w:val="1"/>
        </w:rPr>
        <w:t xml:space="preserve">: The ECJC </w:t>
      </w:r>
      <w:r w:rsidR="00D22B9D" w:rsidRPr="002753BD">
        <w:rPr>
          <w:rStyle w:val="normaltextrun"/>
          <w:position w:val="1"/>
        </w:rPr>
        <w:t xml:space="preserve">approved </w:t>
      </w:r>
      <w:r w:rsidRPr="002753BD">
        <w:rPr>
          <w:rStyle w:val="normaltextrun"/>
          <w:position w:val="1"/>
        </w:rPr>
        <w:t xml:space="preserve">provisional </w:t>
      </w:r>
      <w:r w:rsidR="00D22B9D" w:rsidRPr="002753BD">
        <w:rPr>
          <w:rStyle w:val="normaltextrun"/>
          <w:position w:val="1"/>
        </w:rPr>
        <w:t>one-year d</w:t>
      </w:r>
      <w:r w:rsidRPr="002753BD">
        <w:rPr>
          <w:rStyle w:val="normaltextrun"/>
          <w:position w:val="1"/>
        </w:rPr>
        <w:t xml:space="preserve">esignations </w:t>
      </w:r>
      <w:r w:rsidR="00D22B9D" w:rsidRPr="002753BD">
        <w:rPr>
          <w:rStyle w:val="normaltextrun"/>
          <w:position w:val="1"/>
        </w:rPr>
        <w:t xml:space="preserve">for programs (rather than the usual five-year designation) </w:t>
      </w:r>
      <w:r w:rsidRPr="002753BD">
        <w:rPr>
          <w:rStyle w:val="normaltextrun"/>
          <w:position w:val="1"/>
        </w:rPr>
        <w:t>during 2021</w:t>
      </w:r>
      <w:r w:rsidR="00D22B9D" w:rsidRPr="002753BD">
        <w:rPr>
          <w:rStyle w:val="normaltextrun"/>
          <w:position w:val="1"/>
        </w:rPr>
        <w:t>, due</w:t>
      </w:r>
      <w:r w:rsidRPr="002753BD">
        <w:rPr>
          <w:position w:val="1"/>
        </w:rPr>
        <w:t xml:space="preserve"> to the disruption caused by C</w:t>
      </w:r>
      <w:r w:rsidR="00D22B9D" w:rsidRPr="002753BD">
        <w:rPr>
          <w:position w:val="1"/>
        </w:rPr>
        <w:t>OVID</w:t>
      </w:r>
      <w:r w:rsidRPr="002753BD">
        <w:rPr>
          <w:position w:val="1"/>
        </w:rPr>
        <w:t xml:space="preserve">-19, funding changes, and the </w:t>
      </w:r>
      <w:r w:rsidR="00D22B9D" w:rsidRPr="002753BD">
        <w:rPr>
          <w:position w:val="1"/>
        </w:rPr>
        <w:t xml:space="preserve">need </w:t>
      </w:r>
      <w:r w:rsidRPr="002753BD">
        <w:rPr>
          <w:position w:val="1"/>
        </w:rPr>
        <w:t xml:space="preserve">to confirm that Designated Early Colleges are </w:t>
      </w:r>
      <w:r w:rsidRPr="002753BD">
        <w:rPr>
          <w:position w:val="1"/>
        </w:rPr>
        <w:lastRenderedPageBreak/>
        <w:t xml:space="preserve">able to implement the program design they have planned. </w:t>
      </w:r>
      <w:r w:rsidR="00D22B9D" w:rsidRPr="002753BD">
        <w:rPr>
          <w:position w:val="1"/>
        </w:rPr>
        <w:t xml:space="preserve">The ECJC also approved </w:t>
      </w:r>
      <w:r w:rsidRPr="002753BD">
        <w:rPr>
          <w:position w:val="1"/>
        </w:rPr>
        <w:t xml:space="preserve">three new </w:t>
      </w:r>
      <w:r w:rsidR="00F5130B" w:rsidRPr="002753BD">
        <w:rPr>
          <w:position w:val="1"/>
        </w:rPr>
        <w:t xml:space="preserve">programs </w:t>
      </w:r>
      <w:r w:rsidRPr="002753BD">
        <w:rPr>
          <w:rStyle w:val="normaltextrun"/>
        </w:rPr>
        <w:t xml:space="preserve">for </w:t>
      </w:r>
      <w:r w:rsidR="00F5130B" w:rsidRPr="002753BD">
        <w:rPr>
          <w:rStyle w:val="normaltextrun"/>
        </w:rPr>
        <w:t xml:space="preserve">provisional </w:t>
      </w:r>
      <w:r w:rsidRPr="002753BD">
        <w:rPr>
          <w:rStyle w:val="normaltextrun"/>
        </w:rPr>
        <w:t xml:space="preserve">Designation.  Please see appendix to this memo for </w:t>
      </w:r>
      <w:r w:rsidR="00F5130B" w:rsidRPr="002753BD">
        <w:rPr>
          <w:rStyle w:val="normaltextrun"/>
        </w:rPr>
        <w:t xml:space="preserve">the </w:t>
      </w:r>
      <w:r w:rsidRPr="002753BD">
        <w:rPr>
          <w:rStyle w:val="normaltextrun"/>
        </w:rPr>
        <w:t xml:space="preserve">full list of Early College Designated programs. </w:t>
      </w:r>
      <w:r w:rsidR="00F5130B" w:rsidRPr="002753BD">
        <w:rPr>
          <w:rStyle w:val="normaltextrun"/>
        </w:rPr>
        <w:t>P</w:t>
      </w:r>
      <w:r w:rsidRPr="002753BD">
        <w:rPr>
          <w:rStyle w:val="normaltextrun"/>
        </w:rPr>
        <w:t xml:space="preserve">rograms have a shortened timeframe to demonstrate that their program is fully aligned with the Early College Designation criteria and ready to recruit students for </w:t>
      </w:r>
      <w:r w:rsidR="00F5130B" w:rsidRPr="002753BD">
        <w:rPr>
          <w:rStyle w:val="normaltextrun"/>
        </w:rPr>
        <w:t>f</w:t>
      </w:r>
      <w:r w:rsidRPr="002753BD">
        <w:rPr>
          <w:rStyle w:val="normaltextrun"/>
        </w:rPr>
        <w:t xml:space="preserve">all 2021 enrollment.  </w:t>
      </w:r>
    </w:p>
    <w:p w14:paraId="093706C1" w14:textId="0D0615B6" w:rsidR="00D56EA4" w:rsidRDefault="00F5130B" w:rsidP="00D56EA4">
      <w:pPr>
        <w:pStyle w:val="paragraph"/>
        <w:numPr>
          <w:ilvl w:val="0"/>
          <w:numId w:val="3"/>
        </w:numPr>
        <w:spacing w:before="0" w:beforeAutospacing="0" w:after="0" w:afterAutospacing="0"/>
        <w:textAlignment w:val="baseline"/>
      </w:pPr>
      <w:r>
        <w:rPr>
          <w:rStyle w:val="normaltextrun"/>
          <w:color w:val="000000"/>
          <w:position w:val="1"/>
        </w:rPr>
        <w:t>The ECJC received an update on funding. T</w:t>
      </w:r>
      <w:r w:rsidR="007C6C4B" w:rsidRPr="00D56EA4">
        <w:rPr>
          <w:rStyle w:val="normaltextrun"/>
          <w:color w:val="000000"/>
          <w:position w:val="1"/>
        </w:rPr>
        <w:t xml:space="preserve">his year </w:t>
      </w:r>
      <w:r>
        <w:rPr>
          <w:rStyle w:val="normaltextrun"/>
          <w:color w:val="000000"/>
          <w:position w:val="1"/>
        </w:rPr>
        <w:t xml:space="preserve">Early College Designated </w:t>
      </w:r>
      <w:r w:rsidR="007C6C4B" w:rsidRPr="00D56EA4">
        <w:rPr>
          <w:rStyle w:val="normaltextrun"/>
          <w:color w:val="000000"/>
          <w:position w:val="1"/>
        </w:rPr>
        <w:t xml:space="preserve">programs received </w:t>
      </w:r>
      <w:r w:rsidR="007C6C4B" w:rsidRPr="00D56EA4">
        <w:rPr>
          <w:rStyle w:val="normaltextrun"/>
          <w:color w:val="000000"/>
        </w:rPr>
        <w:t>grants</w:t>
      </w:r>
      <w:r w:rsidR="00185D28">
        <w:rPr>
          <w:rStyle w:val="normaltextrun"/>
          <w:color w:val="000000"/>
        </w:rPr>
        <w:t xml:space="preserve"> to provide supports at the partner high schools</w:t>
      </w:r>
      <w:r w:rsidR="007C6C4B" w:rsidRPr="00D56EA4">
        <w:rPr>
          <w:rStyle w:val="normaltextrun"/>
          <w:color w:val="000000"/>
        </w:rPr>
        <w:t xml:space="preserve">, as well as </w:t>
      </w:r>
      <w:r>
        <w:rPr>
          <w:rStyle w:val="normaltextrun"/>
          <w:color w:val="000000"/>
        </w:rPr>
        <w:t>t</w:t>
      </w:r>
      <w:r w:rsidR="007C6C4B" w:rsidRPr="00D56EA4">
        <w:rPr>
          <w:rStyle w:val="normaltextrun"/>
          <w:color w:val="000000"/>
        </w:rPr>
        <w:t xml:space="preserve">uition credits of $135 per Early College course credit. </w:t>
      </w:r>
    </w:p>
    <w:p w14:paraId="07A0A00A" w14:textId="3D7BAA67" w:rsidR="007C6C4B" w:rsidRPr="00D56EA4" w:rsidRDefault="00F5130B" w:rsidP="00D56EA4">
      <w:pPr>
        <w:pStyle w:val="paragraph"/>
        <w:numPr>
          <w:ilvl w:val="0"/>
          <w:numId w:val="3"/>
        </w:numPr>
        <w:spacing w:before="0" w:beforeAutospacing="0" w:after="0" w:afterAutospacing="0"/>
        <w:textAlignment w:val="baseline"/>
      </w:pPr>
      <w:r>
        <w:rPr>
          <w:rStyle w:val="normaltextrun"/>
          <w:color w:val="000000"/>
          <w:position w:val="1"/>
        </w:rPr>
        <w:t>The ECJC received a d</w:t>
      </w:r>
      <w:r w:rsidR="007C6C4B" w:rsidRPr="00D56EA4">
        <w:rPr>
          <w:rStyle w:val="normaltextrun"/>
          <w:color w:val="000000"/>
          <w:position w:val="1"/>
        </w:rPr>
        <w:t xml:space="preserve">ata </w:t>
      </w:r>
      <w:r>
        <w:rPr>
          <w:rStyle w:val="normaltextrun"/>
          <w:color w:val="000000"/>
          <w:position w:val="1"/>
        </w:rPr>
        <w:t>p</w:t>
      </w:r>
      <w:r w:rsidR="007C6C4B" w:rsidRPr="00D56EA4">
        <w:rPr>
          <w:rStyle w:val="normaltextrun"/>
          <w:color w:val="000000"/>
          <w:position w:val="1"/>
        </w:rPr>
        <w:t xml:space="preserve">resentation by </w:t>
      </w:r>
      <w:r w:rsidR="00185D28">
        <w:rPr>
          <w:rStyle w:val="normaltextrun"/>
          <w:color w:val="000000"/>
          <w:position w:val="1"/>
        </w:rPr>
        <w:t>Strategic Data</w:t>
      </w:r>
      <w:r w:rsidR="00185D28" w:rsidRPr="00D56EA4">
        <w:rPr>
          <w:rStyle w:val="normaltextrun"/>
          <w:color w:val="000000"/>
          <w:position w:val="1"/>
        </w:rPr>
        <w:t xml:space="preserve"> </w:t>
      </w:r>
      <w:r w:rsidR="007C6C4B" w:rsidRPr="00D56EA4">
        <w:rPr>
          <w:rStyle w:val="normaltextrun"/>
          <w:color w:val="000000"/>
          <w:position w:val="1"/>
        </w:rPr>
        <w:t xml:space="preserve">Fellow, Pierre Lucien.  Highlights included demographics of Early College students, </w:t>
      </w:r>
      <w:proofErr w:type="spellStart"/>
      <w:r w:rsidR="007C6C4B" w:rsidRPr="00D56EA4">
        <w:rPr>
          <w:rStyle w:val="normaltextrun"/>
          <w:color w:val="000000"/>
          <w:position w:val="1"/>
        </w:rPr>
        <w:t>MassCore</w:t>
      </w:r>
      <w:proofErr w:type="spellEnd"/>
      <w:r w:rsidR="007C6C4B" w:rsidRPr="00D56EA4">
        <w:rPr>
          <w:rStyle w:val="normaltextrun"/>
          <w:color w:val="000000"/>
          <w:position w:val="1"/>
        </w:rPr>
        <w:t xml:space="preserve"> completion rates, FAFSA completion rates, </w:t>
      </w:r>
      <w:r>
        <w:rPr>
          <w:rStyle w:val="normaltextrun"/>
          <w:color w:val="000000"/>
          <w:position w:val="1"/>
        </w:rPr>
        <w:t>c</w:t>
      </w:r>
      <w:r w:rsidR="007C6C4B" w:rsidRPr="00D56EA4">
        <w:rPr>
          <w:rStyle w:val="normaltextrun"/>
          <w:color w:val="000000"/>
          <w:position w:val="1"/>
        </w:rPr>
        <w:t xml:space="preserve">ollege enrollment rates and other related information, </w:t>
      </w:r>
      <w:r>
        <w:rPr>
          <w:rStyle w:val="normaltextrun"/>
          <w:color w:val="000000"/>
          <w:position w:val="1"/>
        </w:rPr>
        <w:t xml:space="preserve">and </w:t>
      </w:r>
      <w:r w:rsidR="007C6C4B" w:rsidRPr="00D56EA4">
        <w:rPr>
          <w:rStyle w:val="normaltextrun"/>
          <w:color w:val="000000"/>
          <w:position w:val="1"/>
        </w:rPr>
        <w:t>retention rate of 2</w:t>
      </w:r>
      <w:r w:rsidR="007C6C4B" w:rsidRPr="00D56EA4">
        <w:rPr>
          <w:rStyle w:val="normaltextrun"/>
          <w:color w:val="000000"/>
          <w:position w:val="1"/>
          <w:vertAlign w:val="superscript"/>
        </w:rPr>
        <w:t>nd</w:t>
      </w:r>
      <w:r w:rsidR="007C6C4B" w:rsidRPr="00D56EA4">
        <w:rPr>
          <w:rStyle w:val="normaltextrun"/>
          <w:color w:val="000000"/>
          <w:position w:val="1"/>
        </w:rPr>
        <w:t xml:space="preserve"> year Early College high school graduates enrolled in college. </w:t>
      </w:r>
      <w:r w:rsidR="007C6C4B" w:rsidRPr="00D56EA4">
        <w:rPr>
          <w:rStyle w:val="eop"/>
        </w:rPr>
        <w:t>​</w:t>
      </w:r>
    </w:p>
    <w:p w14:paraId="38285B47" w14:textId="77777777" w:rsidR="007C6C4B" w:rsidRPr="00D56EA4" w:rsidRDefault="007C6C4B" w:rsidP="007C6C4B">
      <w:pPr>
        <w:rPr>
          <w:b/>
          <w:bCs/>
          <w:szCs w:val="24"/>
        </w:rPr>
      </w:pPr>
    </w:p>
    <w:p w14:paraId="7F427CBE" w14:textId="77777777" w:rsidR="007C6C4B" w:rsidRPr="00D56EA4" w:rsidRDefault="007C6C4B" w:rsidP="00D56EA4">
      <w:pPr>
        <w:spacing w:after="100" w:afterAutospacing="1"/>
        <w:rPr>
          <w:b/>
          <w:bCs/>
          <w:szCs w:val="24"/>
        </w:rPr>
      </w:pPr>
      <w:r w:rsidRPr="00D56EA4">
        <w:rPr>
          <w:b/>
          <w:bCs/>
          <w:szCs w:val="24"/>
        </w:rPr>
        <w:t xml:space="preserve">MA Innovation Pathways </w:t>
      </w:r>
    </w:p>
    <w:p w14:paraId="34B88FF1" w14:textId="2AB686AD" w:rsidR="007C6C4B" w:rsidRPr="00D56EA4" w:rsidRDefault="007C6C4B" w:rsidP="007C6C4B">
      <w:pPr>
        <w:rPr>
          <w:color w:val="000000" w:themeColor="text1"/>
          <w:kern w:val="24"/>
          <w:szCs w:val="24"/>
        </w:rPr>
      </w:pPr>
      <w:r w:rsidRPr="00D56EA4">
        <w:rPr>
          <w:szCs w:val="24"/>
        </w:rPr>
        <w:t xml:space="preserve">Also begun in 2017, </w:t>
      </w:r>
      <w:hyperlink r:id="rId17" w:history="1">
        <w:r w:rsidRPr="00D56EA4">
          <w:rPr>
            <w:rStyle w:val="Hyperlink"/>
            <w:szCs w:val="24"/>
          </w:rPr>
          <w:t>Innovation Pathways</w:t>
        </w:r>
      </w:hyperlink>
      <w:r w:rsidRPr="00D56EA4">
        <w:rPr>
          <w:szCs w:val="24"/>
        </w:rPr>
        <w:t xml:space="preserve"> allow both academic and comprehensive high schools to leverage strong partnerships with </w:t>
      </w:r>
      <w:proofErr w:type="spellStart"/>
      <w:r w:rsidRPr="00D56EA4">
        <w:rPr>
          <w:szCs w:val="24"/>
        </w:rPr>
        <w:t>MassHire</w:t>
      </w:r>
      <w:proofErr w:type="spellEnd"/>
      <w:r w:rsidRPr="00D56EA4">
        <w:rPr>
          <w:szCs w:val="24"/>
        </w:rPr>
        <w:t xml:space="preserve"> Boards and employers. Through these programs</w:t>
      </w:r>
      <w:r w:rsidR="00F5130B">
        <w:rPr>
          <w:szCs w:val="24"/>
        </w:rPr>
        <w:t>,</w:t>
      </w:r>
      <w:r w:rsidRPr="00D56EA4">
        <w:rPr>
          <w:szCs w:val="24"/>
        </w:rPr>
        <w:t xml:space="preserve"> students develop knowledge and skills related to their chosen field of study before they graduate </w:t>
      </w:r>
      <w:r w:rsidR="00F5130B">
        <w:rPr>
          <w:szCs w:val="24"/>
        </w:rPr>
        <w:t xml:space="preserve">from </w:t>
      </w:r>
      <w:r w:rsidRPr="00D56EA4">
        <w:rPr>
          <w:szCs w:val="24"/>
        </w:rPr>
        <w:t xml:space="preserve">high school.  Innovation </w:t>
      </w:r>
      <w:r w:rsidR="00F5130B">
        <w:rPr>
          <w:szCs w:val="24"/>
        </w:rPr>
        <w:t>P</w:t>
      </w:r>
      <w:r w:rsidRPr="00D56EA4">
        <w:rPr>
          <w:szCs w:val="24"/>
        </w:rPr>
        <w:t xml:space="preserve">athway </w:t>
      </w:r>
      <w:r w:rsidR="00F5130B">
        <w:rPr>
          <w:szCs w:val="24"/>
        </w:rPr>
        <w:t>p</w:t>
      </w:r>
      <w:r w:rsidRPr="00D56EA4">
        <w:rPr>
          <w:szCs w:val="24"/>
        </w:rPr>
        <w:t>rograms consist of 3</w:t>
      </w:r>
      <w:r w:rsidR="0043309E">
        <w:rPr>
          <w:szCs w:val="24"/>
        </w:rPr>
        <w:t xml:space="preserve"> to </w:t>
      </w:r>
      <w:proofErr w:type="gramStart"/>
      <w:r w:rsidR="0043309E">
        <w:rPr>
          <w:szCs w:val="24"/>
        </w:rPr>
        <w:t>4</w:t>
      </w:r>
      <w:r w:rsidRPr="00D56EA4">
        <w:rPr>
          <w:szCs w:val="24"/>
        </w:rPr>
        <w:t xml:space="preserve"> year</w:t>
      </w:r>
      <w:proofErr w:type="gramEnd"/>
      <w:r w:rsidRPr="00D56EA4">
        <w:rPr>
          <w:szCs w:val="24"/>
        </w:rPr>
        <w:t xml:space="preserve"> pathways which provide contextualized learning, aligned with </w:t>
      </w:r>
      <w:r w:rsidR="002753BD" w:rsidRPr="00D56EA4">
        <w:rPr>
          <w:szCs w:val="24"/>
        </w:rPr>
        <w:t>broadly defined</w:t>
      </w:r>
      <w:r w:rsidRPr="00D56EA4">
        <w:rPr>
          <w:szCs w:val="24"/>
        </w:rPr>
        <w:t xml:space="preserve"> high-demand industry sectors.</w:t>
      </w:r>
      <w:r w:rsidRPr="00D56EA4">
        <w:rPr>
          <w:color w:val="000000" w:themeColor="text1"/>
          <w:kern w:val="24"/>
          <w:szCs w:val="24"/>
        </w:rPr>
        <w:t xml:space="preserve"> These include: </w:t>
      </w:r>
    </w:p>
    <w:p w14:paraId="2776E166" w14:textId="77777777" w:rsidR="007C6C4B" w:rsidRPr="00D56EA4" w:rsidRDefault="007C6C4B" w:rsidP="007C6C4B">
      <w:pPr>
        <w:pStyle w:val="ListParagraph"/>
        <w:numPr>
          <w:ilvl w:val="0"/>
          <w:numId w:val="3"/>
        </w:numPr>
        <w:rPr>
          <w:rFonts w:ascii="Times New Roman" w:hAnsi="Times New Roman" w:cs="Times New Roman"/>
          <w:color w:val="000000" w:themeColor="text1"/>
          <w:kern w:val="24"/>
          <w:sz w:val="24"/>
          <w:szCs w:val="24"/>
        </w:rPr>
      </w:pPr>
      <w:r w:rsidRPr="00D56EA4">
        <w:rPr>
          <w:rFonts w:ascii="Times New Roman" w:hAnsi="Times New Roman" w:cs="Times New Roman"/>
          <w:color w:val="000000" w:themeColor="text1"/>
          <w:kern w:val="24"/>
          <w:sz w:val="24"/>
          <w:szCs w:val="24"/>
        </w:rPr>
        <w:t>Manufacturing</w:t>
      </w:r>
    </w:p>
    <w:p w14:paraId="16B1DF86" w14:textId="77777777" w:rsidR="007C6C4B" w:rsidRPr="00D56EA4" w:rsidRDefault="007C6C4B" w:rsidP="007C6C4B">
      <w:pPr>
        <w:pStyle w:val="ListParagraph"/>
        <w:numPr>
          <w:ilvl w:val="0"/>
          <w:numId w:val="3"/>
        </w:numPr>
        <w:rPr>
          <w:rFonts w:ascii="Times New Roman" w:hAnsi="Times New Roman" w:cs="Times New Roman"/>
          <w:color w:val="000000" w:themeColor="text1"/>
          <w:kern w:val="24"/>
          <w:sz w:val="24"/>
          <w:szCs w:val="24"/>
        </w:rPr>
      </w:pPr>
      <w:r w:rsidRPr="00D56EA4">
        <w:rPr>
          <w:rFonts w:ascii="Times New Roman" w:hAnsi="Times New Roman" w:cs="Times New Roman"/>
          <w:color w:val="000000" w:themeColor="text1"/>
          <w:kern w:val="24"/>
          <w:sz w:val="24"/>
          <w:szCs w:val="24"/>
        </w:rPr>
        <w:t>Healthcare and Social Assistance</w:t>
      </w:r>
    </w:p>
    <w:p w14:paraId="40D8C683" w14:textId="77777777" w:rsidR="007C6C4B" w:rsidRPr="00D56EA4" w:rsidRDefault="007C6C4B" w:rsidP="007C6C4B">
      <w:pPr>
        <w:pStyle w:val="ListParagraph"/>
        <w:numPr>
          <w:ilvl w:val="0"/>
          <w:numId w:val="3"/>
        </w:numPr>
        <w:rPr>
          <w:rFonts w:ascii="Times New Roman" w:hAnsi="Times New Roman" w:cs="Times New Roman"/>
          <w:color w:val="000000" w:themeColor="text1"/>
          <w:kern w:val="24"/>
          <w:sz w:val="24"/>
          <w:szCs w:val="24"/>
        </w:rPr>
      </w:pPr>
      <w:r w:rsidRPr="00D56EA4">
        <w:rPr>
          <w:rFonts w:ascii="Times New Roman" w:hAnsi="Times New Roman" w:cs="Times New Roman"/>
          <w:color w:val="000000" w:themeColor="text1"/>
          <w:kern w:val="24"/>
          <w:sz w:val="24"/>
          <w:szCs w:val="24"/>
        </w:rPr>
        <w:t>Information</w:t>
      </w:r>
    </w:p>
    <w:p w14:paraId="57445738" w14:textId="77777777" w:rsidR="007C6C4B" w:rsidRPr="00D56EA4" w:rsidRDefault="007C6C4B" w:rsidP="007C6C4B">
      <w:pPr>
        <w:pStyle w:val="ListParagraph"/>
        <w:numPr>
          <w:ilvl w:val="0"/>
          <w:numId w:val="3"/>
        </w:numPr>
        <w:rPr>
          <w:rFonts w:ascii="Times New Roman" w:hAnsi="Times New Roman" w:cs="Times New Roman"/>
          <w:color w:val="000000" w:themeColor="text1"/>
          <w:kern w:val="24"/>
          <w:sz w:val="24"/>
          <w:szCs w:val="24"/>
        </w:rPr>
      </w:pPr>
      <w:r w:rsidRPr="00D56EA4">
        <w:rPr>
          <w:rFonts w:ascii="Times New Roman" w:hAnsi="Times New Roman" w:cs="Times New Roman"/>
          <w:color w:val="000000" w:themeColor="text1"/>
          <w:kern w:val="24"/>
          <w:sz w:val="24"/>
          <w:szCs w:val="24"/>
        </w:rPr>
        <w:t>Environmental and Life Sciences</w:t>
      </w:r>
    </w:p>
    <w:p w14:paraId="73D2F20E" w14:textId="77777777" w:rsidR="007C6C4B" w:rsidRPr="00D56EA4" w:rsidRDefault="007C6C4B" w:rsidP="007C6C4B">
      <w:pPr>
        <w:pStyle w:val="ListParagraph"/>
        <w:numPr>
          <w:ilvl w:val="0"/>
          <w:numId w:val="3"/>
        </w:numPr>
        <w:rPr>
          <w:rFonts w:ascii="Times New Roman" w:hAnsi="Times New Roman" w:cs="Times New Roman"/>
          <w:color w:val="000000" w:themeColor="text1"/>
          <w:kern w:val="24"/>
          <w:sz w:val="24"/>
          <w:szCs w:val="24"/>
        </w:rPr>
      </w:pPr>
      <w:r w:rsidRPr="00D56EA4">
        <w:rPr>
          <w:rFonts w:ascii="Times New Roman" w:hAnsi="Times New Roman" w:cs="Times New Roman"/>
          <w:color w:val="000000" w:themeColor="text1"/>
          <w:kern w:val="24"/>
          <w:sz w:val="24"/>
          <w:szCs w:val="24"/>
        </w:rPr>
        <w:t>Business and Finance</w:t>
      </w:r>
    </w:p>
    <w:p w14:paraId="7E9D06CE" w14:textId="53725B9E" w:rsidR="007C6C4B" w:rsidRPr="00D56EA4" w:rsidRDefault="007C6C4B" w:rsidP="007C6C4B">
      <w:r>
        <w:t xml:space="preserve">Like Early College, Innovation </w:t>
      </w:r>
      <w:r w:rsidR="00EC4C53">
        <w:t>P</w:t>
      </w:r>
      <w:r>
        <w:t xml:space="preserve">athways have well-defined scopes and sequences including </w:t>
      </w:r>
      <w:r w:rsidR="00EC4C53">
        <w:t>t</w:t>
      </w:r>
      <w:r>
        <w:t>wo technical courses</w:t>
      </w:r>
      <w:r w:rsidR="00EC4C53">
        <w:t>, t</w:t>
      </w:r>
      <w:r>
        <w:t>wo related advanced courses (AP, dual enrollment, IB, Project Lead the Way)</w:t>
      </w:r>
      <w:r w:rsidR="00EC4C53">
        <w:t>,</w:t>
      </w:r>
      <w:r>
        <w:t xml:space="preserve"> possible </w:t>
      </w:r>
      <w:r w:rsidR="00EC4C53">
        <w:t>i</w:t>
      </w:r>
      <w:r>
        <w:t xml:space="preserve">ndustry-relevant certifications and skills, and a focus on </w:t>
      </w:r>
      <w:r w:rsidR="00EC4C53">
        <w:t>c</w:t>
      </w:r>
      <w:r>
        <w:t xml:space="preserve">areer </w:t>
      </w:r>
      <w:r w:rsidR="00EC4C53">
        <w:t>d</w:t>
      </w:r>
      <w:r>
        <w:t xml:space="preserve">evelopment </w:t>
      </w:r>
      <w:r w:rsidR="00EC4C53">
        <w:t>e</w:t>
      </w:r>
      <w:r>
        <w:t>ducation, with career awareness and exploration</w:t>
      </w:r>
      <w:r w:rsidR="00D56EA4">
        <w:t xml:space="preserve"> </w:t>
      </w:r>
      <w:r>
        <w:t xml:space="preserve">leading up to 100-hour immersive experience (internship or capstone). </w:t>
      </w:r>
      <w:r w:rsidR="0043309E">
        <w:t>There</w:t>
      </w:r>
      <w:r>
        <w:t xml:space="preserve"> are currently </w:t>
      </w:r>
      <w:hyperlink r:id="rId18">
        <w:r w:rsidRPr="25E299BB">
          <w:rPr>
            <w:rStyle w:val="Hyperlink"/>
          </w:rPr>
          <w:t>4</w:t>
        </w:r>
        <w:r w:rsidR="67D609A7" w:rsidRPr="25E299BB">
          <w:rPr>
            <w:rStyle w:val="Hyperlink"/>
          </w:rPr>
          <w:t>9</w:t>
        </w:r>
        <w:r w:rsidRPr="25E299BB">
          <w:rPr>
            <w:rStyle w:val="Hyperlink"/>
          </w:rPr>
          <w:t xml:space="preserve"> participating </w:t>
        </w:r>
        <w:r w:rsidR="00EC4C53" w:rsidRPr="25E299BB">
          <w:rPr>
            <w:rStyle w:val="Hyperlink"/>
          </w:rPr>
          <w:t>h</w:t>
        </w:r>
        <w:r w:rsidRPr="25E299BB">
          <w:rPr>
            <w:rStyle w:val="Hyperlink"/>
          </w:rPr>
          <w:t xml:space="preserve">igh </w:t>
        </w:r>
        <w:r w:rsidR="00EC4C53" w:rsidRPr="25E299BB">
          <w:rPr>
            <w:rStyle w:val="Hyperlink"/>
          </w:rPr>
          <w:t>s</w:t>
        </w:r>
        <w:r w:rsidRPr="25E299BB">
          <w:rPr>
            <w:rStyle w:val="Hyperlink"/>
          </w:rPr>
          <w:t xml:space="preserve">chools in </w:t>
        </w:r>
        <w:r w:rsidR="5B5765E4" w:rsidRPr="25E299BB">
          <w:rPr>
            <w:rStyle w:val="Hyperlink"/>
          </w:rPr>
          <w:t>43</w:t>
        </w:r>
        <w:r w:rsidRPr="25E299BB">
          <w:rPr>
            <w:rStyle w:val="Hyperlink"/>
          </w:rPr>
          <w:t xml:space="preserve"> districts </w:t>
        </w:r>
        <w:r w:rsidR="0043309E" w:rsidRPr="25E299BB">
          <w:rPr>
            <w:rStyle w:val="Hyperlink"/>
          </w:rPr>
          <w:t>implementing designated Innovation Pathways</w:t>
        </w:r>
      </w:hyperlink>
      <w:r w:rsidR="0043309E">
        <w:t xml:space="preserve">, </w:t>
      </w:r>
      <w:r w:rsidR="520B1FA5">
        <w:t xml:space="preserve">reaching over </w:t>
      </w:r>
      <w:r w:rsidR="15BAFC0C">
        <w:t>2</w:t>
      </w:r>
      <w:r w:rsidR="520B1FA5">
        <w:t>000</w:t>
      </w:r>
      <w:r w:rsidR="0043309E">
        <w:t xml:space="preserve"> students. A</w:t>
      </w:r>
      <w:r>
        <w:t xml:space="preserve">ll 16 </w:t>
      </w:r>
      <w:proofErr w:type="spellStart"/>
      <w:r>
        <w:t>MassHire</w:t>
      </w:r>
      <w:proofErr w:type="spellEnd"/>
      <w:r>
        <w:t xml:space="preserve"> Boards have been engaged</w:t>
      </w:r>
      <w:r w:rsidR="0043309E">
        <w:t xml:space="preserve"> along with m</w:t>
      </w:r>
      <w:r>
        <w:t xml:space="preserve">ore than 300 employers </w:t>
      </w:r>
      <w:r w:rsidR="00535809">
        <w:t xml:space="preserve">who </w:t>
      </w:r>
      <w:r>
        <w:t xml:space="preserve">have joined in partnering with the </w:t>
      </w:r>
      <w:r w:rsidR="54B7AFF3">
        <w:t>121</w:t>
      </w:r>
      <w:r>
        <w:t xml:space="preserve"> pathways </w:t>
      </w:r>
      <w:r w:rsidR="00EC4C53">
        <w:t xml:space="preserve">that are </w:t>
      </w:r>
      <w:r>
        <w:t xml:space="preserve">currently </w:t>
      </w:r>
      <w:r w:rsidR="00EC4C53">
        <w:t>d</w:t>
      </w:r>
      <w:r>
        <w:t xml:space="preserve">esignated. Schools with the Innovation Pathways designation, along with their </w:t>
      </w:r>
      <w:proofErr w:type="spellStart"/>
      <w:r>
        <w:t>MassHire</w:t>
      </w:r>
      <w:proofErr w:type="spellEnd"/>
      <w:r>
        <w:t xml:space="preserve"> and employer partners, regularly participate in </w:t>
      </w:r>
      <w:hyperlink r:id="rId19">
        <w:r w:rsidRPr="25E299BB">
          <w:rPr>
            <w:rStyle w:val="Hyperlink"/>
          </w:rPr>
          <w:t>community of practice</w:t>
        </w:r>
      </w:hyperlink>
      <w:r>
        <w:t xml:space="preserve"> offerings, designed to support a variety of design, development, and implementation needs. </w:t>
      </w:r>
    </w:p>
    <w:p w14:paraId="5DD6C0C9" w14:textId="77777777" w:rsidR="00D56EA4" w:rsidRDefault="00D56EA4" w:rsidP="007C6C4B">
      <w:pPr>
        <w:rPr>
          <w:color w:val="1D2228"/>
          <w:szCs w:val="24"/>
        </w:rPr>
      </w:pPr>
    </w:p>
    <w:p w14:paraId="691B19A0" w14:textId="59BE7DF0" w:rsidR="007C6C4B" w:rsidRDefault="007C6C4B" w:rsidP="007C6C4B">
      <w:pPr>
        <w:rPr>
          <w:color w:val="1D2228"/>
          <w:szCs w:val="24"/>
        </w:rPr>
      </w:pPr>
      <w:r w:rsidRPr="00D56EA4">
        <w:rPr>
          <w:color w:val="1D2228"/>
          <w:szCs w:val="24"/>
        </w:rPr>
        <w:t>Department staff, including Kristin Hunt, Early College Director, and Jennifer Gwatkin, Innovation Pathways Lead,</w:t>
      </w:r>
      <w:r w:rsidRPr="00D56EA4" w:rsidDel="002E67C7">
        <w:rPr>
          <w:color w:val="1D2228"/>
          <w:szCs w:val="24"/>
        </w:rPr>
        <w:t xml:space="preserve"> </w:t>
      </w:r>
      <w:r w:rsidRPr="00D56EA4">
        <w:rPr>
          <w:color w:val="1D2228"/>
          <w:szCs w:val="24"/>
        </w:rPr>
        <w:t>will be present at the meeting to address the Board and answer questions.</w:t>
      </w:r>
    </w:p>
    <w:p w14:paraId="7BF24DBB" w14:textId="199CEE34" w:rsidR="00201172" w:rsidRDefault="00201172">
      <w:pPr>
        <w:rPr>
          <w:color w:val="1D2228"/>
          <w:szCs w:val="24"/>
        </w:rPr>
      </w:pPr>
    </w:p>
    <w:sectPr w:rsidR="00201172" w:rsidSect="00D56EA4">
      <w:footerReference w:type="default" r:id="rId20"/>
      <w:endnotePr>
        <w:numFmt w:val="decimal"/>
      </w:endnotePr>
      <w:type w:val="continuous"/>
      <w:pgSz w:w="12240" w:h="15840"/>
      <w:pgMar w:top="1440" w:right="1440" w:bottom="1440" w:left="1440" w:header="1440" w:footer="35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39AC3" w14:textId="77777777" w:rsidR="00E15549" w:rsidRDefault="00E15549" w:rsidP="00D56EA4">
      <w:r>
        <w:separator/>
      </w:r>
    </w:p>
  </w:endnote>
  <w:endnote w:type="continuationSeparator" w:id="0">
    <w:p w14:paraId="135BEBEA" w14:textId="77777777" w:rsidR="00E15549" w:rsidRDefault="00E15549" w:rsidP="00D56EA4">
      <w:r>
        <w:continuationSeparator/>
      </w:r>
    </w:p>
  </w:endnote>
  <w:endnote w:type="continuationNotice" w:id="1">
    <w:p w14:paraId="78AEED08" w14:textId="77777777" w:rsidR="00E15549" w:rsidRDefault="00E155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0549991"/>
      <w:docPartObj>
        <w:docPartGallery w:val="Page Numbers (Bottom of Page)"/>
        <w:docPartUnique/>
      </w:docPartObj>
    </w:sdtPr>
    <w:sdtEndPr>
      <w:rPr>
        <w:noProof/>
      </w:rPr>
    </w:sdtEndPr>
    <w:sdtContent>
      <w:p w14:paraId="7060C31C" w14:textId="23AE5C8B" w:rsidR="00D56EA4" w:rsidRDefault="00D56E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C8B589" w14:textId="77777777" w:rsidR="00D56EA4" w:rsidRDefault="00D56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5528E" w14:textId="77777777" w:rsidR="00E15549" w:rsidRDefault="00E15549" w:rsidP="00D56EA4">
      <w:r>
        <w:separator/>
      </w:r>
    </w:p>
  </w:footnote>
  <w:footnote w:type="continuationSeparator" w:id="0">
    <w:p w14:paraId="5456A76F" w14:textId="77777777" w:rsidR="00E15549" w:rsidRDefault="00E15549" w:rsidP="00D56EA4">
      <w:r>
        <w:continuationSeparator/>
      </w:r>
    </w:p>
  </w:footnote>
  <w:footnote w:type="continuationNotice" w:id="1">
    <w:p w14:paraId="1F432AE8" w14:textId="77777777" w:rsidR="00E15549" w:rsidRDefault="00E155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71251"/>
    <w:multiLevelType w:val="hybridMultilevel"/>
    <w:tmpl w:val="5DE46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352ABC"/>
    <w:multiLevelType w:val="multilevel"/>
    <w:tmpl w:val="3F5C3F64"/>
    <w:lvl w:ilvl="0">
      <w:start w:val="1"/>
      <w:numFmt w:val="bullet"/>
      <w:lvlText w:val=""/>
      <w:lvlJc w:val="left"/>
      <w:pPr>
        <w:tabs>
          <w:tab w:val="num" w:pos="570"/>
        </w:tabs>
        <w:ind w:left="570" w:hanging="360"/>
      </w:pPr>
      <w:rPr>
        <w:rFonts w:ascii="Symbol" w:hAnsi="Symbol" w:hint="default"/>
        <w:sz w:val="20"/>
      </w:rPr>
    </w:lvl>
    <w:lvl w:ilvl="1" w:tentative="1">
      <w:start w:val="1"/>
      <w:numFmt w:val="bullet"/>
      <w:lvlText w:val=""/>
      <w:lvlJc w:val="left"/>
      <w:pPr>
        <w:tabs>
          <w:tab w:val="num" w:pos="1290"/>
        </w:tabs>
        <w:ind w:left="1290" w:hanging="360"/>
      </w:pPr>
      <w:rPr>
        <w:rFonts w:ascii="Symbol" w:hAnsi="Symbol" w:hint="default"/>
        <w:sz w:val="20"/>
      </w:rPr>
    </w:lvl>
    <w:lvl w:ilvl="2" w:tentative="1">
      <w:start w:val="1"/>
      <w:numFmt w:val="bullet"/>
      <w:lvlText w:val=""/>
      <w:lvlJc w:val="left"/>
      <w:pPr>
        <w:tabs>
          <w:tab w:val="num" w:pos="2010"/>
        </w:tabs>
        <w:ind w:left="2010" w:hanging="360"/>
      </w:pPr>
      <w:rPr>
        <w:rFonts w:ascii="Symbol" w:hAnsi="Symbol" w:hint="default"/>
        <w:sz w:val="20"/>
      </w:rPr>
    </w:lvl>
    <w:lvl w:ilvl="3" w:tentative="1">
      <w:start w:val="1"/>
      <w:numFmt w:val="bullet"/>
      <w:lvlText w:val=""/>
      <w:lvlJc w:val="left"/>
      <w:pPr>
        <w:tabs>
          <w:tab w:val="num" w:pos="2730"/>
        </w:tabs>
        <w:ind w:left="2730" w:hanging="360"/>
      </w:pPr>
      <w:rPr>
        <w:rFonts w:ascii="Symbol" w:hAnsi="Symbol" w:hint="default"/>
        <w:sz w:val="20"/>
      </w:rPr>
    </w:lvl>
    <w:lvl w:ilvl="4" w:tentative="1">
      <w:start w:val="1"/>
      <w:numFmt w:val="bullet"/>
      <w:lvlText w:val=""/>
      <w:lvlJc w:val="left"/>
      <w:pPr>
        <w:tabs>
          <w:tab w:val="num" w:pos="3450"/>
        </w:tabs>
        <w:ind w:left="3450" w:hanging="360"/>
      </w:pPr>
      <w:rPr>
        <w:rFonts w:ascii="Symbol" w:hAnsi="Symbol" w:hint="default"/>
        <w:sz w:val="20"/>
      </w:rPr>
    </w:lvl>
    <w:lvl w:ilvl="5" w:tentative="1">
      <w:start w:val="1"/>
      <w:numFmt w:val="bullet"/>
      <w:lvlText w:val=""/>
      <w:lvlJc w:val="left"/>
      <w:pPr>
        <w:tabs>
          <w:tab w:val="num" w:pos="4170"/>
        </w:tabs>
        <w:ind w:left="4170" w:hanging="360"/>
      </w:pPr>
      <w:rPr>
        <w:rFonts w:ascii="Symbol" w:hAnsi="Symbol" w:hint="default"/>
        <w:sz w:val="20"/>
      </w:rPr>
    </w:lvl>
    <w:lvl w:ilvl="6" w:tentative="1">
      <w:start w:val="1"/>
      <w:numFmt w:val="bullet"/>
      <w:lvlText w:val=""/>
      <w:lvlJc w:val="left"/>
      <w:pPr>
        <w:tabs>
          <w:tab w:val="num" w:pos="4890"/>
        </w:tabs>
        <w:ind w:left="4890" w:hanging="360"/>
      </w:pPr>
      <w:rPr>
        <w:rFonts w:ascii="Symbol" w:hAnsi="Symbol" w:hint="default"/>
        <w:sz w:val="20"/>
      </w:rPr>
    </w:lvl>
    <w:lvl w:ilvl="7" w:tentative="1">
      <w:start w:val="1"/>
      <w:numFmt w:val="bullet"/>
      <w:lvlText w:val=""/>
      <w:lvlJc w:val="left"/>
      <w:pPr>
        <w:tabs>
          <w:tab w:val="num" w:pos="5610"/>
        </w:tabs>
        <w:ind w:left="5610" w:hanging="360"/>
      </w:pPr>
      <w:rPr>
        <w:rFonts w:ascii="Symbol" w:hAnsi="Symbol" w:hint="default"/>
        <w:sz w:val="20"/>
      </w:rPr>
    </w:lvl>
    <w:lvl w:ilvl="8" w:tentative="1">
      <w:start w:val="1"/>
      <w:numFmt w:val="bullet"/>
      <w:lvlText w:val=""/>
      <w:lvlJc w:val="left"/>
      <w:pPr>
        <w:tabs>
          <w:tab w:val="num" w:pos="6330"/>
        </w:tabs>
        <w:ind w:left="6330" w:hanging="360"/>
      </w:pPr>
      <w:rPr>
        <w:rFonts w:ascii="Symbol" w:hAnsi="Symbol" w:hint="default"/>
        <w:sz w:val="20"/>
      </w:rPr>
    </w:lvl>
  </w:abstractNum>
  <w:abstractNum w:abstractNumId="3" w15:restartNumberingAfterBreak="0">
    <w:nsid w:val="65FC4FA0"/>
    <w:multiLevelType w:val="hybridMultilevel"/>
    <w:tmpl w:val="EE1C31DA"/>
    <w:lvl w:ilvl="0" w:tplc="D97AA570">
      <w:start w:val="1"/>
      <w:numFmt w:val="bullet"/>
      <w:lvlText w:val="·"/>
      <w:lvlJc w:val="left"/>
      <w:pPr>
        <w:ind w:left="720" w:hanging="360"/>
      </w:pPr>
      <w:rPr>
        <w:rFonts w:ascii="Symbol" w:hAnsi="Symbol" w:hint="default"/>
      </w:rPr>
    </w:lvl>
    <w:lvl w:ilvl="1" w:tplc="4B36C11C">
      <w:start w:val="1"/>
      <w:numFmt w:val="bullet"/>
      <w:lvlText w:val="o"/>
      <w:lvlJc w:val="left"/>
      <w:pPr>
        <w:ind w:left="1440" w:hanging="360"/>
      </w:pPr>
      <w:rPr>
        <w:rFonts w:ascii="Courier New" w:hAnsi="Courier New" w:hint="default"/>
      </w:rPr>
    </w:lvl>
    <w:lvl w:ilvl="2" w:tplc="EBD63910">
      <w:start w:val="1"/>
      <w:numFmt w:val="bullet"/>
      <w:lvlText w:val=""/>
      <w:lvlJc w:val="left"/>
      <w:pPr>
        <w:ind w:left="2160" w:hanging="360"/>
      </w:pPr>
      <w:rPr>
        <w:rFonts w:ascii="Wingdings" w:hAnsi="Wingdings" w:hint="default"/>
      </w:rPr>
    </w:lvl>
    <w:lvl w:ilvl="3" w:tplc="87286900">
      <w:start w:val="1"/>
      <w:numFmt w:val="bullet"/>
      <w:lvlText w:val=""/>
      <w:lvlJc w:val="left"/>
      <w:pPr>
        <w:ind w:left="2880" w:hanging="360"/>
      </w:pPr>
      <w:rPr>
        <w:rFonts w:ascii="Symbol" w:hAnsi="Symbol" w:hint="default"/>
      </w:rPr>
    </w:lvl>
    <w:lvl w:ilvl="4" w:tplc="AF3C22F4">
      <w:start w:val="1"/>
      <w:numFmt w:val="bullet"/>
      <w:lvlText w:val="o"/>
      <w:lvlJc w:val="left"/>
      <w:pPr>
        <w:ind w:left="3600" w:hanging="360"/>
      </w:pPr>
      <w:rPr>
        <w:rFonts w:ascii="Courier New" w:hAnsi="Courier New" w:hint="default"/>
      </w:rPr>
    </w:lvl>
    <w:lvl w:ilvl="5" w:tplc="712C1698">
      <w:start w:val="1"/>
      <w:numFmt w:val="bullet"/>
      <w:lvlText w:val=""/>
      <w:lvlJc w:val="left"/>
      <w:pPr>
        <w:ind w:left="4320" w:hanging="360"/>
      </w:pPr>
      <w:rPr>
        <w:rFonts w:ascii="Wingdings" w:hAnsi="Wingdings" w:hint="default"/>
      </w:rPr>
    </w:lvl>
    <w:lvl w:ilvl="6" w:tplc="2D5EDB62">
      <w:start w:val="1"/>
      <w:numFmt w:val="bullet"/>
      <w:lvlText w:val=""/>
      <w:lvlJc w:val="left"/>
      <w:pPr>
        <w:ind w:left="5040" w:hanging="360"/>
      </w:pPr>
      <w:rPr>
        <w:rFonts w:ascii="Symbol" w:hAnsi="Symbol" w:hint="default"/>
      </w:rPr>
    </w:lvl>
    <w:lvl w:ilvl="7" w:tplc="BB34618E">
      <w:start w:val="1"/>
      <w:numFmt w:val="bullet"/>
      <w:lvlText w:val="o"/>
      <w:lvlJc w:val="left"/>
      <w:pPr>
        <w:ind w:left="5760" w:hanging="360"/>
      </w:pPr>
      <w:rPr>
        <w:rFonts w:ascii="Courier New" w:hAnsi="Courier New" w:hint="default"/>
      </w:rPr>
    </w:lvl>
    <w:lvl w:ilvl="8" w:tplc="EE980354">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C6F"/>
    <w:rsid w:val="0000342E"/>
    <w:rsid w:val="00025507"/>
    <w:rsid w:val="00041CA1"/>
    <w:rsid w:val="000765D6"/>
    <w:rsid w:val="00082B07"/>
    <w:rsid w:val="00086F0E"/>
    <w:rsid w:val="000A4B32"/>
    <w:rsid w:val="000A746C"/>
    <w:rsid w:val="000E0994"/>
    <w:rsid w:val="00101575"/>
    <w:rsid w:val="001077A1"/>
    <w:rsid w:val="001132C7"/>
    <w:rsid w:val="0012109F"/>
    <w:rsid w:val="00173685"/>
    <w:rsid w:val="00185D28"/>
    <w:rsid w:val="00195B56"/>
    <w:rsid w:val="001A339B"/>
    <w:rsid w:val="001C5086"/>
    <w:rsid w:val="00201172"/>
    <w:rsid w:val="00257EF3"/>
    <w:rsid w:val="002672B1"/>
    <w:rsid w:val="002753BD"/>
    <w:rsid w:val="002A3E22"/>
    <w:rsid w:val="002B4B10"/>
    <w:rsid w:val="002C0CF9"/>
    <w:rsid w:val="002C73D0"/>
    <w:rsid w:val="002F5424"/>
    <w:rsid w:val="002F6751"/>
    <w:rsid w:val="00303F27"/>
    <w:rsid w:val="00346AF2"/>
    <w:rsid w:val="00371793"/>
    <w:rsid w:val="00386D85"/>
    <w:rsid w:val="003953C8"/>
    <w:rsid w:val="003A1B27"/>
    <w:rsid w:val="003A2ACA"/>
    <w:rsid w:val="003D22EC"/>
    <w:rsid w:val="0041210C"/>
    <w:rsid w:val="0043309E"/>
    <w:rsid w:val="00444C6F"/>
    <w:rsid w:val="00492C87"/>
    <w:rsid w:val="004B3757"/>
    <w:rsid w:val="004C3BED"/>
    <w:rsid w:val="004E5697"/>
    <w:rsid w:val="004F2EED"/>
    <w:rsid w:val="00535809"/>
    <w:rsid w:val="00536C97"/>
    <w:rsid w:val="005430E2"/>
    <w:rsid w:val="00571666"/>
    <w:rsid w:val="0059178C"/>
    <w:rsid w:val="005970D8"/>
    <w:rsid w:val="005B2DCC"/>
    <w:rsid w:val="005C1013"/>
    <w:rsid w:val="005E3535"/>
    <w:rsid w:val="00635070"/>
    <w:rsid w:val="006372FE"/>
    <w:rsid w:val="00687F6A"/>
    <w:rsid w:val="006D666D"/>
    <w:rsid w:val="006E6BB2"/>
    <w:rsid w:val="00726E27"/>
    <w:rsid w:val="00761FD8"/>
    <w:rsid w:val="007663CE"/>
    <w:rsid w:val="007732FB"/>
    <w:rsid w:val="007C6C4B"/>
    <w:rsid w:val="007F057D"/>
    <w:rsid w:val="00891346"/>
    <w:rsid w:val="0089569A"/>
    <w:rsid w:val="008C238A"/>
    <w:rsid w:val="008C62C0"/>
    <w:rsid w:val="008F27EE"/>
    <w:rsid w:val="008F41AA"/>
    <w:rsid w:val="008F77C2"/>
    <w:rsid w:val="00931935"/>
    <w:rsid w:val="009909F4"/>
    <w:rsid w:val="00A107CE"/>
    <w:rsid w:val="00A20194"/>
    <w:rsid w:val="00A70FE3"/>
    <w:rsid w:val="00A7681B"/>
    <w:rsid w:val="00A9309B"/>
    <w:rsid w:val="00B15E7C"/>
    <w:rsid w:val="00B17F4D"/>
    <w:rsid w:val="00B34968"/>
    <w:rsid w:val="00C90902"/>
    <w:rsid w:val="00C96733"/>
    <w:rsid w:val="00C973FF"/>
    <w:rsid w:val="00C974A6"/>
    <w:rsid w:val="00CD56B8"/>
    <w:rsid w:val="00CE2BCC"/>
    <w:rsid w:val="00D1782C"/>
    <w:rsid w:val="00D22B9D"/>
    <w:rsid w:val="00D456B8"/>
    <w:rsid w:val="00D56EA4"/>
    <w:rsid w:val="00D73B50"/>
    <w:rsid w:val="00D85E36"/>
    <w:rsid w:val="00DB7360"/>
    <w:rsid w:val="00E15549"/>
    <w:rsid w:val="00E50DA4"/>
    <w:rsid w:val="00E77FAD"/>
    <w:rsid w:val="00EC4C53"/>
    <w:rsid w:val="00ED44B5"/>
    <w:rsid w:val="00EE0A55"/>
    <w:rsid w:val="00EE1704"/>
    <w:rsid w:val="00F05B63"/>
    <w:rsid w:val="00F25840"/>
    <w:rsid w:val="00F5130B"/>
    <w:rsid w:val="00F76E32"/>
    <w:rsid w:val="00F878C5"/>
    <w:rsid w:val="00FB4F69"/>
    <w:rsid w:val="023CCD12"/>
    <w:rsid w:val="0592F47B"/>
    <w:rsid w:val="064ACBCB"/>
    <w:rsid w:val="0691C94C"/>
    <w:rsid w:val="0835563D"/>
    <w:rsid w:val="09991468"/>
    <w:rsid w:val="09C2C352"/>
    <w:rsid w:val="0B6CF6FF"/>
    <w:rsid w:val="0D60FCF7"/>
    <w:rsid w:val="0D8A3040"/>
    <w:rsid w:val="125B447E"/>
    <w:rsid w:val="14367A93"/>
    <w:rsid w:val="15BAFC0C"/>
    <w:rsid w:val="183251AA"/>
    <w:rsid w:val="19CE220B"/>
    <w:rsid w:val="1A8EE395"/>
    <w:rsid w:val="1B74600E"/>
    <w:rsid w:val="1D49BD9D"/>
    <w:rsid w:val="1E451723"/>
    <w:rsid w:val="20DFE252"/>
    <w:rsid w:val="23798B65"/>
    <w:rsid w:val="25149798"/>
    <w:rsid w:val="2560E0D9"/>
    <w:rsid w:val="25E299BB"/>
    <w:rsid w:val="25E448AE"/>
    <w:rsid w:val="2759F3EF"/>
    <w:rsid w:val="29BB4462"/>
    <w:rsid w:val="2F149F75"/>
    <w:rsid w:val="305B74DF"/>
    <w:rsid w:val="31F74540"/>
    <w:rsid w:val="32BA193A"/>
    <w:rsid w:val="342681C6"/>
    <w:rsid w:val="34B7486D"/>
    <w:rsid w:val="3515BDA5"/>
    <w:rsid w:val="37675B7E"/>
    <w:rsid w:val="39F39C6A"/>
    <w:rsid w:val="3C83DFAB"/>
    <w:rsid w:val="3D755E1F"/>
    <w:rsid w:val="3DE05B88"/>
    <w:rsid w:val="3EBC9FEB"/>
    <w:rsid w:val="3F7F73E5"/>
    <w:rsid w:val="4075DE3D"/>
    <w:rsid w:val="433626FE"/>
    <w:rsid w:val="44C058C3"/>
    <w:rsid w:val="498B87D6"/>
    <w:rsid w:val="49AC0459"/>
    <w:rsid w:val="49D24576"/>
    <w:rsid w:val="4DCE2141"/>
    <w:rsid w:val="4EF81CE4"/>
    <w:rsid w:val="51539C4E"/>
    <w:rsid w:val="518F5F1F"/>
    <w:rsid w:val="520B1FA5"/>
    <w:rsid w:val="54B7AFF3"/>
    <w:rsid w:val="585AEEF3"/>
    <w:rsid w:val="5B5765E4"/>
    <w:rsid w:val="5D2E6016"/>
    <w:rsid w:val="604CD87B"/>
    <w:rsid w:val="61A7ADEE"/>
    <w:rsid w:val="63DF0CB4"/>
    <w:rsid w:val="641459BA"/>
    <w:rsid w:val="654EDBB2"/>
    <w:rsid w:val="67765D83"/>
    <w:rsid w:val="67D609A7"/>
    <w:rsid w:val="689103C8"/>
    <w:rsid w:val="695FC51A"/>
    <w:rsid w:val="69E0445B"/>
    <w:rsid w:val="6EAD99B6"/>
    <w:rsid w:val="6FBAEED7"/>
    <w:rsid w:val="715B1614"/>
    <w:rsid w:val="7326FA97"/>
    <w:rsid w:val="74F06AC0"/>
    <w:rsid w:val="751AABAE"/>
    <w:rsid w:val="75E4DBB1"/>
    <w:rsid w:val="7624DE1E"/>
    <w:rsid w:val="768842B1"/>
    <w:rsid w:val="76C07892"/>
    <w:rsid w:val="78C73FE0"/>
    <w:rsid w:val="78E1C834"/>
    <w:rsid w:val="7C0144E1"/>
    <w:rsid w:val="7DF6CA6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D9A618"/>
  <w15:docId w15:val="{E2960478-D661-4F0E-B8EB-C3B83F148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character" w:styleId="CommentReference">
    <w:name w:val="annotation reference"/>
    <w:basedOn w:val="DefaultParagraphFont"/>
    <w:uiPriority w:val="99"/>
    <w:semiHidden/>
    <w:unhideWhenUsed/>
    <w:rsid w:val="007C6C4B"/>
    <w:rPr>
      <w:sz w:val="16"/>
      <w:szCs w:val="16"/>
    </w:rPr>
  </w:style>
  <w:style w:type="paragraph" w:styleId="CommentText">
    <w:name w:val="annotation text"/>
    <w:basedOn w:val="Normal"/>
    <w:link w:val="CommentTextChar"/>
    <w:uiPriority w:val="99"/>
    <w:semiHidden/>
    <w:unhideWhenUsed/>
    <w:rsid w:val="007C6C4B"/>
    <w:pPr>
      <w:widowControl/>
      <w:spacing w:after="160"/>
    </w:pPr>
    <w:rPr>
      <w:rFonts w:asciiTheme="minorHAnsi" w:eastAsiaTheme="minorEastAsia" w:hAnsiTheme="minorHAnsi" w:cstheme="minorBidi"/>
      <w:snapToGrid/>
      <w:sz w:val="20"/>
    </w:rPr>
  </w:style>
  <w:style w:type="character" w:customStyle="1" w:styleId="CommentTextChar">
    <w:name w:val="Comment Text Char"/>
    <w:basedOn w:val="DefaultParagraphFont"/>
    <w:link w:val="CommentText"/>
    <w:uiPriority w:val="99"/>
    <w:semiHidden/>
    <w:rsid w:val="007C6C4B"/>
    <w:rPr>
      <w:rFonts w:asciiTheme="minorHAnsi" w:eastAsiaTheme="minorEastAsia" w:hAnsiTheme="minorHAnsi" w:cstheme="minorBidi"/>
    </w:rPr>
  </w:style>
  <w:style w:type="paragraph" w:styleId="ListParagraph">
    <w:name w:val="List Paragraph"/>
    <w:basedOn w:val="Normal"/>
    <w:uiPriority w:val="34"/>
    <w:qFormat/>
    <w:rsid w:val="007C6C4B"/>
    <w:pPr>
      <w:widowControl/>
      <w:spacing w:after="160" w:line="259" w:lineRule="auto"/>
      <w:ind w:left="720"/>
      <w:contextualSpacing/>
    </w:pPr>
    <w:rPr>
      <w:rFonts w:asciiTheme="minorHAnsi" w:eastAsiaTheme="minorHAnsi" w:hAnsiTheme="minorHAnsi" w:cstheme="minorBidi"/>
      <w:snapToGrid/>
      <w:sz w:val="22"/>
      <w:szCs w:val="22"/>
    </w:rPr>
  </w:style>
  <w:style w:type="paragraph" w:customStyle="1" w:styleId="paragraph">
    <w:name w:val="paragraph"/>
    <w:basedOn w:val="Normal"/>
    <w:rsid w:val="007C6C4B"/>
    <w:pPr>
      <w:widowControl/>
      <w:spacing w:before="100" w:beforeAutospacing="1" w:after="100" w:afterAutospacing="1"/>
    </w:pPr>
    <w:rPr>
      <w:snapToGrid/>
      <w:szCs w:val="24"/>
    </w:rPr>
  </w:style>
  <w:style w:type="character" w:customStyle="1" w:styleId="normaltextrun">
    <w:name w:val="normaltextrun"/>
    <w:basedOn w:val="DefaultParagraphFont"/>
    <w:rsid w:val="007C6C4B"/>
  </w:style>
  <w:style w:type="character" w:customStyle="1" w:styleId="eop">
    <w:name w:val="eop"/>
    <w:basedOn w:val="DefaultParagraphFont"/>
    <w:rsid w:val="007C6C4B"/>
  </w:style>
  <w:style w:type="character" w:styleId="Hyperlink">
    <w:name w:val="Hyperlink"/>
    <w:basedOn w:val="DefaultParagraphFont"/>
    <w:uiPriority w:val="99"/>
    <w:unhideWhenUsed/>
    <w:rsid w:val="007C6C4B"/>
    <w:rPr>
      <w:color w:val="0000FF" w:themeColor="hyperlink"/>
      <w:u w:val="single"/>
    </w:rPr>
  </w:style>
  <w:style w:type="paragraph" w:styleId="Title">
    <w:name w:val="Title"/>
    <w:basedOn w:val="Normal"/>
    <w:next w:val="Normal"/>
    <w:link w:val="TitleChar"/>
    <w:qFormat/>
    <w:rsid w:val="00D56E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56EA4"/>
    <w:rPr>
      <w:rFonts w:asciiTheme="majorHAnsi" w:eastAsiaTheme="majorEastAsia" w:hAnsiTheme="majorHAnsi" w:cstheme="majorBidi"/>
      <w:snapToGrid w:val="0"/>
      <w:spacing w:val="-10"/>
      <w:kern w:val="28"/>
      <w:sz w:val="56"/>
      <w:szCs w:val="56"/>
    </w:rPr>
  </w:style>
  <w:style w:type="paragraph" w:styleId="Header">
    <w:name w:val="header"/>
    <w:basedOn w:val="Normal"/>
    <w:link w:val="HeaderChar"/>
    <w:unhideWhenUsed/>
    <w:rsid w:val="00D56EA4"/>
    <w:pPr>
      <w:tabs>
        <w:tab w:val="center" w:pos="4680"/>
        <w:tab w:val="right" w:pos="9360"/>
      </w:tabs>
    </w:pPr>
  </w:style>
  <w:style w:type="character" w:customStyle="1" w:styleId="HeaderChar">
    <w:name w:val="Header Char"/>
    <w:basedOn w:val="DefaultParagraphFont"/>
    <w:link w:val="Header"/>
    <w:rsid w:val="00D56EA4"/>
    <w:rPr>
      <w:snapToGrid w:val="0"/>
      <w:sz w:val="24"/>
    </w:rPr>
  </w:style>
  <w:style w:type="character" w:styleId="UnresolvedMention">
    <w:name w:val="Unresolved Mention"/>
    <w:basedOn w:val="DefaultParagraphFont"/>
    <w:uiPriority w:val="99"/>
    <w:semiHidden/>
    <w:unhideWhenUsed/>
    <w:rsid w:val="00931935"/>
    <w:rPr>
      <w:color w:val="605E5C"/>
      <w:shd w:val="clear" w:color="auto" w:fill="E1DFDD"/>
    </w:rPr>
  </w:style>
  <w:style w:type="paragraph" w:styleId="CommentSubject">
    <w:name w:val="annotation subject"/>
    <w:basedOn w:val="CommentText"/>
    <w:next w:val="CommentText"/>
    <w:link w:val="CommentSubjectChar"/>
    <w:semiHidden/>
    <w:unhideWhenUsed/>
    <w:rsid w:val="001132C7"/>
    <w:pPr>
      <w:widowControl w:val="0"/>
      <w:spacing w:after="0"/>
    </w:pPr>
    <w:rPr>
      <w:rFonts w:ascii="Times New Roman" w:eastAsia="Times New Roman" w:hAnsi="Times New Roman" w:cs="Times New Roman"/>
      <w:b/>
      <w:bCs/>
      <w:snapToGrid w:val="0"/>
    </w:rPr>
  </w:style>
  <w:style w:type="character" w:customStyle="1" w:styleId="CommentSubjectChar">
    <w:name w:val="Comment Subject Char"/>
    <w:basedOn w:val="CommentTextChar"/>
    <w:link w:val="CommentSubject"/>
    <w:semiHidden/>
    <w:rsid w:val="001132C7"/>
    <w:rPr>
      <w:rFonts w:asciiTheme="minorHAnsi" w:eastAsiaTheme="minorEastAsia" w:hAnsiTheme="minorHAnsi" w:cstheme="minorBidi"/>
      <w:b/>
      <w:bCs/>
      <w:snapToGrid w:val="0"/>
    </w:rPr>
  </w:style>
  <w:style w:type="paragraph" w:styleId="NormalWeb">
    <w:name w:val="Normal (Web)"/>
    <w:basedOn w:val="Normal"/>
    <w:uiPriority w:val="99"/>
    <w:unhideWhenUsed/>
    <w:rsid w:val="004F2EED"/>
    <w:pPr>
      <w:widowControl/>
      <w:spacing w:before="100" w:beforeAutospacing="1" w:after="100" w:afterAutospacing="1"/>
    </w:pPr>
    <w:rPr>
      <w:snapToGrid/>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17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ccte/cvte/programs/" TargetMode="External"/><Relationship Id="rId18" Type="http://schemas.openxmlformats.org/officeDocument/2006/relationships/hyperlink" Target="https://www.doe.mass.edu/ccte/innovation-pathways/designees.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doe.mass.edu/ccte/innovation-pathways/" TargetMode="External"/><Relationship Id="rId2" Type="http://schemas.openxmlformats.org/officeDocument/2006/relationships/customXml" Target="../customXml/item2.xml"/><Relationship Id="rId16" Type="http://schemas.openxmlformats.org/officeDocument/2006/relationships/hyperlink" Target="https://www.doe.mass.edu/ccte/early-college/designee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oe.mass.edu/ccte/early-college/" TargetMode="External"/><Relationship Id="rId10" Type="http://schemas.openxmlformats.org/officeDocument/2006/relationships/footnotes" Target="footnotes.xml"/><Relationship Id="rId19" Type="http://schemas.openxmlformats.org/officeDocument/2006/relationships/hyperlink" Target="https://sites.google.com/view/innovation-pathway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bese/docs/FY2017/2017-01/joint-itemI1.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DESE-231-70813</_dlc_DocId>
    <_dlc_DocIdUrl xmlns="733efe1c-5bbe-4968-87dc-d400e65c879f">
      <Url>https://sharepoint.doemass.org/ese/webteam/cps/_layouts/DocIdRedir.aspx?ID=DESE-231-70813</Url>
      <Description>DESE-231-70813</Description>
    </_dlc_DocIdUrl>
  </documentManagement>
</p:properties>
</file>

<file path=customXml/itemProps1.xml><?xml version="1.0" encoding="utf-8"?>
<ds:datastoreItem xmlns:ds="http://schemas.openxmlformats.org/officeDocument/2006/customXml" ds:itemID="{421F20B7-3FAC-4EFE-A496-B03883777221}">
  <ds:schemaRefs>
    <ds:schemaRef ds:uri="http://schemas.openxmlformats.org/officeDocument/2006/bibliography"/>
  </ds:schemaRefs>
</ds:datastoreItem>
</file>

<file path=customXml/itemProps2.xml><?xml version="1.0" encoding="utf-8"?>
<ds:datastoreItem xmlns:ds="http://schemas.openxmlformats.org/officeDocument/2006/customXml" ds:itemID="{96A2FEC6-59B0-4EEC-93DF-CAE944516D38}">
  <ds:schemaRefs>
    <ds:schemaRef ds:uri="http://schemas.microsoft.com/sharepoint/v3/contenttype/forms"/>
  </ds:schemaRefs>
</ds:datastoreItem>
</file>

<file path=customXml/itemProps3.xml><?xml version="1.0" encoding="utf-8"?>
<ds:datastoreItem xmlns:ds="http://schemas.openxmlformats.org/officeDocument/2006/customXml" ds:itemID="{35D4C35F-BEA3-42F9-A5C2-22A5755BF169}">
  <ds:schemaRefs>
    <ds:schemaRef ds:uri="http://schemas.microsoft.com/sharepoint/events"/>
  </ds:schemaRefs>
</ds:datastoreItem>
</file>

<file path=customXml/itemProps4.xml><?xml version="1.0" encoding="utf-8"?>
<ds:datastoreItem xmlns:ds="http://schemas.openxmlformats.org/officeDocument/2006/customXml" ds:itemID="{96BBF91F-484B-41A5-B162-BE6253288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64E483-0B01-4D3C-BB85-CB6D4DA79FF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1377</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BESE May 2021 Item 6 Memo: May 2021 BESE Memo Early College Programs and Innovation Pathways</vt:lpstr>
    </vt:vector>
  </TitlesOfParts>
  <Company/>
  <LinksUpToDate>false</LinksUpToDate>
  <CharactersWithSpaces>9209</CharactersWithSpaces>
  <SharedDoc>false</SharedDoc>
  <HLinks>
    <vt:vector size="42" baseType="variant">
      <vt:variant>
        <vt:i4>3014780</vt:i4>
      </vt:variant>
      <vt:variant>
        <vt:i4>18</vt:i4>
      </vt:variant>
      <vt:variant>
        <vt:i4>0</vt:i4>
      </vt:variant>
      <vt:variant>
        <vt:i4>5</vt:i4>
      </vt:variant>
      <vt:variant>
        <vt:lpwstr>https://sites.google.com/view/innovation-pathways/</vt:lpwstr>
      </vt:variant>
      <vt:variant>
        <vt:lpwstr/>
      </vt:variant>
      <vt:variant>
        <vt:i4>4194307</vt:i4>
      </vt:variant>
      <vt:variant>
        <vt:i4>15</vt:i4>
      </vt:variant>
      <vt:variant>
        <vt:i4>0</vt:i4>
      </vt:variant>
      <vt:variant>
        <vt:i4>5</vt:i4>
      </vt:variant>
      <vt:variant>
        <vt:lpwstr>https://www.doe.mass.edu/ccte/innovation-pathways/designees.html</vt:lpwstr>
      </vt:variant>
      <vt:variant>
        <vt:lpwstr/>
      </vt:variant>
      <vt:variant>
        <vt:i4>7405664</vt:i4>
      </vt:variant>
      <vt:variant>
        <vt:i4>12</vt:i4>
      </vt:variant>
      <vt:variant>
        <vt:i4>0</vt:i4>
      </vt:variant>
      <vt:variant>
        <vt:i4>5</vt:i4>
      </vt:variant>
      <vt:variant>
        <vt:lpwstr>https://www.doe.mass.edu/ccte/innovation-pathways/</vt:lpwstr>
      </vt:variant>
      <vt:variant>
        <vt:lpwstr/>
      </vt:variant>
      <vt:variant>
        <vt:i4>6881342</vt:i4>
      </vt:variant>
      <vt:variant>
        <vt:i4>9</vt:i4>
      </vt:variant>
      <vt:variant>
        <vt:i4>0</vt:i4>
      </vt:variant>
      <vt:variant>
        <vt:i4>5</vt:i4>
      </vt:variant>
      <vt:variant>
        <vt:lpwstr>https://www.doe.mass.edu/ccte/early-college/designees.html</vt:lpwstr>
      </vt:variant>
      <vt:variant>
        <vt:lpwstr/>
      </vt:variant>
      <vt:variant>
        <vt:i4>5767261</vt:i4>
      </vt:variant>
      <vt:variant>
        <vt:i4>6</vt:i4>
      </vt:variant>
      <vt:variant>
        <vt:i4>0</vt:i4>
      </vt:variant>
      <vt:variant>
        <vt:i4>5</vt:i4>
      </vt:variant>
      <vt:variant>
        <vt:lpwstr>https://www.doe.mass.edu/ccte/early-college/</vt:lpwstr>
      </vt:variant>
      <vt:variant>
        <vt:lpwstr/>
      </vt:variant>
      <vt:variant>
        <vt:i4>7995451</vt:i4>
      </vt:variant>
      <vt:variant>
        <vt:i4>3</vt:i4>
      </vt:variant>
      <vt:variant>
        <vt:i4>0</vt:i4>
      </vt:variant>
      <vt:variant>
        <vt:i4>5</vt:i4>
      </vt:variant>
      <vt:variant>
        <vt:lpwstr>https://www.doe.mass.edu/bese/docs/FY2017/2017-01/joint-itemI1.html</vt:lpwstr>
      </vt:variant>
      <vt:variant>
        <vt:lpwstr/>
      </vt:variant>
      <vt:variant>
        <vt:i4>983043</vt:i4>
      </vt:variant>
      <vt:variant>
        <vt:i4>0</vt:i4>
      </vt:variant>
      <vt:variant>
        <vt:i4>0</vt:i4>
      </vt:variant>
      <vt:variant>
        <vt:i4>5</vt:i4>
      </vt:variant>
      <vt:variant>
        <vt:lpwstr>https://www.doe.mass.edu/ccte/cvte/programs/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May 2021 Item 6 Memo: Early College Programs and Innovation Pathways</dc:title>
  <dc:subject/>
  <dc:creator>DESE</dc:creator>
  <cp:keywords/>
  <cp:lastModifiedBy>Zou, Dong (EOE)</cp:lastModifiedBy>
  <cp:revision>3</cp:revision>
  <cp:lastPrinted>2008-03-05T12:17:00Z</cp:lastPrinted>
  <dcterms:created xsi:type="dcterms:W3CDTF">2021-05-14T16:00:00Z</dcterms:created>
  <dcterms:modified xsi:type="dcterms:W3CDTF">2021-05-17T14:27:00Z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17 2021</vt:lpwstr>
  </property>
</Properties>
</file>