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E31E3"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37DE7CD9" wp14:editId="4119DF8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34836D96">
        <w:rPr>
          <w:rFonts w:ascii="Arial" w:hAnsi="Arial"/>
          <w:b/>
          <w:bCs/>
          <w:i/>
          <w:iCs/>
          <w:sz w:val="40"/>
          <w:szCs w:val="40"/>
        </w:rPr>
        <w:t>Massachusetts Department of</w:t>
      </w:r>
    </w:p>
    <w:p w14:paraId="3CECC1B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61D01A56"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5B4C8915" wp14:editId="10A2656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rto="http://schemas.microsoft.com/office/word/2006/arto">
            <w:pict>
              <v:line w14:anchorId="752B25FF"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078F506E"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00D30C1" w14:textId="77777777" w:rsidR="00A20194" w:rsidRPr="00C974A6" w:rsidRDefault="00A20194">
      <w:pPr>
        <w:ind w:left="720"/>
        <w:rPr>
          <w:rFonts w:ascii="Arial" w:hAnsi="Arial"/>
          <w:i/>
          <w:sz w:val="16"/>
          <w:szCs w:val="16"/>
        </w:rPr>
      </w:pPr>
    </w:p>
    <w:p w14:paraId="351416B5"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5EB7F93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9F61BEA" w14:textId="77777777">
        <w:tc>
          <w:tcPr>
            <w:tcW w:w="2988" w:type="dxa"/>
          </w:tcPr>
          <w:p w14:paraId="52E1910B"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328644D0"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640AB607" w14:textId="77777777" w:rsidR="00C974A6" w:rsidRPr="00C974A6" w:rsidRDefault="00C974A6" w:rsidP="00C974A6">
            <w:pPr>
              <w:jc w:val="center"/>
              <w:rPr>
                <w:rFonts w:ascii="Arial" w:hAnsi="Arial"/>
                <w:i/>
                <w:sz w:val="16"/>
                <w:szCs w:val="16"/>
              </w:rPr>
            </w:pPr>
          </w:p>
        </w:tc>
      </w:tr>
    </w:tbl>
    <w:p w14:paraId="41998CAA" w14:textId="77777777" w:rsidR="00A20194" w:rsidRDefault="00A20194">
      <w:pPr>
        <w:rPr>
          <w:rFonts w:ascii="Arial" w:hAnsi="Arial"/>
          <w:i/>
          <w:sz w:val="18"/>
        </w:rPr>
      </w:pPr>
    </w:p>
    <w:p w14:paraId="3AB6397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BC8412E" w14:textId="77777777" w:rsidR="0059178C" w:rsidRDefault="0059178C" w:rsidP="0059178C">
      <w:pPr>
        <w:pStyle w:val="Heading1"/>
        <w:tabs>
          <w:tab w:val="clear" w:pos="4680"/>
        </w:tabs>
      </w:pPr>
      <w:r>
        <w:t>MEMORANDUM</w:t>
      </w:r>
    </w:p>
    <w:p w14:paraId="4C797A92" w14:textId="77777777" w:rsidR="0059178C" w:rsidRDefault="0059178C" w:rsidP="0059178C">
      <w:pPr>
        <w:pStyle w:val="Footer"/>
        <w:widowControl w:val="0"/>
        <w:tabs>
          <w:tab w:val="clear" w:pos="4320"/>
          <w:tab w:val="clear" w:pos="8640"/>
        </w:tabs>
        <w:rPr>
          <w:snapToGrid w:val="0"/>
          <w:szCs w:val="20"/>
        </w:rPr>
      </w:pPr>
    </w:p>
    <w:p w14:paraId="6B600C6D" w14:textId="77777777" w:rsidR="0059178C" w:rsidRDefault="0059178C" w:rsidP="0059178C">
      <w:pPr>
        <w:pStyle w:val="Footer"/>
        <w:widowControl w:val="0"/>
        <w:tabs>
          <w:tab w:val="clear" w:pos="4320"/>
          <w:tab w:val="clear" w:pos="8640"/>
        </w:tabs>
        <w:rPr>
          <w:snapToGrid w:val="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3"/>
        <w:gridCol w:w="8177"/>
      </w:tblGrid>
      <w:tr w:rsidR="0059178C" w:rsidRPr="000934B1" w14:paraId="0EC662C8" w14:textId="77777777" w:rsidTr="001A1C36">
        <w:tc>
          <w:tcPr>
            <w:tcW w:w="1188" w:type="dxa"/>
          </w:tcPr>
          <w:p w14:paraId="5EC9A62F" w14:textId="77777777" w:rsidR="0059178C" w:rsidRPr="000934B1" w:rsidRDefault="0059178C" w:rsidP="000F0746">
            <w:pPr>
              <w:rPr>
                <w:b/>
                <w:sz w:val="23"/>
                <w:szCs w:val="23"/>
              </w:rPr>
            </w:pPr>
            <w:r w:rsidRPr="000934B1">
              <w:rPr>
                <w:b/>
                <w:sz w:val="23"/>
                <w:szCs w:val="23"/>
              </w:rPr>
              <w:t>To:</w:t>
            </w:r>
          </w:p>
        </w:tc>
        <w:tc>
          <w:tcPr>
            <w:tcW w:w="8388" w:type="dxa"/>
          </w:tcPr>
          <w:p w14:paraId="78F94B30" w14:textId="77777777" w:rsidR="0059178C" w:rsidRPr="000934B1" w:rsidRDefault="0059178C" w:rsidP="000F0746">
            <w:pPr>
              <w:pStyle w:val="Footer"/>
              <w:widowControl w:val="0"/>
              <w:tabs>
                <w:tab w:val="clear" w:pos="4320"/>
                <w:tab w:val="clear" w:pos="8640"/>
              </w:tabs>
              <w:rPr>
                <w:bCs/>
                <w:snapToGrid w:val="0"/>
                <w:sz w:val="23"/>
                <w:szCs w:val="23"/>
              </w:rPr>
            </w:pPr>
            <w:r w:rsidRPr="000934B1">
              <w:rPr>
                <w:bCs/>
                <w:snapToGrid w:val="0"/>
                <w:sz w:val="23"/>
                <w:szCs w:val="23"/>
              </w:rPr>
              <w:t>Members of the Board of Elementary and Secondary Education</w:t>
            </w:r>
          </w:p>
        </w:tc>
      </w:tr>
      <w:tr w:rsidR="0059178C" w:rsidRPr="000934B1" w14:paraId="29A06D39" w14:textId="77777777" w:rsidTr="001A1C36">
        <w:tc>
          <w:tcPr>
            <w:tcW w:w="1188" w:type="dxa"/>
          </w:tcPr>
          <w:p w14:paraId="6BC84D53" w14:textId="77777777" w:rsidR="0059178C" w:rsidRPr="000934B1" w:rsidRDefault="0059178C" w:rsidP="000F0746">
            <w:pPr>
              <w:rPr>
                <w:b/>
                <w:sz w:val="23"/>
                <w:szCs w:val="23"/>
              </w:rPr>
            </w:pPr>
            <w:r w:rsidRPr="000934B1">
              <w:rPr>
                <w:b/>
                <w:sz w:val="23"/>
                <w:szCs w:val="23"/>
              </w:rPr>
              <w:t>From:</w:t>
            </w:r>
            <w:r w:rsidRPr="000934B1">
              <w:rPr>
                <w:sz w:val="23"/>
                <w:szCs w:val="23"/>
              </w:rPr>
              <w:tab/>
            </w:r>
          </w:p>
        </w:tc>
        <w:tc>
          <w:tcPr>
            <w:tcW w:w="8388" w:type="dxa"/>
          </w:tcPr>
          <w:p w14:paraId="7E4B4B9B" w14:textId="27271AF7" w:rsidR="00E15503" w:rsidRPr="000934B1" w:rsidRDefault="0059178C" w:rsidP="000F0746">
            <w:pPr>
              <w:pStyle w:val="Footer"/>
              <w:widowControl w:val="0"/>
              <w:tabs>
                <w:tab w:val="clear" w:pos="4320"/>
                <w:tab w:val="clear" w:pos="8640"/>
              </w:tabs>
              <w:rPr>
                <w:bCs/>
                <w:snapToGrid w:val="0"/>
                <w:sz w:val="23"/>
                <w:szCs w:val="23"/>
              </w:rPr>
            </w:pPr>
            <w:r w:rsidRPr="000934B1">
              <w:rPr>
                <w:bCs/>
                <w:snapToGrid w:val="0"/>
                <w:sz w:val="23"/>
                <w:szCs w:val="23"/>
              </w:rPr>
              <w:t>Jeffrey C. Riley, Commissioner</w:t>
            </w:r>
          </w:p>
        </w:tc>
      </w:tr>
      <w:tr w:rsidR="0059178C" w:rsidRPr="000934B1" w14:paraId="2199FBCC" w14:textId="77777777" w:rsidTr="001A1C36">
        <w:tc>
          <w:tcPr>
            <w:tcW w:w="1188" w:type="dxa"/>
          </w:tcPr>
          <w:p w14:paraId="0A8AFD8D" w14:textId="77777777" w:rsidR="0059178C" w:rsidRPr="000934B1" w:rsidRDefault="0059178C" w:rsidP="000F0746">
            <w:pPr>
              <w:rPr>
                <w:b/>
                <w:sz w:val="23"/>
                <w:szCs w:val="23"/>
              </w:rPr>
            </w:pPr>
            <w:r w:rsidRPr="000934B1">
              <w:rPr>
                <w:b/>
                <w:sz w:val="23"/>
                <w:szCs w:val="23"/>
              </w:rPr>
              <w:t>Date:</w:t>
            </w:r>
            <w:r w:rsidRPr="000934B1">
              <w:rPr>
                <w:sz w:val="23"/>
                <w:szCs w:val="23"/>
              </w:rPr>
              <w:tab/>
            </w:r>
          </w:p>
        </w:tc>
        <w:tc>
          <w:tcPr>
            <w:tcW w:w="8388" w:type="dxa"/>
          </w:tcPr>
          <w:p w14:paraId="112DB589" w14:textId="5879355D" w:rsidR="0059178C" w:rsidRPr="000934B1" w:rsidRDefault="00131DEA" w:rsidP="000F0746">
            <w:pPr>
              <w:pStyle w:val="Footer"/>
              <w:widowControl w:val="0"/>
              <w:tabs>
                <w:tab w:val="clear" w:pos="4320"/>
                <w:tab w:val="clear" w:pos="8640"/>
              </w:tabs>
              <w:rPr>
                <w:bCs/>
                <w:snapToGrid w:val="0"/>
                <w:sz w:val="23"/>
                <w:szCs w:val="23"/>
              </w:rPr>
            </w:pPr>
            <w:r>
              <w:rPr>
                <w:bCs/>
                <w:snapToGrid w:val="0"/>
                <w:sz w:val="23"/>
                <w:szCs w:val="23"/>
              </w:rPr>
              <w:t>June 1</w:t>
            </w:r>
            <w:r w:rsidR="00327383">
              <w:rPr>
                <w:bCs/>
                <w:snapToGrid w:val="0"/>
                <w:sz w:val="23"/>
                <w:szCs w:val="23"/>
              </w:rPr>
              <w:t>8</w:t>
            </w:r>
            <w:r>
              <w:rPr>
                <w:bCs/>
                <w:snapToGrid w:val="0"/>
                <w:sz w:val="23"/>
                <w:szCs w:val="23"/>
              </w:rPr>
              <w:t>, 2021</w:t>
            </w:r>
          </w:p>
        </w:tc>
      </w:tr>
      <w:tr w:rsidR="0059178C" w:rsidRPr="000934B1" w14:paraId="13637F9E" w14:textId="77777777" w:rsidTr="001A1C36">
        <w:trPr>
          <w:trHeight w:val="324"/>
        </w:trPr>
        <w:tc>
          <w:tcPr>
            <w:tcW w:w="1188" w:type="dxa"/>
          </w:tcPr>
          <w:p w14:paraId="2B5D8F56" w14:textId="77777777" w:rsidR="0059178C" w:rsidRPr="000934B1" w:rsidRDefault="0059178C" w:rsidP="000F0746">
            <w:pPr>
              <w:rPr>
                <w:b/>
                <w:sz w:val="23"/>
                <w:szCs w:val="23"/>
              </w:rPr>
            </w:pPr>
            <w:r w:rsidRPr="000934B1">
              <w:rPr>
                <w:b/>
                <w:sz w:val="23"/>
                <w:szCs w:val="23"/>
              </w:rPr>
              <w:t>Subject:</w:t>
            </w:r>
          </w:p>
        </w:tc>
        <w:tc>
          <w:tcPr>
            <w:tcW w:w="8388" w:type="dxa"/>
          </w:tcPr>
          <w:p w14:paraId="3F50A1FF" w14:textId="5F355C0C" w:rsidR="0059178C" w:rsidRPr="000934B1" w:rsidRDefault="00CA7D0F" w:rsidP="000F0746">
            <w:pPr>
              <w:pStyle w:val="Footer"/>
              <w:widowControl w:val="0"/>
              <w:tabs>
                <w:tab w:val="clear" w:pos="4320"/>
                <w:tab w:val="clear" w:pos="8640"/>
              </w:tabs>
              <w:rPr>
                <w:bCs/>
                <w:snapToGrid w:val="0"/>
                <w:sz w:val="23"/>
                <w:szCs w:val="23"/>
              </w:rPr>
            </w:pPr>
            <w:r>
              <w:rPr>
                <w:bCs/>
                <w:snapToGrid w:val="0"/>
                <w:sz w:val="23"/>
                <w:szCs w:val="23"/>
              </w:rPr>
              <w:t>FY2021 Qu</w:t>
            </w:r>
            <w:r w:rsidR="00FE46EC">
              <w:rPr>
                <w:bCs/>
                <w:snapToGrid w:val="0"/>
                <w:sz w:val="23"/>
                <w:szCs w:val="23"/>
              </w:rPr>
              <w:t>a</w:t>
            </w:r>
            <w:r>
              <w:rPr>
                <w:bCs/>
                <w:snapToGrid w:val="0"/>
                <w:sz w:val="23"/>
                <w:szCs w:val="23"/>
              </w:rPr>
              <w:t xml:space="preserve">rter </w:t>
            </w:r>
            <w:r w:rsidR="0008767F">
              <w:rPr>
                <w:bCs/>
                <w:snapToGrid w:val="0"/>
                <w:sz w:val="23"/>
                <w:szCs w:val="23"/>
              </w:rPr>
              <w:t>4</w:t>
            </w:r>
            <w:r>
              <w:rPr>
                <w:bCs/>
                <w:snapToGrid w:val="0"/>
                <w:sz w:val="23"/>
                <w:szCs w:val="23"/>
              </w:rPr>
              <w:t xml:space="preserve"> Report for Chronicall</w:t>
            </w:r>
            <w:r w:rsidR="00E5261B">
              <w:rPr>
                <w:bCs/>
                <w:snapToGrid w:val="0"/>
                <w:sz w:val="23"/>
                <w:szCs w:val="23"/>
              </w:rPr>
              <w:t>y</w:t>
            </w:r>
            <w:r>
              <w:rPr>
                <w:bCs/>
                <w:snapToGrid w:val="0"/>
                <w:sz w:val="23"/>
                <w:szCs w:val="23"/>
              </w:rPr>
              <w:t xml:space="preserve"> Underperforming Schools</w:t>
            </w:r>
          </w:p>
        </w:tc>
      </w:tr>
    </w:tbl>
    <w:p w14:paraId="6B238AEA" w14:textId="77777777" w:rsidR="0059178C" w:rsidRPr="000934B1" w:rsidRDefault="0059178C" w:rsidP="0059178C">
      <w:pPr>
        <w:pBdr>
          <w:bottom w:val="single" w:sz="4" w:space="1" w:color="auto"/>
        </w:pBdr>
        <w:rPr>
          <w:sz w:val="23"/>
          <w:szCs w:val="23"/>
        </w:rPr>
      </w:pPr>
      <w:bookmarkStart w:id="0" w:name="TO"/>
      <w:bookmarkStart w:id="1" w:name="FROM"/>
      <w:bookmarkStart w:id="2" w:name="DATE"/>
      <w:bookmarkStart w:id="3" w:name="RE"/>
      <w:bookmarkEnd w:id="0"/>
      <w:bookmarkEnd w:id="1"/>
      <w:bookmarkEnd w:id="2"/>
      <w:bookmarkEnd w:id="3"/>
    </w:p>
    <w:p w14:paraId="4D952DE4" w14:textId="77777777" w:rsidR="0059178C" w:rsidRPr="000934B1" w:rsidRDefault="0059178C" w:rsidP="0059178C">
      <w:pPr>
        <w:rPr>
          <w:sz w:val="23"/>
          <w:szCs w:val="23"/>
        </w:rPr>
        <w:sectPr w:rsidR="0059178C" w:rsidRPr="000934B1">
          <w:endnotePr>
            <w:numFmt w:val="decimal"/>
          </w:endnotePr>
          <w:type w:val="continuous"/>
          <w:pgSz w:w="12240" w:h="15840"/>
          <w:pgMar w:top="1440" w:right="1440" w:bottom="1440" w:left="1440" w:header="1440" w:footer="1440" w:gutter="0"/>
          <w:cols w:space="720"/>
          <w:noEndnote/>
        </w:sectPr>
      </w:pPr>
    </w:p>
    <w:p w14:paraId="148B420A" w14:textId="77777777" w:rsidR="0059178C" w:rsidRPr="000934B1" w:rsidRDefault="0059178C" w:rsidP="0059178C">
      <w:pPr>
        <w:widowControl/>
        <w:autoSpaceDE w:val="0"/>
        <w:autoSpaceDN w:val="0"/>
        <w:adjustRightInd w:val="0"/>
        <w:rPr>
          <w:sz w:val="23"/>
          <w:szCs w:val="23"/>
        </w:rPr>
      </w:pPr>
    </w:p>
    <w:p w14:paraId="3D712D69" w14:textId="13BADBCA" w:rsidR="00A34405" w:rsidRPr="000934B1" w:rsidRDefault="00A34405" w:rsidP="00FA2806">
      <w:pPr>
        <w:widowControl/>
        <w:autoSpaceDE w:val="0"/>
        <w:autoSpaceDN w:val="0"/>
        <w:adjustRightInd w:val="0"/>
        <w:rPr>
          <w:sz w:val="23"/>
          <w:szCs w:val="23"/>
        </w:rPr>
      </w:pPr>
      <w:r w:rsidRPr="000934B1">
        <w:rPr>
          <w:sz w:val="23"/>
          <w:szCs w:val="23"/>
        </w:rPr>
        <w:t xml:space="preserve">This month, I am presenting the </w:t>
      </w:r>
      <w:r w:rsidR="0008767F">
        <w:rPr>
          <w:sz w:val="23"/>
          <w:szCs w:val="23"/>
        </w:rPr>
        <w:t>fourth</w:t>
      </w:r>
      <w:r w:rsidRPr="000934B1">
        <w:rPr>
          <w:sz w:val="23"/>
          <w:szCs w:val="23"/>
        </w:rPr>
        <w:t xml:space="preserve"> of four quarterly progress updates to the Board </w:t>
      </w:r>
      <w:r w:rsidRPr="000934B1">
        <w:rPr>
          <w:bCs/>
          <w:sz w:val="23"/>
          <w:szCs w:val="23"/>
        </w:rPr>
        <w:t>of Elementary and Secondary Education</w:t>
      </w:r>
      <w:r w:rsidRPr="000934B1">
        <w:rPr>
          <w:sz w:val="23"/>
          <w:szCs w:val="23"/>
        </w:rPr>
        <w:t xml:space="preserve"> (Board) on the four chronically underperforming schools</w:t>
      </w:r>
      <w:r w:rsidR="005142B7" w:rsidRPr="000934B1">
        <w:rPr>
          <w:sz w:val="23"/>
          <w:szCs w:val="23"/>
        </w:rPr>
        <w:t xml:space="preserve"> and their</w:t>
      </w:r>
      <w:r w:rsidR="00596E7A" w:rsidRPr="000934B1">
        <w:rPr>
          <w:sz w:val="23"/>
          <w:szCs w:val="23"/>
        </w:rPr>
        <w:t xml:space="preserve"> </w:t>
      </w:r>
      <w:r w:rsidRPr="000934B1">
        <w:rPr>
          <w:sz w:val="23"/>
          <w:szCs w:val="23"/>
        </w:rPr>
        <w:t>implementation of their school turnaround plans</w:t>
      </w:r>
      <w:r w:rsidR="006137E3" w:rsidRPr="000934B1">
        <w:rPr>
          <w:sz w:val="23"/>
          <w:szCs w:val="23"/>
        </w:rPr>
        <w:t>.</w:t>
      </w:r>
      <w:r w:rsidR="00596E7A" w:rsidRPr="000934B1">
        <w:rPr>
          <w:sz w:val="23"/>
          <w:szCs w:val="23"/>
        </w:rPr>
        <w:t xml:space="preserve"> </w:t>
      </w:r>
      <w:r w:rsidR="005142B7" w:rsidRPr="000934B1">
        <w:rPr>
          <w:sz w:val="23"/>
          <w:szCs w:val="23"/>
        </w:rPr>
        <w:t>These updates</w:t>
      </w:r>
      <w:r w:rsidR="00596E7A" w:rsidRPr="000934B1">
        <w:rPr>
          <w:sz w:val="23"/>
          <w:szCs w:val="23"/>
        </w:rPr>
        <w:t xml:space="preserve"> </w:t>
      </w:r>
      <w:r w:rsidR="005142B7" w:rsidRPr="000934B1">
        <w:rPr>
          <w:sz w:val="23"/>
          <w:szCs w:val="23"/>
        </w:rPr>
        <w:t xml:space="preserve">are focused </w:t>
      </w:r>
      <w:r w:rsidRPr="000934B1">
        <w:rPr>
          <w:sz w:val="23"/>
          <w:szCs w:val="23"/>
        </w:rPr>
        <w:t xml:space="preserve">on activities from </w:t>
      </w:r>
      <w:r w:rsidR="0008767F">
        <w:rPr>
          <w:sz w:val="23"/>
          <w:szCs w:val="23"/>
        </w:rPr>
        <w:t>May and June</w:t>
      </w:r>
      <w:r w:rsidRPr="000934B1">
        <w:rPr>
          <w:sz w:val="23"/>
          <w:szCs w:val="23"/>
        </w:rPr>
        <w:t xml:space="preserve"> 20</w:t>
      </w:r>
      <w:r w:rsidR="002E4B82">
        <w:rPr>
          <w:sz w:val="23"/>
          <w:szCs w:val="23"/>
        </w:rPr>
        <w:t>2</w:t>
      </w:r>
      <w:r w:rsidR="000E01E2">
        <w:rPr>
          <w:sz w:val="23"/>
          <w:szCs w:val="23"/>
        </w:rPr>
        <w:t>1</w:t>
      </w:r>
      <w:r w:rsidRPr="000934B1">
        <w:rPr>
          <w:sz w:val="23"/>
          <w:szCs w:val="23"/>
        </w:rPr>
        <w:t>. As described in the first quarterly report</w:t>
      </w:r>
      <w:r w:rsidRPr="000934B1">
        <w:rPr>
          <w:rStyle w:val="FootnoteReference"/>
          <w:sz w:val="23"/>
          <w:szCs w:val="23"/>
          <w:vertAlign w:val="superscript"/>
        </w:rPr>
        <w:footnoteReference w:id="2"/>
      </w:r>
      <w:r w:rsidRPr="000934B1">
        <w:rPr>
          <w:sz w:val="23"/>
          <w:szCs w:val="23"/>
        </w:rPr>
        <w:t xml:space="preserve">, </w:t>
      </w:r>
      <w:r w:rsidR="00BF265D" w:rsidRPr="000934B1">
        <w:rPr>
          <w:sz w:val="23"/>
          <w:szCs w:val="23"/>
        </w:rPr>
        <w:t xml:space="preserve">the narrative </w:t>
      </w:r>
      <w:r w:rsidRPr="000934B1">
        <w:rPr>
          <w:sz w:val="23"/>
          <w:szCs w:val="23"/>
        </w:rPr>
        <w:t>for this progress update has been provided by the School Empowerment Network</w:t>
      </w:r>
      <w:r w:rsidR="005142B7" w:rsidRPr="000934B1">
        <w:rPr>
          <w:sz w:val="23"/>
          <w:szCs w:val="23"/>
        </w:rPr>
        <w:t>, based on classroom observations led by that group during that timeframe</w:t>
      </w:r>
      <w:r w:rsidRPr="000934B1">
        <w:rPr>
          <w:sz w:val="23"/>
          <w:szCs w:val="23"/>
        </w:rPr>
        <w:t>.</w:t>
      </w:r>
    </w:p>
    <w:p w14:paraId="7FE63DF4" w14:textId="77777777" w:rsidR="00A34405" w:rsidRPr="000934B1" w:rsidRDefault="00A34405" w:rsidP="00FA2806">
      <w:pPr>
        <w:rPr>
          <w:sz w:val="23"/>
          <w:szCs w:val="23"/>
        </w:rPr>
      </w:pPr>
    </w:p>
    <w:p w14:paraId="3EE3C409" w14:textId="77777777" w:rsidR="00A34405" w:rsidRPr="000934B1" w:rsidRDefault="00A34405" w:rsidP="00FA2806">
      <w:pPr>
        <w:widowControl/>
        <w:autoSpaceDE w:val="0"/>
        <w:autoSpaceDN w:val="0"/>
        <w:adjustRightInd w:val="0"/>
        <w:rPr>
          <w:b/>
          <w:sz w:val="23"/>
          <w:szCs w:val="23"/>
          <w:u w:val="single"/>
        </w:rPr>
      </w:pPr>
      <w:r w:rsidRPr="000934B1">
        <w:rPr>
          <w:b/>
          <w:sz w:val="23"/>
          <w:szCs w:val="23"/>
          <w:u w:val="single"/>
        </w:rPr>
        <w:t>Chronically Underperforming Schools</w:t>
      </w:r>
    </w:p>
    <w:p w14:paraId="42E453A1" w14:textId="77777777" w:rsidR="00A34405" w:rsidRPr="000934B1" w:rsidRDefault="00A34405" w:rsidP="00FA2806">
      <w:pPr>
        <w:widowControl/>
        <w:autoSpaceDE w:val="0"/>
        <w:autoSpaceDN w:val="0"/>
        <w:adjustRightInd w:val="0"/>
        <w:rPr>
          <w:sz w:val="23"/>
          <w:szCs w:val="23"/>
        </w:rPr>
      </w:pPr>
    </w:p>
    <w:p w14:paraId="4C691078" w14:textId="77777777" w:rsidR="00A34405" w:rsidRPr="000934B1" w:rsidRDefault="00A34405" w:rsidP="00FA2806">
      <w:pPr>
        <w:widowControl/>
        <w:autoSpaceDE w:val="0"/>
        <w:autoSpaceDN w:val="0"/>
        <w:adjustRightInd w:val="0"/>
        <w:rPr>
          <w:sz w:val="23"/>
          <w:szCs w:val="23"/>
        </w:rPr>
      </w:pPr>
      <w:r w:rsidRPr="000934B1">
        <w:rPr>
          <w:sz w:val="23"/>
          <w:szCs w:val="23"/>
        </w:rPr>
        <w:t xml:space="preserve">In the fall of 2013, four schools were designated as chronically underperforming schools in response to their low performance and lack of improvement while in underperforming status: John P. Holland Elementary School (UP Academy Holland) and Paul A. Dever Elementary School (Dever) in Boston, Morgan Full Service Community School (Morgan) in Holyoke, and John Avery Parker Elementary School (Parker) in New Bedford. </w:t>
      </w:r>
    </w:p>
    <w:p w14:paraId="75A9A248" w14:textId="57CEB3DF" w:rsidR="00A34405" w:rsidRDefault="00A34405" w:rsidP="00FA2806">
      <w:pPr>
        <w:widowControl/>
        <w:autoSpaceDE w:val="0"/>
        <w:autoSpaceDN w:val="0"/>
        <w:adjustRightInd w:val="0"/>
        <w:rPr>
          <w:sz w:val="23"/>
          <w:szCs w:val="23"/>
        </w:rPr>
      </w:pPr>
    </w:p>
    <w:p w14:paraId="2FD748C8" w14:textId="5767E163" w:rsidR="002E4B82" w:rsidRPr="002E4B82" w:rsidRDefault="002E4B82" w:rsidP="00FA2806">
      <w:pPr>
        <w:widowControl/>
        <w:autoSpaceDE w:val="0"/>
        <w:autoSpaceDN w:val="0"/>
        <w:adjustRightInd w:val="0"/>
        <w:rPr>
          <w:b/>
          <w:bCs/>
          <w:sz w:val="23"/>
          <w:szCs w:val="23"/>
          <w:u w:val="single"/>
        </w:rPr>
      </w:pPr>
      <w:r w:rsidRPr="002E4B82">
        <w:rPr>
          <w:b/>
          <w:bCs/>
          <w:sz w:val="23"/>
          <w:szCs w:val="23"/>
          <w:u w:val="single"/>
        </w:rPr>
        <w:t>Learning Model</w:t>
      </w:r>
    </w:p>
    <w:p w14:paraId="473E7F63" w14:textId="43A9CC6F" w:rsidR="002E4B82" w:rsidRDefault="002E4B82" w:rsidP="00FA2806">
      <w:pPr>
        <w:widowControl/>
        <w:autoSpaceDE w:val="0"/>
        <w:autoSpaceDN w:val="0"/>
        <w:adjustRightInd w:val="0"/>
        <w:rPr>
          <w:sz w:val="23"/>
          <w:szCs w:val="23"/>
        </w:rPr>
      </w:pPr>
    </w:p>
    <w:p w14:paraId="6414A580" w14:textId="3A9AA082" w:rsidR="002E4B82" w:rsidRPr="000934B1" w:rsidRDefault="00570D30" w:rsidP="00FA2806">
      <w:pPr>
        <w:widowControl/>
        <w:autoSpaceDE w:val="0"/>
        <w:autoSpaceDN w:val="0"/>
        <w:adjustRightInd w:val="0"/>
        <w:rPr>
          <w:sz w:val="23"/>
          <w:szCs w:val="23"/>
        </w:rPr>
      </w:pPr>
      <w:r>
        <w:rPr>
          <w:sz w:val="23"/>
          <w:szCs w:val="23"/>
        </w:rPr>
        <w:t xml:space="preserve">Due to the COVID-19 pandemic, the four schools designated as chronically underperforming began the 2020 – 2021 school year with students learning in either a fully remote or a hybrid (remote / in-person) learning model. </w:t>
      </w:r>
      <w:r w:rsidR="000E01E2">
        <w:rPr>
          <w:sz w:val="23"/>
          <w:szCs w:val="23"/>
        </w:rPr>
        <w:t xml:space="preserve">At the time of the </w:t>
      </w:r>
      <w:r w:rsidR="0008767F">
        <w:rPr>
          <w:sz w:val="23"/>
          <w:szCs w:val="23"/>
        </w:rPr>
        <w:t>end of year</w:t>
      </w:r>
      <w:r w:rsidR="000E01E2">
        <w:rPr>
          <w:sz w:val="23"/>
          <w:szCs w:val="23"/>
        </w:rPr>
        <w:t xml:space="preserve"> School Quality Review visits in</w:t>
      </w:r>
      <w:r w:rsidR="0008767F">
        <w:rPr>
          <w:sz w:val="23"/>
          <w:szCs w:val="23"/>
        </w:rPr>
        <w:t xml:space="preserve"> May and June</w:t>
      </w:r>
      <w:r w:rsidR="000E01E2">
        <w:rPr>
          <w:sz w:val="23"/>
          <w:szCs w:val="23"/>
        </w:rPr>
        <w:t xml:space="preserve">, all of the schools </w:t>
      </w:r>
      <w:r w:rsidR="00EA5C23">
        <w:rPr>
          <w:sz w:val="23"/>
          <w:szCs w:val="23"/>
        </w:rPr>
        <w:t xml:space="preserve">offered in-person learning </w:t>
      </w:r>
      <w:r w:rsidR="00964E9A">
        <w:rPr>
          <w:sz w:val="23"/>
          <w:szCs w:val="23"/>
        </w:rPr>
        <w:t>f</w:t>
      </w:r>
      <w:r w:rsidR="00EA5C23">
        <w:rPr>
          <w:sz w:val="23"/>
          <w:szCs w:val="23"/>
        </w:rPr>
        <w:t xml:space="preserve">ive days per week and </w:t>
      </w:r>
      <w:r w:rsidR="000E01E2">
        <w:rPr>
          <w:sz w:val="23"/>
          <w:szCs w:val="23"/>
        </w:rPr>
        <w:t>had increased the number of students attending in-person instruction daily. Nevertheless, o</w:t>
      </w:r>
      <w:r w:rsidR="002E4B82">
        <w:rPr>
          <w:sz w:val="23"/>
          <w:szCs w:val="23"/>
        </w:rPr>
        <w:t xml:space="preserve">bservations of instruction conducted by School Empowerment Network (SEN) in </w:t>
      </w:r>
      <w:r w:rsidR="0008767F">
        <w:rPr>
          <w:sz w:val="23"/>
          <w:szCs w:val="23"/>
        </w:rPr>
        <w:t>May and June</w:t>
      </w:r>
      <w:r w:rsidR="002E4B82">
        <w:rPr>
          <w:sz w:val="23"/>
          <w:szCs w:val="23"/>
        </w:rPr>
        <w:t xml:space="preserve"> of 202</w:t>
      </w:r>
      <w:r w:rsidR="000E01E2">
        <w:rPr>
          <w:sz w:val="23"/>
          <w:szCs w:val="23"/>
        </w:rPr>
        <w:t xml:space="preserve">1 </w:t>
      </w:r>
      <w:r w:rsidR="002E4B82">
        <w:rPr>
          <w:sz w:val="23"/>
          <w:szCs w:val="23"/>
        </w:rPr>
        <w:t>were done remotely. SEN reviewers observed</w:t>
      </w:r>
      <w:r w:rsidR="000E01E2">
        <w:rPr>
          <w:sz w:val="23"/>
          <w:szCs w:val="23"/>
        </w:rPr>
        <w:t xml:space="preserve"> </w:t>
      </w:r>
      <w:r w:rsidR="00204A4D">
        <w:rPr>
          <w:sz w:val="23"/>
          <w:szCs w:val="23"/>
        </w:rPr>
        <w:t xml:space="preserve">both </w:t>
      </w:r>
      <w:r w:rsidR="002E4B82">
        <w:rPr>
          <w:sz w:val="23"/>
          <w:szCs w:val="23"/>
        </w:rPr>
        <w:t xml:space="preserve">remote instruction </w:t>
      </w:r>
      <w:r w:rsidR="000E01E2">
        <w:rPr>
          <w:sz w:val="23"/>
          <w:szCs w:val="23"/>
        </w:rPr>
        <w:t xml:space="preserve">and in-person instruction. </w:t>
      </w:r>
    </w:p>
    <w:p w14:paraId="2CC630B2" w14:textId="2757FDA3" w:rsidR="00AE1766" w:rsidRPr="000934B1" w:rsidRDefault="00A34405" w:rsidP="00FA2806">
      <w:pPr>
        <w:rPr>
          <w:b/>
          <w:sz w:val="23"/>
          <w:szCs w:val="23"/>
        </w:rPr>
      </w:pPr>
      <w:r w:rsidRPr="000934B1">
        <w:rPr>
          <w:b/>
          <w:sz w:val="23"/>
          <w:szCs w:val="23"/>
        </w:rPr>
        <w:br w:type="page"/>
      </w:r>
    </w:p>
    <w:p w14:paraId="4F073465" w14:textId="48418F05" w:rsidR="0024082B" w:rsidRPr="00EA5C23" w:rsidRDefault="0024082B" w:rsidP="00EA5C23">
      <w:pPr>
        <w:widowControl/>
        <w:rPr>
          <w:b/>
          <w:bCs/>
          <w:szCs w:val="24"/>
        </w:rPr>
      </w:pPr>
      <w:r w:rsidRPr="00EA5C23">
        <w:rPr>
          <w:b/>
          <w:bCs/>
          <w:szCs w:val="24"/>
        </w:rPr>
        <w:lastRenderedPageBreak/>
        <w:t>Paul A. Dever Elementary School</w:t>
      </w:r>
      <w:r w:rsidR="00FA2806" w:rsidRPr="00EA5C23">
        <w:rPr>
          <w:b/>
          <w:bCs/>
          <w:szCs w:val="24"/>
        </w:rPr>
        <w:t>, Boston</w:t>
      </w:r>
    </w:p>
    <w:p w14:paraId="5FB278B2" w14:textId="0A0DC6FE" w:rsidR="0024082B" w:rsidRPr="00EA5C23" w:rsidRDefault="0024082B" w:rsidP="00EA5C23">
      <w:pPr>
        <w:widowControl/>
        <w:rPr>
          <w:szCs w:val="24"/>
        </w:rPr>
      </w:pPr>
      <w:r w:rsidRPr="00EA5C23">
        <w:rPr>
          <w:szCs w:val="24"/>
        </w:rPr>
        <w:t xml:space="preserve">Information provided by School Empowerment Network </w:t>
      </w:r>
    </w:p>
    <w:p w14:paraId="4D97A59D" w14:textId="77777777" w:rsidR="0024082B" w:rsidRPr="00EA5C23" w:rsidRDefault="0024082B" w:rsidP="00EA5C23">
      <w:pPr>
        <w:widowControl/>
        <w:rPr>
          <w:b/>
          <w:bCs/>
          <w:snapToGrid/>
          <w:szCs w:val="24"/>
        </w:rPr>
      </w:pPr>
    </w:p>
    <w:p w14:paraId="53EF3D35" w14:textId="18E2C75F" w:rsidR="002B37F7" w:rsidRPr="00EA5C23" w:rsidRDefault="002B37F7" w:rsidP="00EA5C23">
      <w:pPr>
        <w:widowControl/>
        <w:rPr>
          <w:snapToGrid/>
          <w:szCs w:val="24"/>
        </w:rPr>
      </w:pPr>
      <w:r w:rsidRPr="00EA5C23">
        <w:rPr>
          <w:b/>
          <w:bCs/>
          <w:snapToGrid/>
          <w:szCs w:val="24"/>
        </w:rPr>
        <w:t>School Strengths</w:t>
      </w:r>
    </w:p>
    <w:p w14:paraId="1C0BF37F" w14:textId="77777777" w:rsidR="002B37F7" w:rsidRPr="00EA5C23" w:rsidRDefault="002B37F7" w:rsidP="00EA5C23">
      <w:pPr>
        <w:widowControl/>
        <w:rPr>
          <w:snapToGrid/>
          <w:szCs w:val="24"/>
        </w:rPr>
      </w:pPr>
    </w:p>
    <w:p w14:paraId="52219C97" w14:textId="127A1FE3" w:rsidR="002B37F7" w:rsidRPr="00EA5C23" w:rsidRDefault="002B37F7" w:rsidP="00EA5C23">
      <w:pPr>
        <w:widowControl/>
        <w:rPr>
          <w:snapToGrid/>
          <w:szCs w:val="24"/>
        </w:rPr>
      </w:pPr>
      <w:r w:rsidRPr="00EA5C23">
        <w:rPr>
          <w:snapToGrid/>
          <w:szCs w:val="24"/>
        </w:rPr>
        <w:t>Area of Strength # 1 </w:t>
      </w:r>
    </w:p>
    <w:p w14:paraId="6E813E72" w14:textId="1F5E70EE" w:rsidR="002B37F7" w:rsidRPr="00EA5C23" w:rsidRDefault="00F31F84" w:rsidP="00EA5C23">
      <w:pPr>
        <w:widowControl/>
        <w:rPr>
          <w:snapToGrid/>
          <w:szCs w:val="24"/>
        </w:rPr>
      </w:pPr>
      <w:r w:rsidRPr="00EA5C23">
        <w:rPr>
          <w:snapToGrid/>
          <w:szCs w:val="24"/>
        </w:rPr>
        <w:t>Assessment (sub-indicator B)</w:t>
      </w:r>
    </w:p>
    <w:p w14:paraId="6F458356" w14:textId="77777777" w:rsidR="002B37F7" w:rsidRPr="00EA5C23" w:rsidRDefault="002B37F7" w:rsidP="00EA5C23">
      <w:pPr>
        <w:widowControl/>
        <w:rPr>
          <w:snapToGrid/>
          <w:szCs w:val="24"/>
        </w:rPr>
      </w:pPr>
    </w:p>
    <w:p w14:paraId="44CA897D" w14:textId="77777777" w:rsidR="00283878" w:rsidRDefault="002B37F7" w:rsidP="00283878">
      <w:pPr>
        <w:widowControl/>
        <w:rPr>
          <w:snapToGrid/>
          <w:szCs w:val="24"/>
        </w:rPr>
      </w:pPr>
      <w:r w:rsidRPr="00EA5C23">
        <w:rPr>
          <w:i/>
          <w:iCs/>
          <w:snapToGrid/>
          <w:szCs w:val="24"/>
        </w:rPr>
        <w:t>Description</w:t>
      </w:r>
      <w:r w:rsidRPr="00EA5C23">
        <w:rPr>
          <w:snapToGrid/>
          <w:szCs w:val="24"/>
        </w:rPr>
        <w:t>:</w:t>
      </w:r>
    </w:p>
    <w:p w14:paraId="4F98BD4A" w14:textId="7F499448" w:rsidR="00F31F84" w:rsidRPr="00283878" w:rsidRDefault="007B2EA4" w:rsidP="00283878">
      <w:pPr>
        <w:widowControl/>
        <w:rPr>
          <w:snapToGrid/>
          <w:szCs w:val="24"/>
        </w:rPr>
      </w:pPr>
      <w:r w:rsidRPr="00EA5C23">
        <w:rPr>
          <w:color w:val="000000"/>
        </w:rPr>
        <w:t>S</w:t>
      </w:r>
      <w:r w:rsidR="00F31F84" w:rsidRPr="00EA5C23">
        <w:rPr>
          <w:color w:val="000000"/>
        </w:rPr>
        <w:t>chool leaders</w:t>
      </w:r>
      <w:r w:rsidRPr="00EA5C23">
        <w:rPr>
          <w:color w:val="000000"/>
        </w:rPr>
        <w:t xml:space="preserve"> and teachers</w:t>
      </w:r>
      <w:r w:rsidR="00F31F84" w:rsidRPr="00EA5C23">
        <w:rPr>
          <w:color w:val="000000"/>
        </w:rPr>
        <w:t xml:space="preserve"> </w:t>
      </w:r>
      <w:r w:rsidRPr="00EA5C23">
        <w:rPr>
          <w:color w:val="000000"/>
        </w:rPr>
        <w:t xml:space="preserve">utilize shared formative assessments and screening assessments to determine student progress toward benchmarks and goals. These include NWEA MAP, the Fundations phonics assessment, and curriculum-embedded </w:t>
      </w:r>
      <w:r w:rsidR="0067167D" w:rsidRPr="00EA5C23">
        <w:rPr>
          <w:color w:val="000000"/>
        </w:rPr>
        <w:t>mathematics</w:t>
      </w:r>
      <w:r w:rsidRPr="00EA5C23">
        <w:rPr>
          <w:color w:val="000000"/>
        </w:rPr>
        <w:t xml:space="preserve"> assessments. </w:t>
      </w:r>
      <w:r w:rsidR="00F31F84" w:rsidRPr="00EA5C23">
        <w:rPr>
          <w:color w:val="000000"/>
        </w:rPr>
        <w:t xml:space="preserve">As was the case </w:t>
      </w:r>
      <w:r w:rsidR="000B3F2B" w:rsidRPr="00EA5C23">
        <w:rPr>
          <w:color w:val="000000"/>
        </w:rPr>
        <w:t>at the time of the previous site visit</w:t>
      </w:r>
      <w:r w:rsidR="00204A4D" w:rsidRPr="00EA5C23">
        <w:rPr>
          <w:color w:val="000000"/>
        </w:rPr>
        <w:t>s</w:t>
      </w:r>
      <w:r w:rsidR="000B3F2B" w:rsidRPr="00EA5C23">
        <w:rPr>
          <w:color w:val="000000"/>
        </w:rPr>
        <w:t xml:space="preserve">, </w:t>
      </w:r>
      <w:r w:rsidR="00F31F84" w:rsidRPr="00EA5C23">
        <w:rPr>
          <w:color w:val="000000"/>
        </w:rPr>
        <w:t xml:space="preserve">students are </w:t>
      </w:r>
      <w:r w:rsidR="00EA5C23">
        <w:rPr>
          <w:color w:val="000000"/>
        </w:rPr>
        <w:t>scheduled</w:t>
      </w:r>
      <w:r w:rsidR="00F31F84" w:rsidRPr="00EA5C23">
        <w:rPr>
          <w:color w:val="000000"/>
        </w:rPr>
        <w:t xml:space="preserve"> for interventions based on the results of screening assessments. Several Dever teachers are trained to use research-based early literacy interventions including the Wilson intervention. Literacy instruction and intervention features systematic, phonics-based instruction targeted to students’ assessed learning needs. </w:t>
      </w:r>
      <w:r w:rsidR="000B3F2B" w:rsidRPr="00EA5C23">
        <w:rPr>
          <w:color w:val="000000"/>
        </w:rPr>
        <w:t>Teachers make use of r</w:t>
      </w:r>
      <w:r w:rsidR="00F31F84" w:rsidRPr="00EA5C23">
        <w:rPr>
          <w:color w:val="000000"/>
        </w:rPr>
        <w:t xml:space="preserve">esearch-based curricula including Fundations and Wilson’s </w:t>
      </w:r>
      <w:r w:rsidR="00F31F84" w:rsidRPr="00EA5C23">
        <w:rPr>
          <w:i/>
          <w:iCs/>
          <w:color w:val="000000"/>
        </w:rPr>
        <w:t>Just Words</w:t>
      </w:r>
      <w:r w:rsidR="00F31F84" w:rsidRPr="00EA5C23">
        <w:rPr>
          <w:color w:val="000000"/>
        </w:rPr>
        <w:t xml:space="preserve"> program. </w:t>
      </w:r>
      <w:r w:rsidR="000B3F2B" w:rsidRPr="00EA5C23">
        <w:rPr>
          <w:color w:val="000000"/>
        </w:rPr>
        <w:t xml:space="preserve">Student progress is monitored on an ongoing basis and groupings and instruction are adjusted  based on assessment. </w:t>
      </w:r>
      <w:r w:rsidR="00F31F84" w:rsidRPr="00EA5C23">
        <w:rPr>
          <w:color w:val="000000"/>
        </w:rPr>
        <w:t xml:space="preserve">As a result, </w:t>
      </w:r>
      <w:r w:rsidR="00EA5C23">
        <w:rPr>
          <w:color w:val="000000"/>
        </w:rPr>
        <w:t>most</w:t>
      </w:r>
      <w:r w:rsidR="00F31F84" w:rsidRPr="00EA5C23">
        <w:rPr>
          <w:color w:val="000000"/>
        </w:rPr>
        <w:t xml:space="preserve"> Dever students are receiving targeted </w:t>
      </w:r>
      <w:r w:rsidR="00204A4D" w:rsidRPr="00EA5C23">
        <w:rPr>
          <w:color w:val="000000"/>
        </w:rPr>
        <w:t>academic intervention</w:t>
      </w:r>
      <w:r w:rsidR="00F31F84" w:rsidRPr="00EA5C23">
        <w:rPr>
          <w:color w:val="000000"/>
        </w:rPr>
        <w:t xml:space="preserve"> and continuous progress monitoring. </w:t>
      </w:r>
    </w:p>
    <w:p w14:paraId="44F9029D" w14:textId="77777777" w:rsidR="00A34405" w:rsidRPr="00EA5C23" w:rsidRDefault="00A34405" w:rsidP="00EA5C23">
      <w:pPr>
        <w:rPr>
          <w:szCs w:val="24"/>
        </w:rPr>
      </w:pPr>
    </w:p>
    <w:p w14:paraId="1FE609A5" w14:textId="176E1271" w:rsidR="00A34405" w:rsidRPr="00EA5C23" w:rsidRDefault="00817A51" w:rsidP="00EA5C23">
      <w:pPr>
        <w:rPr>
          <w:b/>
          <w:bCs/>
          <w:szCs w:val="24"/>
        </w:rPr>
        <w:sectPr w:rsidR="00A34405" w:rsidRPr="00EA5C23" w:rsidSect="00BE0438">
          <w:footerReference w:type="default" r:id="rId13"/>
          <w:endnotePr>
            <w:numFmt w:val="decimal"/>
          </w:endnotePr>
          <w:type w:val="continuous"/>
          <w:pgSz w:w="12240" w:h="15840"/>
          <w:pgMar w:top="1008" w:right="1440" w:bottom="1008" w:left="1440" w:header="1440" w:footer="1440" w:gutter="0"/>
          <w:cols w:space="720"/>
          <w:formProt w:val="0"/>
          <w:noEndnote/>
          <w:docGrid w:linePitch="326"/>
        </w:sectPr>
      </w:pPr>
      <w:r w:rsidRPr="00EA5C23">
        <w:rPr>
          <w:b/>
          <w:bCs/>
          <w:szCs w:val="24"/>
        </w:rPr>
        <w:t>Areas of Focus</w:t>
      </w:r>
    </w:p>
    <w:p w14:paraId="1857D46D" w14:textId="77777777" w:rsidR="00FA2806" w:rsidRPr="00EA5C23" w:rsidRDefault="00FA2806" w:rsidP="00EA5C23">
      <w:pPr>
        <w:widowControl/>
        <w:rPr>
          <w:snapToGrid/>
          <w:szCs w:val="24"/>
        </w:rPr>
      </w:pPr>
    </w:p>
    <w:p w14:paraId="6AD9E54C" w14:textId="0302AA9C" w:rsidR="002B37F7" w:rsidRPr="00EA5C23" w:rsidRDefault="002B37F7" w:rsidP="00EA5C23">
      <w:pPr>
        <w:widowControl/>
        <w:rPr>
          <w:snapToGrid/>
          <w:szCs w:val="24"/>
        </w:rPr>
      </w:pPr>
      <w:r w:rsidRPr="00EA5C23">
        <w:rPr>
          <w:snapToGrid/>
          <w:szCs w:val="24"/>
        </w:rPr>
        <w:t>Area of Focus # 1</w:t>
      </w:r>
    </w:p>
    <w:p w14:paraId="443E8514" w14:textId="25A67054" w:rsidR="002B37F7" w:rsidRPr="00EA5C23" w:rsidRDefault="002B37F7" w:rsidP="00EA5C23">
      <w:pPr>
        <w:widowControl/>
        <w:rPr>
          <w:snapToGrid/>
          <w:szCs w:val="24"/>
        </w:rPr>
      </w:pPr>
      <w:r w:rsidRPr="00EA5C23">
        <w:rPr>
          <w:snapToGrid/>
          <w:szCs w:val="24"/>
        </w:rPr>
        <w:t>Pedagogy</w:t>
      </w:r>
    </w:p>
    <w:p w14:paraId="2D841C78" w14:textId="77777777" w:rsidR="002B37F7" w:rsidRPr="00EA5C23" w:rsidRDefault="002B37F7" w:rsidP="00EA5C23">
      <w:pPr>
        <w:widowControl/>
        <w:rPr>
          <w:snapToGrid/>
          <w:szCs w:val="24"/>
        </w:rPr>
      </w:pPr>
    </w:p>
    <w:p w14:paraId="0AF58EBE" w14:textId="77777777" w:rsidR="00283878" w:rsidRDefault="002B37F7" w:rsidP="00283878">
      <w:pPr>
        <w:widowControl/>
        <w:rPr>
          <w:snapToGrid/>
          <w:szCs w:val="24"/>
        </w:rPr>
      </w:pPr>
      <w:r w:rsidRPr="00EA5C23">
        <w:rPr>
          <w:i/>
          <w:iCs/>
          <w:snapToGrid/>
          <w:szCs w:val="24"/>
        </w:rPr>
        <w:t>Description</w:t>
      </w:r>
      <w:r w:rsidRPr="00EA5C23">
        <w:rPr>
          <w:snapToGrid/>
          <w:szCs w:val="24"/>
        </w:rPr>
        <w:t>:</w:t>
      </w:r>
    </w:p>
    <w:p w14:paraId="6FBE82DE" w14:textId="1EA715A1" w:rsidR="004E5FE2" w:rsidRPr="00283878" w:rsidRDefault="005221CD" w:rsidP="00283878">
      <w:pPr>
        <w:widowControl/>
        <w:rPr>
          <w:snapToGrid/>
          <w:szCs w:val="24"/>
        </w:rPr>
      </w:pPr>
      <w:r w:rsidRPr="00EA5C23">
        <w:t xml:space="preserve">Dever school leaders have established a framework to support teachers to enact </w:t>
      </w:r>
      <w:r w:rsidR="00E83E73" w:rsidRPr="00EA5C23">
        <w:t xml:space="preserve">an instructional vision </w:t>
      </w:r>
      <w:r w:rsidRPr="00EA5C23">
        <w:t xml:space="preserve">– the ignite, chunk, chew, review (ICCR) model. They have </w:t>
      </w:r>
      <w:r w:rsidR="00204A4D" w:rsidRPr="00EA5C23">
        <w:t>provided</w:t>
      </w:r>
      <w:r w:rsidRPr="00EA5C23">
        <w:t xml:space="preserve"> professional development </w:t>
      </w:r>
      <w:r w:rsidR="00204A4D" w:rsidRPr="00EA5C23">
        <w:t>on</w:t>
      </w:r>
      <w:r w:rsidRPr="00EA5C23">
        <w:t xml:space="preserve"> the ICCR model. On previous site visits</w:t>
      </w:r>
      <w:r w:rsidR="00A722A4">
        <w:t>,</w:t>
      </w:r>
      <w:r w:rsidRPr="00EA5C23">
        <w:t xml:space="preserve"> instruction was not often aligned to the instructional vision. </w:t>
      </w:r>
      <w:r w:rsidR="0065406A">
        <w:t>E</w:t>
      </w:r>
      <w:r w:rsidRPr="00EA5C23">
        <w:t xml:space="preserve">vidence from the June site visit </w:t>
      </w:r>
      <w:r w:rsidR="0065406A">
        <w:t>shows</w:t>
      </w:r>
      <w:r w:rsidRPr="00EA5C23">
        <w:t xml:space="preserve"> that professional development has become more tightly focused on concrete teaching moves and has included modeling</w:t>
      </w:r>
      <w:r w:rsidR="002C2EFA" w:rsidRPr="00EA5C23">
        <w:t xml:space="preserve"> of key practices and strategies</w:t>
      </w:r>
      <w:r w:rsidRPr="00EA5C23">
        <w:t xml:space="preserve">. As a result, instruction is becoming more aligned to the instructional vision. </w:t>
      </w:r>
      <w:r w:rsidR="00204A4D" w:rsidRPr="00EA5C23">
        <w:t>L</w:t>
      </w:r>
      <w:r w:rsidRPr="00EA5C23">
        <w:t xml:space="preserve">essons observed included </w:t>
      </w:r>
      <w:r w:rsidR="00204A4D" w:rsidRPr="00EA5C23">
        <w:t xml:space="preserve">opportunities for accountable talk </w:t>
      </w:r>
      <w:r w:rsidR="00297CA8">
        <w:t>(purposeful</w:t>
      </w:r>
      <w:r w:rsidR="00834235">
        <w:t xml:space="preserve">, open-ended conversations where participants listen and add onto each other’s comments) </w:t>
      </w:r>
      <w:r w:rsidR="00204A4D" w:rsidRPr="00EA5C23">
        <w:t xml:space="preserve">and </w:t>
      </w:r>
      <w:r w:rsidRPr="00EA5C23">
        <w:t xml:space="preserve">extended independent work time with grade-level content and text. In </w:t>
      </w:r>
      <w:r w:rsidR="002C2EFA" w:rsidRPr="00EA5C23">
        <w:t xml:space="preserve">several </w:t>
      </w:r>
      <w:r w:rsidR="00EA5C23">
        <w:t>English language arts (ELA)</w:t>
      </w:r>
      <w:r w:rsidRPr="00EA5C23">
        <w:t xml:space="preserve"> </w:t>
      </w:r>
      <w:r w:rsidR="002C2EFA" w:rsidRPr="00EA5C23">
        <w:t>lessons students engage</w:t>
      </w:r>
      <w:r w:rsidR="00204A4D" w:rsidRPr="00EA5C23">
        <w:t>d</w:t>
      </w:r>
      <w:r w:rsidR="002C2EFA" w:rsidRPr="00EA5C23">
        <w:t xml:space="preserve"> in close</w:t>
      </w:r>
      <w:r w:rsidR="00204A4D" w:rsidRPr="00EA5C23">
        <w:t>-</w:t>
      </w:r>
      <w:r w:rsidR="002C2EFA" w:rsidRPr="00EA5C23">
        <w:t>reading activities and text-based talk that emphasized interpretation of text. Moving forward, school leaders and teacher</w:t>
      </w:r>
      <w:r w:rsidR="004E5FE2" w:rsidRPr="00EA5C23">
        <w:t>s</w:t>
      </w:r>
      <w:r w:rsidR="002C2EFA" w:rsidRPr="00EA5C23">
        <w:t xml:space="preserve"> must sustain and build on the progress made in the last quarter of this school year. </w:t>
      </w:r>
      <w:r w:rsidR="00204A4D" w:rsidRPr="00EA5C23">
        <w:t>C</w:t>
      </w:r>
      <w:r w:rsidR="002C2EFA" w:rsidRPr="00EA5C23">
        <w:t>ontinued focus on instructional consistency is needed along with</w:t>
      </w:r>
      <w:r w:rsidR="002C2EFA" w:rsidRPr="00EA5C23">
        <w:rPr>
          <w:color w:val="000000"/>
        </w:rPr>
        <w:t xml:space="preserve"> support for teachers to ensure that all students are doing the cognitive lifting in every lesson. Professional development must continue to include modeling of key strategies and practices – in particular strategies for shifting the cognitive lift to all students. School leaders should implement a more robust teacher support system (see Area of Focus #2, below). </w:t>
      </w:r>
    </w:p>
    <w:p w14:paraId="7727021F" w14:textId="77777777" w:rsidR="00283878" w:rsidRDefault="00283878" w:rsidP="00EA5C23">
      <w:pPr>
        <w:widowControl/>
        <w:rPr>
          <w:snapToGrid/>
          <w:szCs w:val="24"/>
        </w:rPr>
      </w:pPr>
    </w:p>
    <w:p w14:paraId="061E776A" w14:textId="77777777" w:rsidR="00283878" w:rsidRDefault="00283878" w:rsidP="00EA5C23">
      <w:pPr>
        <w:widowControl/>
        <w:rPr>
          <w:snapToGrid/>
          <w:szCs w:val="24"/>
        </w:rPr>
      </w:pPr>
    </w:p>
    <w:p w14:paraId="48E914AA" w14:textId="77777777" w:rsidR="00283878" w:rsidRDefault="00283878" w:rsidP="00EA5C23">
      <w:pPr>
        <w:widowControl/>
        <w:rPr>
          <w:snapToGrid/>
          <w:szCs w:val="24"/>
        </w:rPr>
      </w:pPr>
    </w:p>
    <w:p w14:paraId="159B6F2E" w14:textId="59D7DA93" w:rsidR="00817A51" w:rsidRPr="00EA5C23" w:rsidRDefault="00817A51" w:rsidP="00EA5C23">
      <w:pPr>
        <w:widowControl/>
        <w:rPr>
          <w:snapToGrid/>
          <w:szCs w:val="24"/>
        </w:rPr>
      </w:pPr>
      <w:r w:rsidRPr="00EA5C23">
        <w:rPr>
          <w:snapToGrid/>
          <w:szCs w:val="24"/>
        </w:rPr>
        <w:lastRenderedPageBreak/>
        <w:t xml:space="preserve">Area of Focus # </w:t>
      </w:r>
      <w:r w:rsidR="00F31F84" w:rsidRPr="00EA5C23">
        <w:rPr>
          <w:snapToGrid/>
          <w:szCs w:val="24"/>
        </w:rPr>
        <w:t>2</w:t>
      </w:r>
    </w:p>
    <w:p w14:paraId="070502CB" w14:textId="43008ECE" w:rsidR="00817A51" w:rsidRPr="00EA5C23" w:rsidRDefault="00565BA0" w:rsidP="00EA5C23">
      <w:pPr>
        <w:widowControl/>
        <w:rPr>
          <w:snapToGrid/>
          <w:szCs w:val="24"/>
        </w:rPr>
      </w:pPr>
      <w:r w:rsidRPr="00EA5C23">
        <w:rPr>
          <w:snapToGrid/>
          <w:szCs w:val="24"/>
        </w:rPr>
        <w:t>Teacher Support and Supervision</w:t>
      </w:r>
    </w:p>
    <w:p w14:paraId="6648D95F" w14:textId="77777777" w:rsidR="00817A51" w:rsidRPr="00EA5C23" w:rsidRDefault="00817A51" w:rsidP="00EA5C23">
      <w:pPr>
        <w:widowControl/>
        <w:rPr>
          <w:snapToGrid/>
          <w:szCs w:val="24"/>
        </w:rPr>
      </w:pPr>
    </w:p>
    <w:p w14:paraId="4AC0E35D" w14:textId="77777777" w:rsidR="004E5FE2" w:rsidRPr="00EA5C23" w:rsidRDefault="00817A51" w:rsidP="00EA5C23">
      <w:pPr>
        <w:widowControl/>
        <w:rPr>
          <w:snapToGrid/>
          <w:szCs w:val="24"/>
        </w:rPr>
      </w:pPr>
      <w:r w:rsidRPr="00EA5C23">
        <w:rPr>
          <w:i/>
          <w:iCs/>
          <w:snapToGrid/>
          <w:szCs w:val="24"/>
        </w:rPr>
        <w:t>Description</w:t>
      </w:r>
      <w:r w:rsidRPr="00EA5C23">
        <w:rPr>
          <w:snapToGrid/>
          <w:szCs w:val="24"/>
        </w:rPr>
        <w:t>:</w:t>
      </w:r>
    </w:p>
    <w:p w14:paraId="039D382D" w14:textId="4B515299" w:rsidR="000365FD" w:rsidRPr="00EA5C23" w:rsidRDefault="000365FD" w:rsidP="00EA5C23">
      <w:pPr>
        <w:widowControl/>
        <w:rPr>
          <w:snapToGrid/>
          <w:szCs w:val="24"/>
        </w:rPr>
      </w:pPr>
      <w:r w:rsidRPr="00EA5C23">
        <w:rPr>
          <w:snapToGrid/>
          <w:szCs w:val="24"/>
        </w:rPr>
        <w:t>School leaders have prioritized professional development as a vehicle to drive instructional improvement.</w:t>
      </w:r>
      <w:r w:rsidR="004E5FE2" w:rsidRPr="00EA5C23">
        <w:rPr>
          <w:snapToGrid/>
          <w:szCs w:val="24"/>
        </w:rPr>
        <w:t xml:space="preserve"> School leaders have allocated resources in the form of coaches and teacher-leaders to support instructional planning and data analysis in </w:t>
      </w:r>
      <w:r w:rsidR="00EA5C23">
        <w:rPr>
          <w:snapToGrid/>
          <w:szCs w:val="24"/>
        </w:rPr>
        <w:t>common planning time (CPT)</w:t>
      </w:r>
      <w:r w:rsidR="004E5FE2" w:rsidRPr="00EA5C23">
        <w:rPr>
          <w:snapToGrid/>
          <w:szCs w:val="24"/>
        </w:rPr>
        <w:t xml:space="preserve"> meetings. A subset of Dever teachers receive instructional coaching in short cycles. However, t</w:t>
      </w:r>
      <w:r w:rsidRPr="00EA5C23">
        <w:rPr>
          <w:snapToGrid/>
          <w:szCs w:val="24"/>
        </w:rPr>
        <w:t>here is not</w:t>
      </w:r>
      <w:r w:rsidR="004E5FE2" w:rsidRPr="00EA5C23">
        <w:rPr>
          <w:snapToGrid/>
          <w:szCs w:val="24"/>
        </w:rPr>
        <w:t xml:space="preserve"> </w:t>
      </w:r>
      <w:r w:rsidRPr="00EA5C23">
        <w:rPr>
          <w:snapToGrid/>
          <w:szCs w:val="24"/>
        </w:rPr>
        <w:t>a systematic approach to supporting the development of all Dever teachers with feedback from frequent cycles of class observation</w:t>
      </w:r>
      <w:r w:rsidR="004E5FE2" w:rsidRPr="00EA5C23">
        <w:rPr>
          <w:snapToGrid/>
          <w:szCs w:val="24"/>
        </w:rPr>
        <w:t xml:space="preserve">. </w:t>
      </w:r>
      <w:r w:rsidRPr="00EA5C23">
        <w:rPr>
          <w:snapToGrid/>
          <w:szCs w:val="24"/>
        </w:rPr>
        <w:t xml:space="preserve">In addition, school leaders do not </w:t>
      </w:r>
      <w:r w:rsidR="007B2EA4" w:rsidRPr="00EA5C23">
        <w:rPr>
          <w:snapToGrid/>
          <w:szCs w:val="24"/>
        </w:rPr>
        <w:t xml:space="preserve">intentionally track teacher feedback. </w:t>
      </w:r>
      <w:r w:rsidRPr="00EA5C23">
        <w:rPr>
          <w:snapToGrid/>
          <w:color w:val="000000"/>
          <w:szCs w:val="24"/>
        </w:rPr>
        <w:t xml:space="preserve">As a result, instructional practice </w:t>
      </w:r>
      <w:r w:rsidR="007B2EA4" w:rsidRPr="00EA5C23">
        <w:rPr>
          <w:snapToGrid/>
          <w:color w:val="000000"/>
          <w:szCs w:val="24"/>
        </w:rPr>
        <w:t xml:space="preserve">is not, yet, as consistent or coherent across grades and content areas as it can be. There </w:t>
      </w:r>
      <w:r w:rsidRPr="00EA5C23">
        <w:rPr>
          <w:snapToGrid/>
          <w:color w:val="000000"/>
          <w:szCs w:val="24"/>
        </w:rPr>
        <w:t>is not evidence that all teachers are developing over time. To increase coherence</w:t>
      </w:r>
      <w:r w:rsidR="007B2EA4" w:rsidRPr="00EA5C23">
        <w:rPr>
          <w:snapToGrid/>
          <w:color w:val="000000"/>
          <w:szCs w:val="24"/>
        </w:rPr>
        <w:t xml:space="preserve">, </w:t>
      </w:r>
      <w:r w:rsidRPr="00EA5C23">
        <w:rPr>
          <w:snapToGrid/>
          <w:color w:val="000000"/>
          <w:szCs w:val="24"/>
        </w:rPr>
        <w:t>accelerate instructional improvement</w:t>
      </w:r>
      <w:r w:rsidR="007B2EA4" w:rsidRPr="00EA5C23">
        <w:rPr>
          <w:snapToGrid/>
          <w:color w:val="000000"/>
          <w:szCs w:val="24"/>
        </w:rPr>
        <w:t>, and drive student achievement,</w:t>
      </w:r>
      <w:r w:rsidRPr="00EA5C23">
        <w:rPr>
          <w:snapToGrid/>
          <w:color w:val="000000"/>
          <w:szCs w:val="24"/>
        </w:rPr>
        <w:t xml:space="preserve"> a teacher support and supervision system that provides regular feedback to all teachers is needed. Feedback to teachers should be grounded in a research-based teaching framework and should consistently focus on key teaching practices aligned to the instructional vision.  </w:t>
      </w:r>
    </w:p>
    <w:p w14:paraId="26A943FE" w14:textId="4180B5F8" w:rsidR="000E01E2" w:rsidRPr="00EA5C23" w:rsidRDefault="000E01E2" w:rsidP="00EA5C23">
      <w:pPr>
        <w:widowControl/>
        <w:rPr>
          <w:snapToGrid/>
          <w:szCs w:val="24"/>
        </w:rPr>
      </w:pPr>
    </w:p>
    <w:p w14:paraId="7252BC94" w14:textId="77777777" w:rsidR="00565BA0" w:rsidRPr="00EA5C23" w:rsidRDefault="00565BA0" w:rsidP="00EA5C23">
      <w:pPr>
        <w:pStyle w:val="NormalWeb"/>
        <w:spacing w:before="0" w:beforeAutospacing="0" w:after="0" w:afterAutospacing="0"/>
        <w:rPr>
          <w:b/>
          <w:bCs/>
        </w:rPr>
      </w:pPr>
    </w:p>
    <w:p w14:paraId="493B49EE" w14:textId="77777777" w:rsidR="00565BA0" w:rsidRPr="00EA5C23" w:rsidRDefault="00565BA0" w:rsidP="00EA5C23">
      <w:pPr>
        <w:pStyle w:val="NormalWeb"/>
        <w:spacing w:before="0" w:beforeAutospacing="0" w:after="0" w:afterAutospacing="0"/>
        <w:rPr>
          <w:b/>
          <w:bCs/>
        </w:rPr>
      </w:pPr>
    </w:p>
    <w:p w14:paraId="3C14DC2A" w14:textId="77777777" w:rsidR="00EA5C23" w:rsidRDefault="00EA5C23" w:rsidP="00EA5C23">
      <w:pPr>
        <w:pStyle w:val="NormalWeb"/>
        <w:spacing w:before="0" w:beforeAutospacing="0" w:after="0" w:afterAutospacing="0"/>
        <w:rPr>
          <w:b/>
          <w:bCs/>
        </w:rPr>
      </w:pPr>
      <w:r>
        <w:rPr>
          <w:b/>
          <w:bCs/>
        </w:rPr>
        <w:br w:type="page"/>
      </w:r>
    </w:p>
    <w:p w14:paraId="1759A6FF" w14:textId="16BBC22C" w:rsidR="0053073B" w:rsidRPr="00EA5C23" w:rsidRDefault="00FA2806" w:rsidP="00EA5C23">
      <w:pPr>
        <w:pStyle w:val="NormalWeb"/>
        <w:spacing w:before="0" w:beforeAutospacing="0" w:after="0" w:afterAutospacing="0"/>
        <w:rPr>
          <w:b/>
          <w:bCs/>
        </w:rPr>
      </w:pPr>
      <w:r w:rsidRPr="00EA5C23">
        <w:rPr>
          <w:b/>
          <w:bCs/>
        </w:rPr>
        <w:lastRenderedPageBreak/>
        <w:t>UP Academy Holland, Boston</w:t>
      </w:r>
    </w:p>
    <w:p w14:paraId="67EC523A" w14:textId="64F3F089" w:rsidR="00FA2806" w:rsidRPr="00EA5C23" w:rsidRDefault="00FA2806" w:rsidP="00EA5C23">
      <w:pPr>
        <w:widowControl/>
        <w:rPr>
          <w:szCs w:val="24"/>
        </w:rPr>
      </w:pPr>
      <w:r w:rsidRPr="00EA5C23">
        <w:rPr>
          <w:szCs w:val="24"/>
        </w:rPr>
        <w:t xml:space="preserve">Information provided by School Empowerment Network </w:t>
      </w:r>
    </w:p>
    <w:p w14:paraId="7D5FB379" w14:textId="77777777" w:rsidR="00FA2806" w:rsidRPr="00EA5C23" w:rsidRDefault="00FA2806" w:rsidP="00EA5C23">
      <w:pPr>
        <w:widowControl/>
        <w:rPr>
          <w:szCs w:val="24"/>
        </w:rPr>
      </w:pPr>
    </w:p>
    <w:p w14:paraId="7ADA3547" w14:textId="7C7D2473" w:rsidR="00817A51" w:rsidRPr="00EA5C23" w:rsidRDefault="00817A51" w:rsidP="00EA5C23">
      <w:pPr>
        <w:pStyle w:val="NormalWeb"/>
        <w:spacing w:before="0" w:beforeAutospacing="0" w:after="0" w:afterAutospacing="0"/>
        <w:rPr>
          <w:b/>
        </w:rPr>
      </w:pPr>
      <w:r w:rsidRPr="00EA5C23">
        <w:rPr>
          <w:b/>
        </w:rPr>
        <w:t>School Strengths</w:t>
      </w:r>
    </w:p>
    <w:p w14:paraId="43C41BBB" w14:textId="77777777" w:rsidR="00283878" w:rsidRDefault="00283878" w:rsidP="00EA5C23">
      <w:pPr>
        <w:pStyle w:val="NormalWeb"/>
        <w:spacing w:before="0" w:beforeAutospacing="0" w:after="0" w:afterAutospacing="0"/>
        <w:rPr>
          <w:bCs/>
        </w:rPr>
      </w:pPr>
    </w:p>
    <w:p w14:paraId="203AECB7" w14:textId="53BAE3DB" w:rsidR="00817A51" w:rsidRPr="00EA5C23" w:rsidRDefault="00817A51" w:rsidP="00EA5C23">
      <w:pPr>
        <w:pStyle w:val="NormalWeb"/>
        <w:spacing w:before="0" w:beforeAutospacing="0" w:after="0" w:afterAutospacing="0"/>
        <w:rPr>
          <w:bCs/>
        </w:rPr>
      </w:pPr>
      <w:r w:rsidRPr="00EA5C23">
        <w:rPr>
          <w:bCs/>
        </w:rPr>
        <w:t>Area of Strength # 1</w:t>
      </w:r>
    </w:p>
    <w:p w14:paraId="0F97EF24" w14:textId="6AFCEC78" w:rsidR="00817A51" w:rsidRPr="00EA5C23" w:rsidRDefault="00817A51" w:rsidP="00EA5C23">
      <w:pPr>
        <w:pStyle w:val="NormalWeb"/>
        <w:spacing w:before="0" w:beforeAutospacing="0" w:after="0" w:afterAutospacing="0"/>
        <w:rPr>
          <w:bCs/>
        </w:rPr>
      </w:pPr>
      <w:r w:rsidRPr="00EA5C23">
        <w:rPr>
          <w:bCs/>
        </w:rPr>
        <w:t>Assessment</w:t>
      </w:r>
    </w:p>
    <w:p w14:paraId="65FEC1CB" w14:textId="77777777" w:rsidR="00EC7E5D" w:rsidRPr="00EA5C23" w:rsidRDefault="00EC7E5D" w:rsidP="00EA5C23">
      <w:pPr>
        <w:pStyle w:val="NormalWeb"/>
        <w:spacing w:before="0" w:beforeAutospacing="0" w:after="0" w:afterAutospacing="0"/>
        <w:rPr>
          <w:bCs/>
        </w:rPr>
      </w:pPr>
    </w:p>
    <w:p w14:paraId="55FFDC7F" w14:textId="77777777" w:rsidR="00283878" w:rsidRDefault="00817A51" w:rsidP="00283878">
      <w:pPr>
        <w:pStyle w:val="NormalWeb"/>
        <w:spacing w:before="0" w:beforeAutospacing="0" w:after="0" w:afterAutospacing="0"/>
        <w:rPr>
          <w:bCs/>
        </w:rPr>
      </w:pPr>
      <w:r w:rsidRPr="00EA5C23">
        <w:rPr>
          <w:bCs/>
          <w:i/>
          <w:iCs/>
        </w:rPr>
        <w:t>Description</w:t>
      </w:r>
      <w:r w:rsidRPr="00EA5C23">
        <w:rPr>
          <w:bCs/>
        </w:rPr>
        <w:t>:</w:t>
      </w:r>
    </w:p>
    <w:p w14:paraId="3D141C06" w14:textId="1636F91F" w:rsidR="00F31F84" w:rsidRPr="00283878" w:rsidRDefault="00F31F84" w:rsidP="00283878">
      <w:pPr>
        <w:pStyle w:val="NormalWeb"/>
        <w:spacing w:before="0" w:beforeAutospacing="0" w:after="0" w:afterAutospacing="0"/>
        <w:rPr>
          <w:bCs/>
        </w:rPr>
      </w:pPr>
      <w:r w:rsidRPr="00EA5C23">
        <w:rPr>
          <w:color w:val="000000"/>
        </w:rPr>
        <w:t>School leaders and teachers at U</w:t>
      </w:r>
      <w:r w:rsidR="00EA5C23">
        <w:rPr>
          <w:color w:val="000000"/>
        </w:rPr>
        <w:t>P</w:t>
      </w:r>
      <w:r w:rsidRPr="00EA5C23">
        <w:rPr>
          <w:color w:val="000000"/>
        </w:rPr>
        <w:t xml:space="preserve"> Academy Holland </w:t>
      </w:r>
      <w:r w:rsidR="00EA5C23">
        <w:rPr>
          <w:color w:val="000000"/>
        </w:rPr>
        <w:t xml:space="preserve">(UAH) </w:t>
      </w:r>
      <w:r w:rsidRPr="00EA5C23">
        <w:rPr>
          <w:color w:val="000000"/>
        </w:rPr>
        <w:t>consistently and intentionally utilize schoolwide and classroom-level assessments to determine progress to learning targets for individual students and groups of students. Leaders place student outcomes and data analysis at the center of their regular check-ins with the teachers they support. As a result, teachers know individual students’ performance levels as well as group performance trends in their classes and make adjustments to instruction based on assessment results. </w:t>
      </w:r>
    </w:p>
    <w:p w14:paraId="38FF44A0" w14:textId="724F3C93" w:rsidR="00283878" w:rsidRPr="00283878" w:rsidRDefault="00F31F84" w:rsidP="00283878">
      <w:pPr>
        <w:pStyle w:val="NormalWeb"/>
        <w:spacing w:before="160" w:beforeAutospacing="0" w:after="160" w:afterAutospacing="0"/>
      </w:pPr>
      <w:r w:rsidRPr="00EA5C23">
        <w:rPr>
          <w:color w:val="000000"/>
        </w:rPr>
        <w:t>Across classes, lessons include multiple formative assessments for every student. Teachers</w:t>
      </w:r>
      <w:r w:rsidR="008C7F10" w:rsidRPr="00EA5C23">
        <w:rPr>
          <w:color w:val="000000"/>
        </w:rPr>
        <w:t xml:space="preserve"> in in-person and remote learing setttings</w:t>
      </w:r>
      <w:r w:rsidRPr="00EA5C23">
        <w:rPr>
          <w:color w:val="000000"/>
        </w:rPr>
        <w:t xml:space="preserve"> review student work in-progress and provide timely feedback. Moving forward school leaders should continue to support teachers to provide impactful feedback that is specific and targeted and to include opportunities for student self and peer-assessment in lessons. </w:t>
      </w:r>
    </w:p>
    <w:p w14:paraId="034F36D5" w14:textId="0D165636" w:rsidR="008C7F10" w:rsidRPr="00EA5C23" w:rsidRDefault="008C7F10" w:rsidP="00EA5C23">
      <w:pPr>
        <w:pStyle w:val="NormalWeb"/>
        <w:spacing w:before="0" w:beforeAutospacing="0" w:after="0" w:afterAutospacing="0"/>
        <w:rPr>
          <w:bCs/>
        </w:rPr>
      </w:pPr>
      <w:r w:rsidRPr="00EA5C23">
        <w:rPr>
          <w:bCs/>
        </w:rPr>
        <w:t>Area of Strength # 2</w:t>
      </w:r>
    </w:p>
    <w:p w14:paraId="10F72AE0" w14:textId="668B67B4" w:rsidR="008C7F10" w:rsidRPr="00EA5C23" w:rsidRDefault="008C7F10" w:rsidP="00EA5C23">
      <w:pPr>
        <w:pStyle w:val="NormalWeb"/>
        <w:spacing w:before="0" w:beforeAutospacing="0" w:after="0" w:afterAutospacing="0"/>
        <w:rPr>
          <w:bCs/>
        </w:rPr>
      </w:pPr>
      <w:r w:rsidRPr="00EA5C23">
        <w:rPr>
          <w:bCs/>
        </w:rPr>
        <w:t>High Expectations</w:t>
      </w:r>
    </w:p>
    <w:p w14:paraId="75348E45" w14:textId="77777777" w:rsidR="008C7F10" w:rsidRPr="00EA5C23" w:rsidRDefault="008C7F10" w:rsidP="00EA5C23">
      <w:pPr>
        <w:pStyle w:val="NormalWeb"/>
        <w:spacing w:before="0" w:beforeAutospacing="0" w:after="0" w:afterAutospacing="0"/>
        <w:rPr>
          <w:bCs/>
        </w:rPr>
      </w:pPr>
    </w:p>
    <w:p w14:paraId="3EF972C3" w14:textId="77777777" w:rsidR="00283878" w:rsidRDefault="008C7F10" w:rsidP="00283878">
      <w:pPr>
        <w:pStyle w:val="NormalWeb"/>
        <w:spacing w:before="0" w:beforeAutospacing="0" w:after="0" w:afterAutospacing="0"/>
        <w:rPr>
          <w:bCs/>
        </w:rPr>
      </w:pPr>
      <w:r w:rsidRPr="00EA5C23">
        <w:rPr>
          <w:bCs/>
          <w:i/>
          <w:iCs/>
        </w:rPr>
        <w:t>Description</w:t>
      </w:r>
      <w:r w:rsidRPr="00EA5C23">
        <w:rPr>
          <w:bCs/>
        </w:rPr>
        <w:t>:</w:t>
      </w:r>
    </w:p>
    <w:p w14:paraId="345A3A18" w14:textId="1F208E22" w:rsidR="008C7F10" w:rsidRPr="00EA5C23" w:rsidRDefault="008C7F10" w:rsidP="00283878">
      <w:pPr>
        <w:pStyle w:val="NormalWeb"/>
        <w:spacing w:before="0" w:beforeAutospacing="0" w:after="0" w:afterAutospacing="0"/>
        <w:rPr>
          <w:bCs/>
        </w:rPr>
      </w:pPr>
      <w:r w:rsidRPr="00EA5C23">
        <w:rPr>
          <w:bCs/>
        </w:rPr>
        <w:t>School leaders communicate clear expectations for all members of the UAH community.</w:t>
      </w:r>
      <w:r w:rsidR="00632612" w:rsidRPr="00EA5C23">
        <w:rPr>
          <w:bCs/>
        </w:rPr>
        <w:t xml:space="preserve"> They have developed support and accountability systems designed to ensure community members are prepared to meet expectations.</w:t>
      </w:r>
      <w:r w:rsidRPr="00EA5C23">
        <w:rPr>
          <w:bCs/>
        </w:rPr>
        <w:t xml:space="preserve"> </w:t>
      </w:r>
      <w:r w:rsidR="00BE5638" w:rsidRPr="00EA5C23">
        <w:rPr>
          <w:bCs/>
        </w:rPr>
        <w:t>Leadership team m</w:t>
      </w:r>
      <w:r w:rsidRPr="00EA5C23">
        <w:rPr>
          <w:bCs/>
        </w:rPr>
        <w:t>embers</w:t>
      </w:r>
      <w:r w:rsidR="00BE5638" w:rsidRPr="00EA5C23">
        <w:rPr>
          <w:bCs/>
        </w:rPr>
        <w:t xml:space="preserve"> </w:t>
      </w:r>
      <w:r w:rsidRPr="00EA5C23">
        <w:rPr>
          <w:bCs/>
        </w:rPr>
        <w:t>utilize a</w:t>
      </w:r>
      <w:r w:rsidR="00BE5638" w:rsidRPr="00EA5C23">
        <w:rPr>
          <w:bCs/>
        </w:rPr>
        <w:t xml:space="preserve"> shared</w:t>
      </w:r>
      <w:r w:rsidRPr="00EA5C23">
        <w:rPr>
          <w:bCs/>
        </w:rPr>
        <w:t xml:space="preserve"> process for providing feedback to teachers. As a result, feedback to teachers consistently aligns to academy goals and instructional priorities. UAH leaders coach teachers to establish consistent class routines, procedures, and expectations. As a result, across both remote and in-person learning environments consistent class routines and procedures are evident. Teachers </w:t>
      </w:r>
      <w:r w:rsidR="00632612" w:rsidRPr="00EA5C23">
        <w:rPr>
          <w:bCs/>
        </w:rPr>
        <w:t xml:space="preserve">readily </w:t>
      </w:r>
      <w:r w:rsidR="00BE5638" w:rsidRPr="00EA5C23">
        <w:rPr>
          <w:bCs/>
        </w:rPr>
        <w:t>identify</w:t>
      </w:r>
      <w:r w:rsidRPr="00EA5C23">
        <w:rPr>
          <w:bCs/>
        </w:rPr>
        <w:t xml:space="preserve"> expectations academy leaders have of them</w:t>
      </w:r>
      <w:r w:rsidR="00BE5638" w:rsidRPr="00EA5C23">
        <w:rPr>
          <w:bCs/>
        </w:rPr>
        <w:t xml:space="preserve">. They </w:t>
      </w:r>
      <w:r w:rsidR="00632612" w:rsidRPr="00EA5C23">
        <w:rPr>
          <w:bCs/>
        </w:rPr>
        <w:t xml:space="preserve">also </w:t>
      </w:r>
      <w:r w:rsidR="00BE5638" w:rsidRPr="00EA5C23">
        <w:rPr>
          <w:bCs/>
        </w:rPr>
        <w:t>describe</w:t>
      </w:r>
      <w:r w:rsidRPr="00EA5C23">
        <w:rPr>
          <w:bCs/>
        </w:rPr>
        <w:t xml:space="preserve"> systems designed to ensure that t</w:t>
      </w:r>
      <w:r w:rsidR="00BE5638" w:rsidRPr="00EA5C23">
        <w:rPr>
          <w:bCs/>
        </w:rPr>
        <w:t>hey</w:t>
      </w:r>
      <w:r w:rsidRPr="00EA5C23">
        <w:rPr>
          <w:bCs/>
        </w:rPr>
        <w:t xml:space="preserve"> are supported to meet </w:t>
      </w:r>
      <w:r w:rsidR="004E5FE2" w:rsidRPr="00EA5C23">
        <w:rPr>
          <w:bCs/>
        </w:rPr>
        <w:t xml:space="preserve">those </w:t>
      </w:r>
      <w:r w:rsidRPr="00EA5C23">
        <w:rPr>
          <w:bCs/>
        </w:rPr>
        <w:t>expectations</w:t>
      </w:r>
      <w:r w:rsidR="00632612" w:rsidRPr="00EA5C23">
        <w:rPr>
          <w:bCs/>
        </w:rPr>
        <w:t xml:space="preserve">. </w:t>
      </w:r>
      <w:r w:rsidRPr="00EA5C23">
        <w:rPr>
          <w:bCs/>
        </w:rPr>
        <w:t xml:space="preserve">One such system is the “Drop Everything and Plan” (DEAP) system </w:t>
      </w:r>
      <w:r w:rsidR="00632612" w:rsidRPr="00EA5C23">
        <w:rPr>
          <w:bCs/>
        </w:rPr>
        <w:t xml:space="preserve">of </w:t>
      </w:r>
      <w:r w:rsidR="00BE5638" w:rsidRPr="00EA5C23">
        <w:rPr>
          <w:bCs/>
        </w:rPr>
        <w:t>collaborat</w:t>
      </w:r>
      <w:r w:rsidR="00632612" w:rsidRPr="00EA5C23">
        <w:rPr>
          <w:bCs/>
        </w:rPr>
        <w:t>ive</w:t>
      </w:r>
      <w:r w:rsidRPr="00EA5C23">
        <w:rPr>
          <w:bCs/>
        </w:rPr>
        <w:t xml:space="preserve"> instruction</w:t>
      </w:r>
      <w:r w:rsidR="00632612" w:rsidRPr="00EA5C23">
        <w:rPr>
          <w:bCs/>
        </w:rPr>
        <w:t xml:space="preserve">al planning which </w:t>
      </w:r>
      <w:r w:rsidRPr="00EA5C23">
        <w:rPr>
          <w:bCs/>
        </w:rPr>
        <w:t xml:space="preserve">ensures that every teacher understands UAH expectations for planning. </w:t>
      </w:r>
    </w:p>
    <w:p w14:paraId="04736E02" w14:textId="409A3D6D" w:rsidR="008C7F10" w:rsidRPr="00EA5C23" w:rsidRDefault="00632612" w:rsidP="00EA5C23">
      <w:pPr>
        <w:pStyle w:val="NormalWeb"/>
        <w:rPr>
          <w:bCs/>
        </w:rPr>
      </w:pPr>
      <w:r w:rsidRPr="00EA5C23">
        <w:rPr>
          <w:bCs/>
        </w:rPr>
        <w:t>F</w:t>
      </w:r>
      <w:r w:rsidR="008C7F10" w:rsidRPr="00EA5C23">
        <w:rPr>
          <w:bCs/>
        </w:rPr>
        <w:t>amily members report that they</w:t>
      </w:r>
      <w:r w:rsidRPr="00EA5C23">
        <w:rPr>
          <w:bCs/>
        </w:rPr>
        <w:t xml:space="preserve"> receive frequent communication from teachers and school leaders including communication about</w:t>
      </w:r>
      <w:r w:rsidR="008C7F10" w:rsidRPr="00EA5C23">
        <w:rPr>
          <w:bCs/>
        </w:rPr>
        <w:t xml:space="preserve"> their children’s learning goals</w:t>
      </w:r>
      <w:r w:rsidRPr="00EA5C23">
        <w:rPr>
          <w:bCs/>
        </w:rPr>
        <w:t xml:space="preserve"> and progress to goals.</w:t>
      </w:r>
      <w:r w:rsidR="008C7F10" w:rsidRPr="00EA5C23">
        <w:rPr>
          <w:bCs/>
        </w:rPr>
        <w:t xml:space="preserve"> </w:t>
      </w:r>
    </w:p>
    <w:p w14:paraId="359FFC66" w14:textId="15DC1DE6" w:rsidR="00817A51" w:rsidRPr="00EA5C23" w:rsidRDefault="00817A51" w:rsidP="00EA5C23">
      <w:pPr>
        <w:pStyle w:val="NormalWeb"/>
        <w:spacing w:before="0" w:beforeAutospacing="0" w:after="0" w:afterAutospacing="0"/>
        <w:rPr>
          <w:b/>
        </w:rPr>
      </w:pPr>
      <w:r w:rsidRPr="00EA5C23">
        <w:rPr>
          <w:b/>
        </w:rPr>
        <w:t>Areas of Focus</w:t>
      </w:r>
    </w:p>
    <w:p w14:paraId="1FD64A66" w14:textId="77777777" w:rsidR="00FA2806" w:rsidRPr="00EA5C23" w:rsidRDefault="00FA2806" w:rsidP="00EA5C23">
      <w:pPr>
        <w:pStyle w:val="NormalWeb"/>
        <w:spacing w:before="0" w:beforeAutospacing="0" w:after="0" w:afterAutospacing="0"/>
        <w:rPr>
          <w:bCs/>
        </w:rPr>
      </w:pPr>
    </w:p>
    <w:p w14:paraId="55A2AE25" w14:textId="04E9FE88" w:rsidR="00817A51" w:rsidRPr="00EA5C23" w:rsidRDefault="00817A51" w:rsidP="00EA5C23">
      <w:pPr>
        <w:pStyle w:val="NormalWeb"/>
        <w:spacing w:before="0" w:beforeAutospacing="0" w:after="0" w:afterAutospacing="0"/>
        <w:rPr>
          <w:bCs/>
        </w:rPr>
      </w:pPr>
      <w:r w:rsidRPr="00EA5C23">
        <w:rPr>
          <w:bCs/>
        </w:rPr>
        <w:t>Area of Focus # 1</w:t>
      </w:r>
    </w:p>
    <w:p w14:paraId="5CFF9A28" w14:textId="6AACC6C6" w:rsidR="00817A51" w:rsidRPr="00EA5C23" w:rsidRDefault="00817A51" w:rsidP="00EA5C23">
      <w:pPr>
        <w:pStyle w:val="NormalWeb"/>
        <w:spacing w:before="0" w:beforeAutospacing="0" w:after="0" w:afterAutospacing="0"/>
        <w:rPr>
          <w:bCs/>
        </w:rPr>
      </w:pPr>
      <w:r w:rsidRPr="00EA5C23">
        <w:rPr>
          <w:bCs/>
        </w:rPr>
        <w:t>Curricula</w:t>
      </w:r>
    </w:p>
    <w:p w14:paraId="64451B22" w14:textId="77777777" w:rsidR="000E01E2" w:rsidRPr="00EA5C23" w:rsidRDefault="000E01E2" w:rsidP="00EA5C23">
      <w:pPr>
        <w:pStyle w:val="NormalWeb"/>
        <w:spacing w:before="0" w:beforeAutospacing="0" w:after="0" w:afterAutospacing="0"/>
        <w:rPr>
          <w:bCs/>
          <w:i/>
          <w:iCs/>
        </w:rPr>
      </w:pPr>
    </w:p>
    <w:p w14:paraId="0FED18BB" w14:textId="77777777" w:rsidR="00283878" w:rsidRDefault="00817A51" w:rsidP="00283878">
      <w:pPr>
        <w:pStyle w:val="NormalWeb"/>
        <w:spacing w:before="0" w:beforeAutospacing="0" w:after="0" w:afterAutospacing="0"/>
        <w:rPr>
          <w:bCs/>
          <w:i/>
          <w:iCs/>
        </w:rPr>
      </w:pPr>
      <w:r w:rsidRPr="00EA5C23">
        <w:rPr>
          <w:bCs/>
          <w:i/>
          <w:iCs/>
        </w:rPr>
        <w:t>Description:</w:t>
      </w:r>
    </w:p>
    <w:p w14:paraId="23B0BB2A" w14:textId="334C4483" w:rsidR="00D9793F" w:rsidRPr="00283878" w:rsidRDefault="000E01E2" w:rsidP="00283878">
      <w:pPr>
        <w:pStyle w:val="NormalWeb"/>
        <w:spacing w:before="0" w:beforeAutospacing="0" w:after="0" w:afterAutospacing="0"/>
        <w:rPr>
          <w:bCs/>
          <w:i/>
          <w:iCs/>
        </w:rPr>
      </w:pPr>
      <w:r w:rsidRPr="00EA5C23">
        <w:rPr>
          <w:color w:val="000000"/>
        </w:rPr>
        <w:lastRenderedPageBreak/>
        <w:t>School leaders have selected standards-aligned curriculum</w:t>
      </w:r>
      <w:r w:rsidR="008D0D88" w:rsidRPr="00EA5C23">
        <w:rPr>
          <w:color w:val="000000"/>
        </w:rPr>
        <w:t xml:space="preserve">, including a new ELA curriculum for grades K through 4: </w:t>
      </w:r>
      <w:r w:rsidRPr="00EA5C23">
        <w:rPr>
          <w:color w:val="000000"/>
        </w:rPr>
        <w:t>the Expeditionary Learning</w:t>
      </w:r>
      <w:r w:rsidR="00675EC6">
        <w:rPr>
          <w:color w:val="000000"/>
        </w:rPr>
        <w:t xml:space="preserve"> </w:t>
      </w:r>
      <w:r w:rsidRPr="00EA5C23">
        <w:rPr>
          <w:color w:val="000000"/>
        </w:rPr>
        <w:t xml:space="preserve">curriculum. </w:t>
      </w:r>
    </w:p>
    <w:p w14:paraId="0463C4DE" w14:textId="1F503A81" w:rsidR="002259C8" w:rsidRPr="00EA5C23" w:rsidRDefault="008D0D88" w:rsidP="00EA5C23">
      <w:pPr>
        <w:widowControl/>
        <w:spacing w:before="180" w:after="180"/>
        <w:rPr>
          <w:bCs/>
          <w:szCs w:val="24"/>
        </w:rPr>
      </w:pPr>
      <w:r w:rsidRPr="00EA5C23">
        <w:rPr>
          <w:snapToGrid/>
          <w:color w:val="000000"/>
          <w:szCs w:val="24"/>
        </w:rPr>
        <w:t xml:space="preserve">Teachers’ enactment of the </w:t>
      </w:r>
      <w:r w:rsidR="0067167D" w:rsidRPr="00EA5C23">
        <w:rPr>
          <w:snapToGrid/>
          <w:color w:val="000000"/>
          <w:szCs w:val="24"/>
        </w:rPr>
        <w:t>mathematics</w:t>
      </w:r>
      <w:r w:rsidRPr="00EA5C23">
        <w:rPr>
          <w:snapToGrid/>
          <w:color w:val="000000"/>
          <w:szCs w:val="24"/>
        </w:rPr>
        <w:t xml:space="preserve"> curriculum is </w:t>
      </w:r>
      <w:r w:rsidR="00724A9E" w:rsidRPr="00EA5C23">
        <w:rPr>
          <w:snapToGrid/>
          <w:color w:val="000000"/>
          <w:szCs w:val="24"/>
        </w:rPr>
        <w:t>consistently</w:t>
      </w:r>
      <w:r w:rsidRPr="00EA5C23">
        <w:rPr>
          <w:snapToGrid/>
          <w:color w:val="000000"/>
          <w:szCs w:val="24"/>
        </w:rPr>
        <w:t xml:space="preserve"> effective and sometimes expert. This is not, yet, the case in ELA. </w:t>
      </w:r>
      <w:r w:rsidR="00D9793F" w:rsidRPr="00EA5C23">
        <w:rPr>
          <w:snapToGrid/>
          <w:color w:val="000000"/>
          <w:szCs w:val="24"/>
        </w:rPr>
        <w:t>S</w:t>
      </w:r>
      <w:r w:rsidRPr="00EA5C23">
        <w:rPr>
          <w:snapToGrid/>
          <w:color w:val="000000"/>
          <w:szCs w:val="24"/>
        </w:rPr>
        <w:t xml:space="preserve">chool leaders’ adjustment of the schoolwide collaborative planning process to include a focus on “worthwhile tasks” is resulting in students having more opportunities to </w:t>
      </w:r>
      <w:r w:rsidR="00724A9E" w:rsidRPr="00EA5C23">
        <w:rPr>
          <w:snapToGrid/>
          <w:color w:val="000000"/>
          <w:szCs w:val="24"/>
        </w:rPr>
        <w:t>engage with</w:t>
      </w:r>
      <w:r w:rsidRPr="00EA5C23">
        <w:rPr>
          <w:snapToGrid/>
          <w:color w:val="000000"/>
          <w:szCs w:val="24"/>
        </w:rPr>
        <w:t xml:space="preserve"> grade-level text and to </w:t>
      </w:r>
      <w:r w:rsidR="00D9793F" w:rsidRPr="00EA5C23">
        <w:rPr>
          <w:snapToGrid/>
          <w:color w:val="000000"/>
          <w:szCs w:val="24"/>
        </w:rPr>
        <w:t xml:space="preserve">develop </w:t>
      </w:r>
      <w:r w:rsidRPr="00EA5C23">
        <w:rPr>
          <w:snapToGrid/>
          <w:color w:val="000000"/>
          <w:szCs w:val="24"/>
        </w:rPr>
        <w:t>writ</w:t>
      </w:r>
      <w:r w:rsidR="00D9793F" w:rsidRPr="00EA5C23">
        <w:rPr>
          <w:snapToGrid/>
          <w:color w:val="000000"/>
          <w:szCs w:val="24"/>
        </w:rPr>
        <w:t xml:space="preserve">ing skills in ELA lessons. However, there is not evidence that listening and speaking standards are consistently prioritized in ELA lessons. Enactment of ELA curriculum does not consistently </w:t>
      </w:r>
      <w:r w:rsidR="00724A9E" w:rsidRPr="00EA5C23">
        <w:rPr>
          <w:snapToGrid/>
          <w:color w:val="000000"/>
          <w:szCs w:val="24"/>
        </w:rPr>
        <w:t>emphasize higher-level thinking.</w:t>
      </w:r>
      <w:r w:rsidR="00D9793F" w:rsidRPr="00EA5C23">
        <w:rPr>
          <w:snapToGrid/>
          <w:color w:val="000000"/>
          <w:szCs w:val="24"/>
        </w:rPr>
        <w:t xml:space="preserve"> </w:t>
      </w:r>
      <w:r w:rsidR="00724A9E" w:rsidRPr="00EA5C23">
        <w:rPr>
          <w:snapToGrid/>
          <w:color w:val="000000"/>
          <w:szCs w:val="24"/>
        </w:rPr>
        <w:t xml:space="preserve">To build teachers’ ELA content knowledge and support instructional decision-making in ELA, school leaders must provide ongoing </w:t>
      </w:r>
      <w:r w:rsidR="00D9793F" w:rsidRPr="00EA5C23">
        <w:rPr>
          <w:snapToGrid/>
          <w:color w:val="000000"/>
          <w:szCs w:val="24"/>
        </w:rPr>
        <w:t>professional development on</w:t>
      </w:r>
      <w:r w:rsidR="00724A9E" w:rsidRPr="00EA5C23">
        <w:rPr>
          <w:snapToGrid/>
          <w:color w:val="000000"/>
          <w:szCs w:val="24"/>
        </w:rPr>
        <w:t xml:space="preserve"> the E</w:t>
      </w:r>
      <w:r w:rsidR="00675EC6">
        <w:rPr>
          <w:snapToGrid/>
          <w:color w:val="000000"/>
          <w:szCs w:val="24"/>
        </w:rPr>
        <w:t>xpedit</w:t>
      </w:r>
      <w:r w:rsidR="00283878">
        <w:rPr>
          <w:snapToGrid/>
          <w:color w:val="000000"/>
          <w:szCs w:val="24"/>
        </w:rPr>
        <w:t>i</w:t>
      </w:r>
      <w:r w:rsidR="00675EC6">
        <w:rPr>
          <w:snapToGrid/>
          <w:color w:val="000000"/>
          <w:szCs w:val="24"/>
        </w:rPr>
        <w:t xml:space="preserve">onary </w:t>
      </w:r>
      <w:r w:rsidR="00724A9E" w:rsidRPr="00EA5C23">
        <w:rPr>
          <w:snapToGrid/>
          <w:color w:val="000000"/>
          <w:szCs w:val="24"/>
        </w:rPr>
        <w:t>L</w:t>
      </w:r>
      <w:r w:rsidR="00675EC6">
        <w:rPr>
          <w:snapToGrid/>
          <w:color w:val="000000"/>
          <w:szCs w:val="24"/>
        </w:rPr>
        <w:t>earning</w:t>
      </w:r>
      <w:r w:rsidR="00724A9E" w:rsidRPr="00EA5C23">
        <w:rPr>
          <w:snapToGrid/>
          <w:color w:val="000000"/>
          <w:szCs w:val="24"/>
        </w:rPr>
        <w:t xml:space="preserve"> curriculum and on ELA standards, </w:t>
      </w:r>
      <w:r w:rsidR="00175BEF" w:rsidRPr="00EA5C23">
        <w:rPr>
          <w:snapToGrid/>
          <w:color w:val="000000"/>
          <w:szCs w:val="24"/>
        </w:rPr>
        <w:t>habits of mind</w:t>
      </w:r>
      <w:r w:rsidR="00724A9E" w:rsidRPr="00EA5C23">
        <w:rPr>
          <w:snapToGrid/>
          <w:color w:val="000000"/>
          <w:szCs w:val="24"/>
        </w:rPr>
        <w:t xml:space="preserve"> and key performances</w:t>
      </w:r>
      <w:r w:rsidR="0075435E" w:rsidRPr="00EA5C23">
        <w:rPr>
          <w:snapToGrid/>
          <w:color w:val="000000"/>
          <w:szCs w:val="24"/>
        </w:rPr>
        <w:t>.</w:t>
      </w:r>
    </w:p>
    <w:p w14:paraId="2317547B" w14:textId="66EB3BD8" w:rsidR="00817A51" w:rsidRPr="00EA5C23" w:rsidRDefault="00817A51" w:rsidP="00EA5C23">
      <w:pPr>
        <w:pStyle w:val="NormalWeb"/>
        <w:spacing w:before="0" w:beforeAutospacing="0" w:after="0" w:afterAutospacing="0"/>
        <w:rPr>
          <w:bCs/>
        </w:rPr>
      </w:pPr>
      <w:r w:rsidRPr="00EA5C23">
        <w:rPr>
          <w:bCs/>
        </w:rPr>
        <w:t>Area of Focus # 2</w:t>
      </w:r>
    </w:p>
    <w:p w14:paraId="5110BE23" w14:textId="11F4DDD1" w:rsidR="00817A51" w:rsidRPr="00EA5C23" w:rsidRDefault="00817A51" w:rsidP="00EA5C23">
      <w:pPr>
        <w:pStyle w:val="NormalWeb"/>
        <w:spacing w:before="0" w:beforeAutospacing="0" w:after="0" w:afterAutospacing="0"/>
        <w:rPr>
          <w:bCs/>
        </w:rPr>
      </w:pPr>
      <w:r w:rsidRPr="00EA5C23">
        <w:rPr>
          <w:bCs/>
        </w:rPr>
        <w:t>Pedagogy</w:t>
      </w:r>
    </w:p>
    <w:p w14:paraId="0A55C260" w14:textId="77777777" w:rsidR="00FA2806" w:rsidRPr="00EA5C23" w:rsidRDefault="00FA2806" w:rsidP="00EA5C23">
      <w:pPr>
        <w:pStyle w:val="NormalWeb"/>
        <w:spacing w:before="0" w:beforeAutospacing="0" w:after="0" w:afterAutospacing="0"/>
        <w:rPr>
          <w:bCs/>
          <w:i/>
          <w:iCs/>
        </w:rPr>
      </w:pPr>
    </w:p>
    <w:p w14:paraId="4483550F" w14:textId="77777777" w:rsidR="00283878" w:rsidRDefault="00817A51" w:rsidP="00283878">
      <w:pPr>
        <w:pStyle w:val="NormalWeb"/>
        <w:spacing w:before="0" w:beforeAutospacing="0" w:after="0" w:afterAutospacing="0"/>
        <w:rPr>
          <w:bCs/>
        </w:rPr>
      </w:pPr>
      <w:r w:rsidRPr="00EA5C23">
        <w:rPr>
          <w:bCs/>
          <w:i/>
          <w:iCs/>
        </w:rPr>
        <w:t>Description:</w:t>
      </w:r>
    </w:p>
    <w:p w14:paraId="1653B8E5" w14:textId="2B6E60C6" w:rsidR="000E01E2" w:rsidRPr="00283878" w:rsidRDefault="0075435E" w:rsidP="00283878">
      <w:pPr>
        <w:pStyle w:val="NormalWeb"/>
        <w:spacing w:before="0" w:beforeAutospacing="0" w:after="0" w:afterAutospacing="0"/>
        <w:rPr>
          <w:bCs/>
        </w:rPr>
      </w:pPr>
      <w:r w:rsidRPr="00EA5C23">
        <w:rPr>
          <w:color w:val="000000"/>
        </w:rPr>
        <w:t>As a result of well-established “intellectual prep” protocols, a variety of specific</w:t>
      </w:r>
      <w:r w:rsidR="000E01E2" w:rsidRPr="00EA5C23">
        <w:rPr>
          <w:color w:val="000000"/>
        </w:rPr>
        <w:t xml:space="preserve"> instructional </w:t>
      </w:r>
      <w:r w:rsidRPr="00EA5C23">
        <w:rPr>
          <w:color w:val="000000"/>
        </w:rPr>
        <w:t>strategies</w:t>
      </w:r>
      <w:r w:rsidR="000E01E2" w:rsidRPr="00EA5C23">
        <w:rPr>
          <w:color w:val="000000"/>
        </w:rPr>
        <w:t xml:space="preserve"> are consistently </w:t>
      </w:r>
      <w:r w:rsidRPr="00EA5C23">
        <w:rPr>
          <w:color w:val="000000"/>
        </w:rPr>
        <w:t>practiced</w:t>
      </w:r>
      <w:r w:rsidR="000E01E2" w:rsidRPr="00EA5C23">
        <w:rPr>
          <w:color w:val="000000"/>
        </w:rPr>
        <w:t xml:space="preserve"> across UAH classes. </w:t>
      </w:r>
      <w:r w:rsidRPr="00EA5C23">
        <w:rPr>
          <w:color w:val="000000"/>
        </w:rPr>
        <w:t>These include “cold calling,” “stamping</w:t>
      </w:r>
      <w:r w:rsidR="004E5FE2" w:rsidRPr="00EA5C23">
        <w:rPr>
          <w:color w:val="000000"/>
        </w:rPr>
        <w:t xml:space="preserve"> the </w:t>
      </w:r>
      <w:r w:rsidRPr="00EA5C23">
        <w:rPr>
          <w:color w:val="000000"/>
        </w:rPr>
        <w:t>learning</w:t>
      </w:r>
      <w:r w:rsidR="00EA5C23">
        <w:rPr>
          <w:color w:val="000000"/>
        </w:rPr>
        <w:t>,</w:t>
      </w:r>
      <w:r w:rsidR="004E5FE2" w:rsidRPr="00EA5C23">
        <w:rPr>
          <w:color w:val="000000"/>
        </w:rPr>
        <w:t>”</w:t>
      </w:r>
      <w:r w:rsidRPr="00EA5C23">
        <w:rPr>
          <w:color w:val="000000"/>
        </w:rPr>
        <w:t xml:space="preserve"> and providing in-the-moment feedback on student work. </w:t>
      </w:r>
      <w:r w:rsidR="000E01E2" w:rsidRPr="00EA5C23">
        <w:rPr>
          <w:color w:val="000000"/>
        </w:rPr>
        <w:t xml:space="preserve">In addition, </w:t>
      </w:r>
      <w:r w:rsidR="00022BB0" w:rsidRPr="00EA5C23">
        <w:rPr>
          <w:color w:val="000000"/>
        </w:rPr>
        <w:t xml:space="preserve">in alignment with the school’s beliefs about how students learn best, instruction more frequently emphasizes “worthwhile tasks” including tasks that require student collaboration. In </w:t>
      </w:r>
      <w:r w:rsidR="0067167D" w:rsidRPr="00EA5C23">
        <w:rPr>
          <w:color w:val="000000"/>
        </w:rPr>
        <w:t>mathematics</w:t>
      </w:r>
      <w:r w:rsidR="00022BB0" w:rsidRPr="00EA5C23">
        <w:rPr>
          <w:color w:val="000000"/>
        </w:rPr>
        <w:t xml:space="preserve"> lessons many tasks, questions, and prompts require higher-level thinking. </w:t>
      </w:r>
    </w:p>
    <w:p w14:paraId="1135B31F" w14:textId="349ABF23" w:rsidR="0053073B" w:rsidRPr="00EA5C23" w:rsidRDefault="000E01E2" w:rsidP="00EA5C23">
      <w:pPr>
        <w:pStyle w:val="NormalWeb"/>
        <w:spacing w:before="180" w:beforeAutospacing="0" w:after="180" w:afterAutospacing="0"/>
      </w:pPr>
      <w:r w:rsidRPr="00EA5C23">
        <w:rPr>
          <w:color w:val="000000"/>
        </w:rPr>
        <w:t>While progress has been made relative to this indicator, a continued focus on pedagogy</w:t>
      </w:r>
      <w:r w:rsidRPr="00EA5C23">
        <w:rPr>
          <w:i/>
          <w:iCs/>
          <w:color w:val="000000"/>
        </w:rPr>
        <w:t xml:space="preserve"> </w:t>
      </w:r>
      <w:r w:rsidRPr="00EA5C23">
        <w:rPr>
          <w:color w:val="000000"/>
        </w:rPr>
        <w:t>is needed. Moving forward, school leaders should communicate a definition of student ownership</w:t>
      </w:r>
      <w:r w:rsidR="00022BB0" w:rsidRPr="00EA5C23">
        <w:rPr>
          <w:color w:val="000000"/>
        </w:rPr>
        <w:t xml:space="preserve"> of learning</w:t>
      </w:r>
      <w:r w:rsidRPr="00EA5C23">
        <w:rPr>
          <w:color w:val="000000"/>
        </w:rPr>
        <w:t xml:space="preserve"> that includes student choice, </w:t>
      </w:r>
      <w:r w:rsidR="00022BB0" w:rsidRPr="00EA5C23">
        <w:rPr>
          <w:color w:val="000000"/>
        </w:rPr>
        <w:t xml:space="preserve">open-ended tasks, </w:t>
      </w:r>
      <w:r w:rsidRPr="00EA5C23">
        <w:rPr>
          <w:color w:val="000000"/>
        </w:rPr>
        <w:t xml:space="preserve">curiosity, and personalization. </w:t>
      </w:r>
      <w:r w:rsidR="00022BB0" w:rsidRPr="00EA5C23">
        <w:rPr>
          <w:color w:val="000000"/>
        </w:rPr>
        <w:t>They should build teachers’ capacity to develop students’ ownership of learning. In order to address speaking and listening standards, s</w:t>
      </w:r>
      <w:r w:rsidRPr="00EA5C23">
        <w:rPr>
          <w:color w:val="000000"/>
        </w:rPr>
        <w:t>chool leaders should</w:t>
      </w:r>
      <w:r w:rsidR="00022BB0" w:rsidRPr="00EA5C23">
        <w:rPr>
          <w:color w:val="000000"/>
        </w:rPr>
        <w:t xml:space="preserve"> leverage the expertise of the most-skilled teachers to support others to facilitate accountable student-to-student discourse in all content areas. </w:t>
      </w:r>
    </w:p>
    <w:p w14:paraId="39B11D81" w14:textId="5AC5B0F5" w:rsidR="0053073B" w:rsidRPr="00EA5C23" w:rsidRDefault="0053073B" w:rsidP="00EA5C23">
      <w:pPr>
        <w:pStyle w:val="NormalWeb"/>
        <w:spacing w:before="0" w:beforeAutospacing="0" w:after="0" w:afterAutospacing="0"/>
        <w:rPr>
          <w:b/>
        </w:rPr>
      </w:pPr>
    </w:p>
    <w:p w14:paraId="3D58370A" w14:textId="77777777" w:rsidR="00914757" w:rsidRPr="00EA5C23" w:rsidRDefault="00914757" w:rsidP="00EA5C23">
      <w:pPr>
        <w:pStyle w:val="NormalWeb"/>
        <w:spacing w:before="0" w:beforeAutospacing="0" w:after="0" w:afterAutospacing="0"/>
        <w:rPr>
          <w:b/>
        </w:rPr>
      </w:pPr>
    </w:p>
    <w:p w14:paraId="363A4422" w14:textId="36876B38" w:rsidR="00570D30" w:rsidRPr="00EA5C23" w:rsidRDefault="00570D30" w:rsidP="00EA5C23">
      <w:pPr>
        <w:widowControl/>
        <w:rPr>
          <w:b/>
          <w:snapToGrid/>
          <w:szCs w:val="24"/>
        </w:rPr>
      </w:pPr>
      <w:r w:rsidRPr="00EA5C23">
        <w:rPr>
          <w:b/>
          <w:bCs/>
          <w:snapToGrid/>
          <w:szCs w:val="24"/>
        </w:rPr>
        <w:br w:type="page"/>
      </w:r>
    </w:p>
    <w:p w14:paraId="2F3FD8DF" w14:textId="4FE3FC32" w:rsidR="00FA2806" w:rsidRPr="00EA5C23" w:rsidRDefault="00FA2806" w:rsidP="00EA5C23">
      <w:pPr>
        <w:widowControl/>
        <w:rPr>
          <w:b/>
          <w:bCs/>
          <w:snapToGrid/>
          <w:szCs w:val="24"/>
        </w:rPr>
      </w:pPr>
      <w:r w:rsidRPr="00EA5C23">
        <w:rPr>
          <w:b/>
          <w:bCs/>
          <w:snapToGrid/>
          <w:szCs w:val="24"/>
        </w:rPr>
        <w:lastRenderedPageBreak/>
        <w:t>Morgan Full Service Community School, Holyoke</w:t>
      </w:r>
    </w:p>
    <w:p w14:paraId="2DC02098" w14:textId="655A0978" w:rsidR="00FA2806" w:rsidRPr="00EA5C23" w:rsidRDefault="00FA2806" w:rsidP="00EA5C23">
      <w:pPr>
        <w:widowControl/>
        <w:rPr>
          <w:szCs w:val="24"/>
        </w:rPr>
      </w:pPr>
      <w:r w:rsidRPr="00EA5C23">
        <w:rPr>
          <w:szCs w:val="24"/>
        </w:rPr>
        <w:t xml:space="preserve">Information provided by School Empowerment Network </w:t>
      </w:r>
    </w:p>
    <w:p w14:paraId="4A2A1BB5" w14:textId="77777777" w:rsidR="00FA2806" w:rsidRPr="00EA5C23" w:rsidRDefault="00FA2806" w:rsidP="00EA5C23">
      <w:pPr>
        <w:widowControl/>
        <w:rPr>
          <w:szCs w:val="24"/>
        </w:rPr>
      </w:pPr>
    </w:p>
    <w:p w14:paraId="794B6587" w14:textId="517FCF48" w:rsidR="001F6E45" w:rsidRPr="00EA5C23" w:rsidRDefault="001F6E45" w:rsidP="00EA5C23">
      <w:pPr>
        <w:widowControl/>
        <w:rPr>
          <w:snapToGrid/>
          <w:szCs w:val="24"/>
        </w:rPr>
      </w:pPr>
      <w:r w:rsidRPr="00EA5C23">
        <w:rPr>
          <w:b/>
          <w:bCs/>
          <w:snapToGrid/>
          <w:szCs w:val="24"/>
        </w:rPr>
        <w:t>School Strengths</w:t>
      </w:r>
    </w:p>
    <w:p w14:paraId="5C82D88A" w14:textId="77777777" w:rsidR="001F6E45" w:rsidRPr="00EA5C23" w:rsidRDefault="001F6E45" w:rsidP="00EA5C23">
      <w:pPr>
        <w:widowControl/>
        <w:rPr>
          <w:snapToGrid/>
          <w:szCs w:val="24"/>
        </w:rPr>
      </w:pPr>
    </w:p>
    <w:p w14:paraId="5D2E4DD4" w14:textId="77777777" w:rsidR="0008767F" w:rsidRPr="00EA5C23" w:rsidRDefault="001F6E45" w:rsidP="00EA5C23">
      <w:pPr>
        <w:widowControl/>
        <w:rPr>
          <w:snapToGrid/>
          <w:szCs w:val="24"/>
        </w:rPr>
      </w:pPr>
      <w:r w:rsidRPr="00EA5C23">
        <w:rPr>
          <w:snapToGrid/>
          <w:szCs w:val="24"/>
        </w:rPr>
        <w:t>Area of Strength # 1</w:t>
      </w:r>
    </w:p>
    <w:p w14:paraId="64C5D393" w14:textId="77777777" w:rsidR="0008767F" w:rsidRPr="00EA5C23" w:rsidRDefault="0008767F" w:rsidP="00EA5C23">
      <w:pPr>
        <w:widowControl/>
        <w:rPr>
          <w:snapToGrid/>
          <w:szCs w:val="24"/>
        </w:rPr>
      </w:pPr>
      <w:r w:rsidRPr="00EA5C23">
        <w:rPr>
          <w:snapToGrid/>
          <w:szCs w:val="24"/>
        </w:rPr>
        <w:t>Positive Learning Environment</w:t>
      </w:r>
    </w:p>
    <w:p w14:paraId="22BA0093" w14:textId="24301C99" w:rsidR="001F6E45" w:rsidRPr="00EA5C23" w:rsidRDefault="001F6E45" w:rsidP="00EA5C23">
      <w:pPr>
        <w:widowControl/>
        <w:rPr>
          <w:snapToGrid/>
          <w:szCs w:val="24"/>
        </w:rPr>
      </w:pPr>
      <w:r w:rsidRPr="00EA5C23">
        <w:rPr>
          <w:snapToGrid/>
          <w:szCs w:val="24"/>
        </w:rPr>
        <w:t> </w:t>
      </w:r>
    </w:p>
    <w:p w14:paraId="1F395E74" w14:textId="77777777" w:rsidR="00283878" w:rsidRDefault="0008767F" w:rsidP="00283878">
      <w:pPr>
        <w:widowControl/>
        <w:rPr>
          <w:i/>
          <w:iCs/>
          <w:snapToGrid/>
          <w:szCs w:val="24"/>
        </w:rPr>
      </w:pPr>
      <w:r w:rsidRPr="00EA5C23">
        <w:rPr>
          <w:i/>
          <w:iCs/>
          <w:snapToGrid/>
          <w:szCs w:val="24"/>
        </w:rPr>
        <w:t>Description</w:t>
      </w:r>
    </w:p>
    <w:p w14:paraId="7F33061E" w14:textId="4A364672" w:rsidR="0008767F" w:rsidRPr="00283878" w:rsidRDefault="0008767F" w:rsidP="00283878">
      <w:pPr>
        <w:widowControl/>
        <w:rPr>
          <w:snapToGrid/>
          <w:szCs w:val="24"/>
        </w:rPr>
      </w:pPr>
      <w:r w:rsidRPr="00EA5C23">
        <w:rPr>
          <w:color w:val="000000"/>
        </w:rPr>
        <w:t>Morgan classroom environments are safe, stable and free of disruptions to learning. Family members report that school leaders and teachers are responsive to family members’ questions and concerns and work to resolve issues quickly. School leaders have sched</w:t>
      </w:r>
      <w:r w:rsidR="002015FB" w:rsidRPr="00EA5C23">
        <w:rPr>
          <w:color w:val="000000"/>
        </w:rPr>
        <w:t>uled</w:t>
      </w:r>
      <w:r w:rsidRPr="00EA5C23">
        <w:rPr>
          <w:color w:val="000000"/>
        </w:rPr>
        <w:t xml:space="preserve"> time daily for </w:t>
      </w:r>
      <w:r w:rsidR="002015FB" w:rsidRPr="00EA5C23">
        <w:rPr>
          <w:color w:val="000000"/>
        </w:rPr>
        <w:t xml:space="preserve">student </w:t>
      </w:r>
      <w:r w:rsidRPr="00EA5C23">
        <w:rPr>
          <w:color w:val="000000"/>
        </w:rPr>
        <w:t xml:space="preserve">social-emotional learning (SEL). School leaders have responded to </w:t>
      </w:r>
      <w:r w:rsidR="002015FB" w:rsidRPr="00EA5C23">
        <w:rPr>
          <w:color w:val="000000"/>
        </w:rPr>
        <w:t>families’</w:t>
      </w:r>
      <w:r w:rsidRPr="00EA5C23">
        <w:rPr>
          <w:color w:val="000000"/>
        </w:rPr>
        <w:t xml:space="preserve"> needs </w:t>
      </w:r>
      <w:r w:rsidR="002015FB" w:rsidRPr="00EA5C23">
        <w:rPr>
          <w:color w:val="000000"/>
        </w:rPr>
        <w:t>during this</w:t>
      </w:r>
      <w:r w:rsidRPr="00EA5C23">
        <w:rPr>
          <w:color w:val="000000"/>
        </w:rPr>
        <w:t xml:space="preserve"> atypical year by creating systems such as</w:t>
      </w:r>
      <w:r w:rsidR="00C15C6D">
        <w:rPr>
          <w:color w:val="000000"/>
        </w:rPr>
        <w:t xml:space="preserve"> All in for Morgan Support (</w:t>
      </w:r>
      <w:r w:rsidRPr="00EA5C23">
        <w:rPr>
          <w:color w:val="000000"/>
        </w:rPr>
        <w:t>AIM</w:t>
      </w:r>
      <w:r w:rsidR="00C15C6D">
        <w:rPr>
          <w:color w:val="000000"/>
        </w:rPr>
        <w:t xml:space="preserve">S) </w:t>
      </w:r>
      <w:r w:rsidR="002015FB" w:rsidRPr="00EA5C23">
        <w:rPr>
          <w:color w:val="000000"/>
        </w:rPr>
        <w:t>–</w:t>
      </w:r>
      <w:r w:rsidRPr="00EA5C23">
        <w:rPr>
          <w:color w:val="000000"/>
        </w:rPr>
        <w:t xml:space="preserve"> </w:t>
      </w:r>
      <w:r w:rsidR="002015FB" w:rsidRPr="00EA5C23">
        <w:rPr>
          <w:color w:val="000000"/>
        </w:rPr>
        <w:t>staff members</w:t>
      </w:r>
      <w:r w:rsidRPr="00EA5C23">
        <w:rPr>
          <w:color w:val="000000"/>
        </w:rPr>
        <w:t xml:space="preserve"> who con</w:t>
      </w:r>
      <w:r w:rsidR="002015FB" w:rsidRPr="00EA5C23">
        <w:rPr>
          <w:color w:val="000000"/>
        </w:rPr>
        <w:t>tact</w:t>
      </w:r>
      <w:r w:rsidRPr="00EA5C23">
        <w:rPr>
          <w:color w:val="000000"/>
        </w:rPr>
        <w:t xml:space="preserve"> families to ensure students have the resources to access</w:t>
      </w:r>
      <w:r w:rsidR="002015FB" w:rsidRPr="00EA5C23">
        <w:rPr>
          <w:color w:val="000000"/>
        </w:rPr>
        <w:t xml:space="preserve"> remote or in-person </w:t>
      </w:r>
      <w:r w:rsidRPr="00EA5C23">
        <w:rPr>
          <w:color w:val="000000"/>
        </w:rPr>
        <w:t>instruction.  </w:t>
      </w:r>
    </w:p>
    <w:p w14:paraId="10B14AE6" w14:textId="10A51504" w:rsidR="001F6E45" w:rsidRPr="00EA5C23" w:rsidRDefault="0008767F" w:rsidP="00C15C6D">
      <w:pPr>
        <w:pStyle w:val="NormalWeb"/>
        <w:spacing w:before="180" w:beforeAutospacing="0" w:after="180" w:afterAutospacing="0"/>
      </w:pPr>
      <w:r w:rsidRPr="00EA5C23">
        <w:rPr>
          <w:color w:val="000000"/>
        </w:rPr>
        <w:t>School leaders have taken steps that are resulting in a</w:t>
      </w:r>
      <w:r w:rsidR="002015FB" w:rsidRPr="00EA5C23">
        <w:rPr>
          <w:color w:val="000000"/>
        </w:rPr>
        <w:t>n increasingly positive</w:t>
      </w:r>
      <w:r w:rsidRPr="00EA5C23">
        <w:rPr>
          <w:color w:val="000000"/>
        </w:rPr>
        <w:t xml:space="preserve"> professional culture at Morgan. </w:t>
      </w:r>
      <w:r w:rsidR="002015FB" w:rsidRPr="00EA5C23">
        <w:rPr>
          <w:color w:val="000000"/>
        </w:rPr>
        <w:t>For example, l</w:t>
      </w:r>
      <w:r w:rsidRPr="00EA5C23">
        <w:rPr>
          <w:color w:val="000000"/>
        </w:rPr>
        <w:t xml:space="preserve">eaders have increased the frequency of </w:t>
      </w:r>
      <w:r w:rsidR="002015FB" w:rsidRPr="00EA5C23">
        <w:rPr>
          <w:color w:val="000000"/>
        </w:rPr>
        <w:t xml:space="preserve">teacher </w:t>
      </w:r>
      <w:r w:rsidRPr="00EA5C23">
        <w:rPr>
          <w:color w:val="000000"/>
        </w:rPr>
        <w:t xml:space="preserve">coaching </w:t>
      </w:r>
      <w:r w:rsidR="002015FB" w:rsidRPr="00EA5C23">
        <w:rPr>
          <w:color w:val="000000"/>
        </w:rPr>
        <w:t>meetings</w:t>
      </w:r>
      <w:r w:rsidRPr="00EA5C23">
        <w:rPr>
          <w:color w:val="000000"/>
        </w:rPr>
        <w:t xml:space="preserve">. These one-to-one and small group coaching </w:t>
      </w:r>
      <w:r w:rsidR="002015FB" w:rsidRPr="00EA5C23">
        <w:rPr>
          <w:color w:val="000000"/>
        </w:rPr>
        <w:t>meetings are</w:t>
      </w:r>
      <w:r w:rsidRPr="00EA5C23">
        <w:rPr>
          <w:color w:val="000000"/>
        </w:rPr>
        <w:t xml:space="preserve"> a vehicle for leaders to support teachers to improve their craft.</w:t>
      </w:r>
      <w:r w:rsidR="002015FB" w:rsidRPr="00EA5C23">
        <w:rPr>
          <w:color w:val="000000"/>
        </w:rPr>
        <w:t xml:space="preserve"> </w:t>
      </w:r>
      <w:r w:rsidRPr="00EA5C23">
        <w:rPr>
          <w:color w:val="000000"/>
        </w:rPr>
        <w:t>This approach to teacher support is conducive to adult learning</w:t>
      </w:r>
      <w:r w:rsidR="002015FB" w:rsidRPr="00EA5C23">
        <w:rPr>
          <w:color w:val="000000"/>
        </w:rPr>
        <w:t xml:space="preserve"> and </w:t>
      </w:r>
      <w:r w:rsidRPr="00EA5C23">
        <w:rPr>
          <w:color w:val="000000"/>
        </w:rPr>
        <w:t>has resulted in increased levels of respect between and among adults.</w:t>
      </w:r>
    </w:p>
    <w:p w14:paraId="6D99BAB6" w14:textId="55CC7553" w:rsidR="001F6E45" w:rsidRPr="00283878" w:rsidRDefault="001F6E45" w:rsidP="00EA5C23">
      <w:pPr>
        <w:widowControl/>
        <w:rPr>
          <w:snapToGrid/>
          <w:szCs w:val="24"/>
        </w:rPr>
      </w:pPr>
      <w:r w:rsidRPr="00EA5C23">
        <w:rPr>
          <w:b/>
          <w:bCs/>
          <w:snapToGrid/>
          <w:szCs w:val="24"/>
        </w:rPr>
        <w:t>Areas of Focus</w:t>
      </w:r>
    </w:p>
    <w:p w14:paraId="3D9CC450" w14:textId="77777777" w:rsidR="001F6E45" w:rsidRPr="00EA5C23" w:rsidRDefault="001F6E45" w:rsidP="00EA5C23">
      <w:pPr>
        <w:widowControl/>
        <w:rPr>
          <w:snapToGrid/>
          <w:szCs w:val="24"/>
        </w:rPr>
      </w:pPr>
    </w:p>
    <w:p w14:paraId="422415FE" w14:textId="77777777" w:rsidR="001F6E45" w:rsidRPr="00EA5C23" w:rsidRDefault="001F6E45" w:rsidP="00EA5C23">
      <w:pPr>
        <w:widowControl/>
        <w:rPr>
          <w:snapToGrid/>
          <w:szCs w:val="24"/>
        </w:rPr>
      </w:pPr>
      <w:r w:rsidRPr="00EA5C23">
        <w:rPr>
          <w:snapToGrid/>
          <w:szCs w:val="24"/>
        </w:rPr>
        <w:t>Area of Focus # 1</w:t>
      </w:r>
    </w:p>
    <w:p w14:paraId="7D6C7E72" w14:textId="22F31B3A" w:rsidR="001F6E45" w:rsidRPr="00EA5C23" w:rsidRDefault="001F6E45" w:rsidP="00EA5C23">
      <w:pPr>
        <w:widowControl/>
        <w:rPr>
          <w:snapToGrid/>
          <w:szCs w:val="24"/>
        </w:rPr>
      </w:pPr>
      <w:r w:rsidRPr="00EA5C23">
        <w:rPr>
          <w:snapToGrid/>
          <w:szCs w:val="24"/>
        </w:rPr>
        <w:t>Pedagogy</w:t>
      </w:r>
    </w:p>
    <w:p w14:paraId="463BDF10" w14:textId="77777777" w:rsidR="001F6E45" w:rsidRPr="00EA5C23" w:rsidRDefault="001F6E45" w:rsidP="00EA5C23">
      <w:pPr>
        <w:widowControl/>
        <w:rPr>
          <w:snapToGrid/>
          <w:szCs w:val="24"/>
        </w:rPr>
      </w:pPr>
    </w:p>
    <w:p w14:paraId="01E94833" w14:textId="77777777" w:rsidR="001F6E45" w:rsidRPr="00EA5C23" w:rsidRDefault="001F6E45" w:rsidP="00EA5C23">
      <w:pPr>
        <w:widowControl/>
        <w:rPr>
          <w:snapToGrid/>
          <w:szCs w:val="24"/>
        </w:rPr>
      </w:pPr>
      <w:r w:rsidRPr="00EA5C23">
        <w:rPr>
          <w:i/>
          <w:iCs/>
          <w:snapToGrid/>
          <w:szCs w:val="24"/>
        </w:rPr>
        <w:t>Description</w:t>
      </w:r>
      <w:r w:rsidRPr="00EA5C23">
        <w:rPr>
          <w:snapToGrid/>
          <w:szCs w:val="24"/>
        </w:rPr>
        <w:t>:</w:t>
      </w:r>
    </w:p>
    <w:p w14:paraId="14CC52C8" w14:textId="2823F952" w:rsidR="002015FB" w:rsidRPr="00EA5C23" w:rsidRDefault="002015FB" w:rsidP="00EA5C23">
      <w:pPr>
        <w:widowControl/>
        <w:rPr>
          <w:snapToGrid/>
          <w:szCs w:val="24"/>
        </w:rPr>
      </w:pPr>
      <w:r w:rsidRPr="00EA5C23">
        <w:rPr>
          <w:snapToGrid/>
          <w:color w:val="000000"/>
          <w:szCs w:val="24"/>
        </w:rPr>
        <w:t xml:space="preserve">Morgan school leaders </w:t>
      </w:r>
      <w:r w:rsidR="00885A5B" w:rsidRPr="00EA5C23">
        <w:rPr>
          <w:snapToGrid/>
          <w:color w:val="000000"/>
          <w:szCs w:val="24"/>
        </w:rPr>
        <w:t xml:space="preserve">have </w:t>
      </w:r>
      <w:r w:rsidRPr="00EA5C23">
        <w:rPr>
          <w:snapToGrid/>
          <w:color w:val="000000"/>
          <w:szCs w:val="24"/>
        </w:rPr>
        <w:t>codified a</w:t>
      </w:r>
      <w:r w:rsidR="00885A5B" w:rsidRPr="00EA5C23">
        <w:rPr>
          <w:snapToGrid/>
          <w:color w:val="000000"/>
          <w:szCs w:val="24"/>
        </w:rPr>
        <w:t xml:space="preserve"> schoolwide</w:t>
      </w:r>
      <w:r w:rsidRPr="00EA5C23">
        <w:rPr>
          <w:snapToGrid/>
          <w:color w:val="000000"/>
          <w:szCs w:val="24"/>
        </w:rPr>
        <w:t xml:space="preserve"> instructional vision. </w:t>
      </w:r>
      <w:r w:rsidR="00885A5B" w:rsidRPr="00EA5C23">
        <w:rPr>
          <w:snapToGrid/>
          <w:color w:val="000000"/>
          <w:szCs w:val="24"/>
        </w:rPr>
        <w:t>This vision is communicated in staff-facing documents and through professional development experiences. D</w:t>
      </w:r>
      <w:r w:rsidR="00D52820" w:rsidRPr="00EA5C23">
        <w:rPr>
          <w:snapToGrid/>
          <w:color w:val="000000"/>
          <w:szCs w:val="24"/>
        </w:rPr>
        <w:t>uring previous site visits,</w:t>
      </w:r>
      <w:r w:rsidR="00852792" w:rsidRPr="00EA5C23">
        <w:rPr>
          <w:snapToGrid/>
          <w:color w:val="000000"/>
          <w:szCs w:val="24"/>
        </w:rPr>
        <w:t xml:space="preserve"> </w:t>
      </w:r>
      <w:r w:rsidRPr="00EA5C23">
        <w:rPr>
          <w:snapToGrid/>
          <w:color w:val="000000"/>
          <w:szCs w:val="24"/>
        </w:rPr>
        <w:t>enactment of instructional</w:t>
      </w:r>
      <w:r w:rsidR="00D52820" w:rsidRPr="00EA5C23">
        <w:rPr>
          <w:snapToGrid/>
          <w:szCs w:val="24"/>
        </w:rPr>
        <w:t xml:space="preserve"> </w:t>
      </w:r>
      <w:r w:rsidRPr="00EA5C23">
        <w:rPr>
          <w:snapToGrid/>
          <w:color w:val="000000"/>
          <w:szCs w:val="24"/>
        </w:rPr>
        <w:t xml:space="preserve">practices </w:t>
      </w:r>
      <w:r w:rsidR="00D52820" w:rsidRPr="00EA5C23">
        <w:rPr>
          <w:snapToGrid/>
          <w:color w:val="000000"/>
          <w:szCs w:val="24"/>
        </w:rPr>
        <w:t>aligned to the vision</w:t>
      </w:r>
      <w:r w:rsidRPr="00EA5C23">
        <w:rPr>
          <w:snapToGrid/>
          <w:color w:val="000000"/>
          <w:szCs w:val="24"/>
        </w:rPr>
        <w:t xml:space="preserve"> w</w:t>
      </w:r>
      <w:r w:rsidR="00885A5B" w:rsidRPr="00EA5C23">
        <w:rPr>
          <w:snapToGrid/>
          <w:color w:val="000000"/>
          <w:szCs w:val="24"/>
        </w:rPr>
        <w:t>as</w:t>
      </w:r>
      <w:r w:rsidRPr="00EA5C23">
        <w:rPr>
          <w:snapToGrid/>
          <w:color w:val="000000"/>
          <w:szCs w:val="24"/>
        </w:rPr>
        <w:t xml:space="preserve"> </w:t>
      </w:r>
      <w:r w:rsidR="00D52820" w:rsidRPr="00EA5C23">
        <w:rPr>
          <w:snapToGrid/>
          <w:color w:val="000000"/>
          <w:szCs w:val="24"/>
        </w:rPr>
        <w:t>in</w:t>
      </w:r>
      <w:r w:rsidRPr="00EA5C23">
        <w:rPr>
          <w:snapToGrid/>
          <w:color w:val="000000"/>
          <w:szCs w:val="24"/>
        </w:rPr>
        <w:t>consistent</w:t>
      </w:r>
      <w:r w:rsidR="00885A5B" w:rsidRPr="00EA5C23">
        <w:rPr>
          <w:snapToGrid/>
          <w:color w:val="000000"/>
          <w:szCs w:val="24"/>
        </w:rPr>
        <w:t>. T</w:t>
      </w:r>
      <w:r w:rsidR="00852792" w:rsidRPr="00EA5C23">
        <w:rPr>
          <w:snapToGrid/>
          <w:color w:val="000000"/>
          <w:szCs w:val="24"/>
        </w:rPr>
        <w:t>he evidence from this visit</w:t>
      </w:r>
      <w:r w:rsidR="00885A5B" w:rsidRPr="00EA5C23">
        <w:rPr>
          <w:snapToGrid/>
          <w:color w:val="000000"/>
          <w:szCs w:val="24"/>
        </w:rPr>
        <w:t>, however,</w:t>
      </w:r>
      <w:r w:rsidR="00852792" w:rsidRPr="00EA5C23">
        <w:rPr>
          <w:snapToGrid/>
          <w:color w:val="000000"/>
          <w:szCs w:val="24"/>
        </w:rPr>
        <w:t xml:space="preserve"> is that </w:t>
      </w:r>
      <w:r w:rsidRPr="00EA5C23">
        <w:rPr>
          <w:snapToGrid/>
          <w:color w:val="000000"/>
          <w:szCs w:val="24"/>
        </w:rPr>
        <w:t xml:space="preserve">instruction is becoming more coherent and consistent across classes. </w:t>
      </w:r>
      <w:r w:rsidR="00852792" w:rsidRPr="00EA5C23">
        <w:rPr>
          <w:snapToGrid/>
          <w:color w:val="000000"/>
          <w:szCs w:val="24"/>
        </w:rPr>
        <w:t>S</w:t>
      </w:r>
      <w:r w:rsidRPr="00EA5C23">
        <w:rPr>
          <w:snapToGrid/>
          <w:color w:val="000000"/>
          <w:szCs w:val="24"/>
        </w:rPr>
        <w:t>chool leaders’ focus on “purposing”</w:t>
      </w:r>
      <w:r w:rsidR="00852792" w:rsidRPr="00EA5C23">
        <w:rPr>
          <w:snapToGrid/>
          <w:color w:val="000000"/>
          <w:szCs w:val="24"/>
        </w:rPr>
        <w:t xml:space="preserve"> of lessons</w:t>
      </w:r>
      <w:r w:rsidRPr="00EA5C23">
        <w:rPr>
          <w:snapToGrid/>
          <w:color w:val="000000"/>
          <w:szCs w:val="24"/>
        </w:rPr>
        <w:t xml:space="preserve"> has begun to drive increased alignment of learning objectives, direct instruction, learning tasks and formative assessments in lessons. From class to class lessons shared a common structure. </w:t>
      </w:r>
      <w:r w:rsidR="00852792" w:rsidRPr="00EA5C23">
        <w:rPr>
          <w:snapToGrid/>
          <w:color w:val="000000"/>
          <w:szCs w:val="24"/>
        </w:rPr>
        <w:t>I</w:t>
      </w:r>
      <w:r w:rsidRPr="00EA5C23">
        <w:rPr>
          <w:snapToGrid/>
          <w:color w:val="000000"/>
          <w:szCs w:val="24"/>
        </w:rPr>
        <w:t>n the majority of classes observed students were provided significant time to practice standards-aligned skills and/or engage with grade-level text and content</w:t>
      </w:r>
      <w:r w:rsidR="00C15C6D">
        <w:rPr>
          <w:snapToGrid/>
          <w:color w:val="000000"/>
          <w:szCs w:val="24"/>
        </w:rPr>
        <w:t>.</w:t>
      </w:r>
    </w:p>
    <w:p w14:paraId="7D907BAC" w14:textId="77777777" w:rsidR="002015FB" w:rsidRPr="00EA5C23" w:rsidRDefault="002015FB" w:rsidP="00EA5C23">
      <w:pPr>
        <w:widowControl/>
        <w:rPr>
          <w:snapToGrid/>
          <w:szCs w:val="24"/>
        </w:rPr>
      </w:pPr>
    </w:p>
    <w:p w14:paraId="693C7011" w14:textId="0B01FBD6" w:rsidR="00C15C6D" w:rsidRDefault="002015FB" w:rsidP="00EA5C23">
      <w:pPr>
        <w:widowControl/>
        <w:rPr>
          <w:snapToGrid/>
          <w:szCs w:val="24"/>
        </w:rPr>
      </w:pPr>
      <w:r w:rsidRPr="00EA5C23">
        <w:rPr>
          <w:snapToGrid/>
          <w:color w:val="000000"/>
          <w:szCs w:val="24"/>
        </w:rPr>
        <w:t xml:space="preserve">While progress has been made against this indicator, continued focus is needed. Pacing of lessons does not, yet, consistently result in </w:t>
      </w:r>
      <w:r w:rsidR="00885A5B" w:rsidRPr="00EA5C23">
        <w:rPr>
          <w:snapToGrid/>
          <w:color w:val="000000"/>
          <w:szCs w:val="24"/>
        </w:rPr>
        <w:t xml:space="preserve">sufficient </w:t>
      </w:r>
      <w:r w:rsidRPr="00EA5C23">
        <w:rPr>
          <w:snapToGrid/>
          <w:color w:val="000000"/>
          <w:szCs w:val="24"/>
        </w:rPr>
        <w:t>time being spent on the most rigorous tasks. In addition, the emphasis on purposing of lessons is not, yet, resulting in high levels of student ownership of learning</w:t>
      </w:r>
      <w:r w:rsidR="00852792" w:rsidRPr="00EA5C23">
        <w:rPr>
          <w:snapToGrid/>
          <w:color w:val="000000"/>
          <w:szCs w:val="24"/>
        </w:rPr>
        <w:t xml:space="preserve">. Teachers </w:t>
      </w:r>
      <w:r w:rsidRPr="00EA5C23">
        <w:rPr>
          <w:snapToGrid/>
          <w:color w:val="000000"/>
          <w:szCs w:val="24"/>
        </w:rPr>
        <w:t>are not</w:t>
      </w:r>
      <w:r w:rsidR="00D52820" w:rsidRPr="00EA5C23">
        <w:rPr>
          <w:snapToGrid/>
          <w:color w:val="000000"/>
          <w:szCs w:val="24"/>
        </w:rPr>
        <w:t xml:space="preserve"> </w:t>
      </w:r>
      <w:r w:rsidRPr="00EA5C23">
        <w:rPr>
          <w:snapToGrid/>
          <w:color w:val="000000"/>
          <w:szCs w:val="24"/>
        </w:rPr>
        <w:t>consistently prioritizing the highest-level thinking in lesson</w:t>
      </w:r>
      <w:r w:rsidR="00D52820" w:rsidRPr="00EA5C23">
        <w:rPr>
          <w:snapToGrid/>
          <w:color w:val="000000"/>
          <w:szCs w:val="24"/>
        </w:rPr>
        <w:t>s</w:t>
      </w:r>
      <w:r w:rsidRPr="00EA5C23">
        <w:rPr>
          <w:snapToGrid/>
          <w:color w:val="000000"/>
          <w:szCs w:val="24"/>
        </w:rPr>
        <w:t xml:space="preserve"> and ensuring that every student engages with that thinking during independent work time.</w:t>
      </w:r>
      <w:r w:rsidR="008B28F4" w:rsidRPr="00EA5C23">
        <w:rPr>
          <w:snapToGrid/>
          <w:color w:val="000000"/>
          <w:szCs w:val="24"/>
        </w:rPr>
        <w:t xml:space="preserve"> Moving forward, school leaders must build teachers</w:t>
      </w:r>
      <w:r w:rsidR="00305D5C">
        <w:rPr>
          <w:snapToGrid/>
          <w:color w:val="000000"/>
          <w:szCs w:val="24"/>
        </w:rPr>
        <w:t>’</w:t>
      </w:r>
      <w:r w:rsidR="008B28F4" w:rsidRPr="00EA5C23">
        <w:rPr>
          <w:snapToGrid/>
          <w:color w:val="000000"/>
          <w:szCs w:val="24"/>
        </w:rPr>
        <w:t xml:space="preserve"> </w:t>
      </w:r>
      <w:r w:rsidR="00D52820" w:rsidRPr="00EA5C23">
        <w:rPr>
          <w:snapToGrid/>
          <w:color w:val="000000"/>
          <w:szCs w:val="24"/>
        </w:rPr>
        <w:t xml:space="preserve">capacity to </w:t>
      </w:r>
      <w:r w:rsidR="008B28F4" w:rsidRPr="00EA5C23">
        <w:rPr>
          <w:snapToGrid/>
          <w:color w:val="000000"/>
          <w:szCs w:val="24"/>
        </w:rPr>
        <w:t>consistently engage every student in activities that require higher-level</w:t>
      </w:r>
      <w:r w:rsidR="00D52820" w:rsidRPr="00EA5C23">
        <w:rPr>
          <w:snapToGrid/>
          <w:color w:val="000000"/>
          <w:szCs w:val="24"/>
        </w:rPr>
        <w:t xml:space="preserve"> thinking</w:t>
      </w:r>
      <w:r w:rsidR="008B28F4" w:rsidRPr="00EA5C23">
        <w:rPr>
          <w:snapToGrid/>
          <w:color w:val="000000"/>
          <w:szCs w:val="24"/>
        </w:rPr>
        <w:t xml:space="preserve">. </w:t>
      </w:r>
    </w:p>
    <w:p w14:paraId="3DCE7E72" w14:textId="77777777" w:rsidR="00283878" w:rsidRDefault="00283878" w:rsidP="00EA5C23">
      <w:pPr>
        <w:widowControl/>
        <w:rPr>
          <w:snapToGrid/>
          <w:szCs w:val="24"/>
        </w:rPr>
      </w:pPr>
    </w:p>
    <w:p w14:paraId="1EEB5151" w14:textId="7D5EED9C" w:rsidR="001F6E45" w:rsidRPr="00EA5C23" w:rsidRDefault="001F6E45" w:rsidP="00EA5C23">
      <w:pPr>
        <w:widowControl/>
        <w:rPr>
          <w:snapToGrid/>
          <w:szCs w:val="24"/>
        </w:rPr>
      </w:pPr>
      <w:r w:rsidRPr="00EA5C23">
        <w:rPr>
          <w:snapToGrid/>
          <w:szCs w:val="24"/>
        </w:rPr>
        <w:lastRenderedPageBreak/>
        <w:t>Area of Focus # 2</w:t>
      </w:r>
    </w:p>
    <w:p w14:paraId="0A91E19F" w14:textId="61BC774F" w:rsidR="000E01E2" w:rsidRPr="00EA5C23" w:rsidRDefault="008B28F4" w:rsidP="00EA5C23">
      <w:pPr>
        <w:widowControl/>
        <w:rPr>
          <w:snapToGrid/>
          <w:szCs w:val="24"/>
        </w:rPr>
      </w:pPr>
      <w:r w:rsidRPr="00EA5C23">
        <w:rPr>
          <w:snapToGrid/>
          <w:szCs w:val="24"/>
        </w:rPr>
        <w:t>High Expectations</w:t>
      </w:r>
    </w:p>
    <w:p w14:paraId="0B87DD15" w14:textId="77777777" w:rsidR="001F6E45" w:rsidRPr="00EA5C23" w:rsidRDefault="001F6E45" w:rsidP="00EA5C23">
      <w:pPr>
        <w:widowControl/>
        <w:rPr>
          <w:snapToGrid/>
          <w:szCs w:val="24"/>
        </w:rPr>
      </w:pPr>
    </w:p>
    <w:p w14:paraId="2DA13AAD" w14:textId="77777777" w:rsidR="00283878" w:rsidRDefault="001F6E45" w:rsidP="00283878">
      <w:pPr>
        <w:widowControl/>
        <w:rPr>
          <w:i/>
          <w:iCs/>
          <w:snapToGrid/>
          <w:szCs w:val="24"/>
        </w:rPr>
      </w:pPr>
      <w:r w:rsidRPr="00EA5C23">
        <w:rPr>
          <w:i/>
          <w:iCs/>
          <w:snapToGrid/>
          <w:szCs w:val="24"/>
        </w:rPr>
        <w:t>Description:</w:t>
      </w:r>
    </w:p>
    <w:p w14:paraId="1BFEF773" w14:textId="69424014" w:rsidR="00761F33" w:rsidRPr="00283878" w:rsidRDefault="00761F33" w:rsidP="00283878">
      <w:pPr>
        <w:widowControl/>
        <w:rPr>
          <w:i/>
          <w:iCs/>
          <w:snapToGrid/>
          <w:szCs w:val="24"/>
        </w:rPr>
      </w:pPr>
      <w:r w:rsidRPr="00EA5C23">
        <w:rPr>
          <w:color w:val="000000"/>
        </w:rPr>
        <w:t>School leaders and staff have made progress against this indicator. This is, in part, a result of school leaders codifying goals and expectations in staff-facing documents. To an even greater extent, however, it is a result of school leaders beginning to align how they use their time to the school’s priorities and needs. For example, in the time since the I-SQR in February, school leaders have spent more of their time on activities that directly impact classroom instruction - supervision, teacher coaching, instructional rounds, norming on instructional quality.</w:t>
      </w:r>
    </w:p>
    <w:p w14:paraId="6A8A8849" w14:textId="6E9D8444" w:rsidR="00761F33" w:rsidRPr="00EA5C23" w:rsidRDefault="00761F33" w:rsidP="00EA5C23">
      <w:pPr>
        <w:pStyle w:val="NormalWeb"/>
        <w:spacing w:before="180" w:beforeAutospacing="0" w:after="180" w:afterAutospacing="0"/>
      </w:pPr>
      <w:r w:rsidRPr="00EA5C23">
        <w:rPr>
          <w:color w:val="000000"/>
        </w:rPr>
        <w:t>Even so, continued focus on this indicator is needed. School leaders have not established systems of accountability which are robust enough to ensure that all teachers are consistently working to meet instructional practice targets. As a direct result, levels of staff accountability for team or schoolwide priorities are not sufficient to drive whole-school improvement. Students</w:t>
      </w:r>
      <w:r w:rsidR="00E46151" w:rsidRPr="00EA5C23">
        <w:rPr>
          <w:color w:val="000000"/>
        </w:rPr>
        <w:t xml:space="preserve"> and family members</w:t>
      </w:r>
      <w:r w:rsidRPr="00EA5C23">
        <w:rPr>
          <w:color w:val="000000"/>
        </w:rPr>
        <w:t xml:space="preserve"> are not able to articulate goals they are working toward or specific next steps needed for improvement.</w:t>
      </w:r>
      <w:r w:rsidR="00E46151" w:rsidRPr="00EA5C23">
        <w:rPr>
          <w:color w:val="000000"/>
        </w:rPr>
        <w:t xml:space="preserve"> Moving forward, school leaders must develop and leverage internal systems of accountability. They must </w:t>
      </w:r>
      <w:r w:rsidR="00CC3905" w:rsidRPr="00EA5C23">
        <w:rPr>
          <w:color w:val="000000"/>
        </w:rPr>
        <w:t xml:space="preserve">more consistently communicate learning targets to students and families. </w:t>
      </w:r>
    </w:p>
    <w:p w14:paraId="31C75AC8" w14:textId="77777777" w:rsidR="000E01E2" w:rsidRPr="00EA5C23" w:rsidRDefault="000E01E2" w:rsidP="00EA5C23">
      <w:pPr>
        <w:widowControl/>
        <w:rPr>
          <w:snapToGrid/>
          <w:szCs w:val="24"/>
        </w:rPr>
      </w:pPr>
    </w:p>
    <w:p w14:paraId="1FC2F1AD" w14:textId="0151CCBC" w:rsidR="00CC3905" w:rsidRPr="00EA5C23" w:rsidRDefault="00CC3905" w:rsidP="00EA5C23">
      <w:pPr>
        <w:widowControl/>
        <w:rPr>
          <w:snapToGrid/>
          <w:szCs w:val="24"/>
        </w:rPr>
      </w:pPr>
      <w:r w:rsidRPr="00EA5C23">
        <w:rPr>
          <w:snapToGrid/>
          <w:szCs w:val="24"/>
        </w:rPr>
        <w:t>Area of Focus #</w:t>
      </w:r>
      <w:r w:rsidR="000B3F2B" w:rsidRPr="00EA5C23">
        <w:rPr>
          <w:snapToGrid/>
          <w:szCs w:val="24"/>
        </w:rPr>
        <w:t>3</w:t>
      </w:r>
      <w:r w:rsidRPr="00EA5C23">
        <w:rPr>
          <w:snapToGrid/>
          <w:szCs w:val="24"/>
        </w:rPr>
        <w:t xml:space="preserve"> </w:t>
      </w:r>
    </w:p>
    <w:p w14:paraId="14BE2E60" w14:textId="226B0563" w:rsidR="00CC3905" w:rsidRPr="00EA5C23" w:rsidRDefault="00CC3905" w:rsidP="00EA5C23">
      <w:pPr>
        <w:widowControl/>
        <w:rPr>
          <w:snapToGrid/>
          <w:szCs w:val="24"/>
        </w:rPr>
      </w:pPr>
      <w:r w:rsidRPr="00EA5C23">
        <w:rPr>
          <w:snapToGrid/>
          <w:szCs w:val="24"/>
        </w:rPr>
        <w:t>Teacher Support and Supervision</w:t>
      </w:r>
    </w:p>
    <w:p w14:paraId="7EBA6E4B" w14:textId="51263073" w:rsidR="00CC3905" w:rsidRPr="00EA5C23" w:rsidRDefault="00CC3905" w:rsidP="00EA5C23">
      <w:pPr>
        <w:widowControl/>
        <w:rPr>
          <w:snapToGrid/>
          <w:szCs w:val="24"/>
        </w:rPr>
      </w:pPr>
    </w:p>
    <w:p w14:paraId="083F1D17" w14:textId="77777777" w:rsidR="00283878" w:rsidRDefault="00CC3905" w:rsidP="00283878">
      <w:pPr>
        <w:widowControl/>
        <w:rPr>
          <w:i/>
          <w:iCs/>
          <w:snapToGrid/>
          <w:szCs w:val="24"/>
        </w:rPr>
      </w:pPr>
      <w:r w:rsidRPr="00EA5C23">
        <w:rPr>
          <w:i/>
          <w:iCs/>
          <w:snapToGrid/>
          <w:szCs w:val="24"/>
        </w:rPr>
        <w:t>Description:</w:t>
      </w:r>
    </w:p>
    <w:p w14:paraId="45A9CB69" w14:textId="044C900E" w:rsidR="00CC3905" w:rsidRPr="00283878" w:rsidRDefault="00CC3905" w:rsidP="00283878">
      <w:pPr>
        <w:widowControl/>
        <w:rPr>
          <w:i/>
          <w:iCs/>
          <w:snapToGrid/>
          <w:szCs w:val="24"/>
        </w:rPr>
      </w:pPr>
      <w:r w:rsidRPr="00EA5C23">
        <w:rPr>
          <w:color w:val="000000"/>
        </w:rPr>
        <w:t>School leaders have made progress relative to this indicator. They have engaged in instructional rounds to calibrate on assessment of instruction and on high-leverage feedback. The principal and leadership team have expanded the teacher support system. As a result, Morgan teachers now receive either weekly or bi-weekly observations with both written and in-person feedback. </w:t>
      </w:r>
    </w:p>
    <w:p w14:paraId="1DED4939" w14:textId="1FEC79BA" w:rsidR="00CC3905" w:rsidRPr="00EA5C23" w:rsidRDefault="00CC3905" w:rsidP="00EA5C23">
      <w:pPr>
        <w:pStyle w:val="NormalWeb"/>
        <w:spacing w:before="0" w:beforeAutospacing="0" w:after="0" w:afterAutospacing="0"/>
      </w:pPr>
      <w:r w:rsidRPr="00EA5C23">
        <w:rPr>
          <w:color w:val="000000"/>
        </w:rPr>
        <w:t xml:space="preserve">Although it has not been in place for long, the expanded teacher support system is already beginning to have impact. Teachers are able to share examples of specific feedback they have received from their coaches and how they have adjusted their instruction as a result of this feedback. </w:t>
      </w:r>
      <w:r w:rsidR="00885A5B" w:rsidRPr="00EA5C23">
        <w:rPr>
          <w:color w:val="000000"/>
        </w:rPr>
        <w:t>F</w:t>
      </w:r>
      <w:r w:rsidRPr="00EA5C23">
        <w:rPr>
          <w:color w:val="000000"/>
        </w:rPr>
        <w:t>eedback sessions include analysis of student work, analysis of video</w:t>
      </w:r>
      <w:r w:rsidR="00885A5B" w:rsidRPr="00EA5C23">
        <w:rPr>
          <w:color w:val="000000"/>
        </w:rPr>
        <w:t xml:space="preserve"> clips</w:t>
      </w:r>
      <w:r w:rsidRPr="00EA5C23">
        <w:rPr>
          <w:color w:val="000000"/>
        </w:rPr>
        <w:t xml:space="preserve"> of instruction, teacher reflection, and co-planning of a lesson. </w:t>
      </w:r>
    </w:p>
    <w:p w14:paraId="331ECD86" w14:textId="77777777" w:rsidR="00CC3905" w:rsidRPr="00EA5C23" w:rsidRDefault="00CC3905" w:rsidP="00EA5C23">
      <w:pPr>
        <w:pStyle w:val="NormalWeb"/>
        <w:spacing w:before="0" w:beforeAutospacing="0" w:after="0" w:afterAutospacing="0"/>
      </w:pPr>
      <w:r w:rsidRPr="00EA5C23">
        <w:rPr>
          <w:color w:val="000000"/>
        </w:rPr>
        <w:t> </w:t>
      </w:r>
    </w:p>
    <w:p w14:paraId="3FBF61E6" w14:textId="22A680AB" w:rsidR="00CC3905" w:rsidRPr="00EA5C23" w:rsidRDefault="00CC3905" w:rsidP="00EA5C23">
      <w:pPr>
        <w:pStyle w:val="NormalWeb"/>
        <w:spacing w:before="0" w:beforeAutospacing="0" w:after="0" w:afterAutospacing="0"/>
      </w:pPr>
      <w:r w:rsidRPr="00EA5C23">
        <w:rPr>
          <w:color w:val="000000"/>
        </w:rPr>
        <w:t>Continued focus is needed in this area. There is not, yet, consistent  planning of professional development based on trends in observation data. The expanded system has not been in place long enough to have had impact on all teachers’ planning and instructional decision making. It is critical that school leaders consistently enact this system from the very first days of the 2021</w:t>
      </w:r>
      <w:r w:rsidR="00C15C6D">
        <w:rPr>
          <w:color w:val="000000"/>
        </w:rPr>
        <w:t>-</w:t>
      </w:r>
      <w:r w:rsidRPr="00EA5C23">
        <w:rPr>
          <w:color w:val="000000"/>
        </w:rPr>
        <w:t xml:space="preserve">22 school year. </w:t>
      </w:r>
    </w:p>
    <w:p w14:paraId="5F05D903" w14:textId="77777777" w:rsidR="00CC3905" w:rsidRPr="00EA5C23" w:rsidRDefault="00CC3905" w:rsidP="00EA5C23">
      <w:pPr>
        <w:widowControl/>
        <w:rPr>
          <w:snapToGrid/>
          <w:szCs w:val="24"/>
        </w:rPr>
      </w:pPr>
    </w:p>
    <w:p w14:paraId="3C873CAE" w14:textId="77777777" w:rsidR="000E01E2" w:rsidRPr="00EA5C23" w:rsidRDefault="000E01E2" w:rsidP="00EA5C23">
      <w:pPr>
        <w:widowControl/>
        <w:rPr>
          <w:snapToGrid/>
          <w:szCs w:val="24"/>
        </w:rPr>
      </w:pPr>
    </w:p>
    <w:p w14:paraId="62D202C3" w14:textId="77777777" w:rsidR="000E01E2" w:rsidRPr="00EA5C23" w:rsidRDefault="000E01E2" w:rsidP="00EA5C23">
      <w:pPr>
        <w:widowControl/>
        <w:rPr>
          <w:snapToGrid/>
          <w:szCs w:val="24"/>
        </w:rPr>
      </w:pPr>
    </w:p>
    <w:p w14:paraId="598FD456" w14:textId="77777777" w:rsidR="000E01E2" w:rsidRPr="00EA5C23" w:rsidRDefault="000E01E2" w:rsidP="00EA5C23">
      <w:pPr>
        <w:widowControl/>
        <w:rPr>
          <w:snapToGrid/>
          <w:szCs w:val="24"/>
        </w:rPr>
      </w:pPr>
    </w:p>
    <w:p w14:paraId="762D8EAA" w14:textId="77777777" w:rsidR="000E01E2" w:rsidRPr="00EA5C23" w:rsidRDefault="000E01E2" w:rsidP="00EA5C23">
      <w:pPr>
        <w:widowControl/>
        <w:rPr>
          <w:snapToGrid/>
          <w:szCs w:val="24"/>
        </w:rPr>
      </w:pPr>
    </w:p>
    <w:p w14:paraId="6B411D5E" w14:textId="77777777" w:rsidR="00283878" w:rsidRDefault="00283878" w:rsidP="00EA5C23">
      <w:pPr>
        <w:widowControl/>
        <w:spacing w:before="104"/>
        <w:rPr>
          <w:b/>
          <w:bCs/>
          <w:snapToGrid/>
          <w:szCs w:val="24"/>
        </w:rPr>
      </w:pPr>
      <w:r>
        <w:rPr>
          <w:b/>
          <w:bCs/>
          <w:snapToGrid/>
          <w:szCs w:val="24"/>
        </w:rPr>
        <w:br w:type="page"/>
      </w:r>
    </w:p>
    <w:p w14:paraId="46DBB8D6" w14:textId="7EC87518" w:rsidR="00FA2806" w:rsidRPr="00EA5C23" w:rsidRDefault="00FA2806" w:rsidP="00EA5C23">
      <w:pPr>
        <w:widowControl/>
        <w:spacing w:before="104"/>
        <w:rPr>
          <w:b/>
          <w:bCs/>
          <w:snapToGrid/>
          <w:szCs w:val="24"/>
        </w:rPr>
      </w:pPr>
      <w:r w:rsidRPr="00EA5C23">
        <w:rPr>
          <w:b/>
          <w:bCs/>
          <w:snapToGrid/>
          <w:szCs w:val="24"/>
        </w:rPr>
        <w:lastRenderedPageBreak/>
        <w:t>John Avery Parker Elementary School, New Bedford</w:t>
      </w:r>
    </w:p>
    <w:p w14:paraId="5E46A3CF" w14:textId="77777777" w:rsidR="00FA2806" w:rsidRPr="00EA5C23" w:rsidRDefault="00FA2806" w:rsidP="00EA5C23">
      <w:pPr>
        <w:widowControl/>
        <w:rPr>
          <w:szCs w:val="24"/>
        </w:rPr>
      </w:pPr>
      <w:r w:rsidRPr="00EA5C23">
        <w:rPr>
          <w:szCs w:val="24"/>
        </w:rPr>
        <w:t xml:space="preserve">Information provided by School Empowerment Network </w:t>
      </w:r>
    </w:p>
    <w:p w14:paraId="2317ACA3" w14:textId="77777777" w:rsidR="00FA2806" w:rsidRPr="00EA5C23" w:rsidRDefault="00FA2806" w:rsidP="00EA5C23">
      <w:pPr>
        <w:widowControl/>
        <w:rPr>
          <w:b/>
          <w:bCs/>
          <w:snapToGrid/>
          <w:szCs w:val="24"/>
        </w:rPr>
      </w:pPr>
    </w:p>
    <w:p w14:paraId="1DDC48F9" w14:textId="6819F513" w:rsidR="007A24A5" w:rsidRPr="00EA5C23" w:rsidRDefault="007A24A5" w:rsidP="00EA5C23">
      <w:pPr>
        <w:widowControl/>
        <w:rPr>
          <w:snapToGrid/>
          <w:szCs w:val="24"/>
        </w:rPr>
      </w:pPr>
      <w:r w:rsidRPr="00EA5C23">
        <w:rPr>
          <w:b/>
          <w:bCs/>
          <w:snapToGrid/>
          <w:szCs w:val="24"/>
        </w:rPr>
        <w:t>School Strengths</w:t>
      </w:r>
    </w:p>
    <w:p w14:paraId="26E833F4" w14:textId="77777777" w:rsidR="007A24A5" w:rsidRPr="00EA5C23" w:rsidRDefault="007A24A5" w:rsidP="00EA5C23">
      <w:pPr>
        <w:widowControl/>
        <w:rPr>
          <w:snapToGrid/>
          <w:szCs w:val="24"/>
        </w:rPr>
      </w:pPr>
    </w:p>
    <w:p w14:paraId="351DD3A9" w14:textId="570717B0" w:rsidR="007A24A5" w:rsidRPr="00EA5C23" w:rsidRDefault="007A24A5" w:rsidP="00EA5C23">
      <w:pPr>
        <w:widowControl/>
        <w:rPr>
          <w:snapToGrid/>
          <w:szCs w:val="24"/>
        </w:rPr>
      </w:pPr>
      <w:r w:rsidRPr="00EA5C23">
        <w:rPr>
          <w:snapToGrid/>
          <w:szCs w:val="24"/>
        </w:rPr>
        <w:t>Area of Strength # 1</w:t>
      </w:r>
    </w:p>
    <w:p w14:paraId="05259E23" w14:textId="69C38FE5" w:rsidR="000E01E2" w:rsidRPr="00EA5C23" w:rsidRDefault="000E01E2" w:rsidP="00EA5C23">
      <w:pPr>
        <w:widowControl/>
        <w:rPr>
          <w:snapToGrid/>
          <w:szCs w:val="24"/>
        </w:rPr>
      </w:pPr>
      <w:r w:rsidRPr="00EA5C23">
        <w:rPr>
          <w:snapToGrid/>
          <w:szCs w:val="24"/>
        </w:rPr>
        <w:t>Assessment</w:t>
      </w:r>
    </w:p>
    <w:p w14:paraId="0E74443F" w14:textId="77777777" w:rsidR="000E01E2" w:rsidRPr="00EA5C23" w:rsidRDefault="000E01E2" w:rsidP="00EA5C23">
      <w:pPr>
        <w:widowControl/>
        <w:rPr>
          <w:snapToGrid/>
          <w:szCs w:val="24"/>
        </w:rPr>
      </w:pPr>
    </w:p>
    <w:p w14:paraId="30C01C42" w14:textId="4BA7F317" w:rsidR="007A24A5" w:rsidRPr="00EA5C23" w:rsidRDefault="007A24A5" w:rsidP="00EA5C23">
      <w:pPr>
        <w:widowControl/>
        <w:rPr>
          <w:i/>
          <w:iCs/>
          <w:snapToGrid/>
          <w:szCs w:val="24"/>
        </w:rPr>
      </w:pPr>
      <w:r w:rsidRPr="00EA5C23">
        <w:rPr>
          <w:i/>
          <w:iCs/>
          <w:snapToGrid/>
          <w:szCs w:val="24"/>
        </w:rPr>
        <w:t>Description:</w:t>
      </w:r>
    </w:p>
    <w:p w14:paraId="276EA075" w14:textId="3E36D04C" w:rsidR="000E01E2" w:rsidRPr="00EA5C23" w:rsidRDefault="006A73BB" w:rsidP="00EA5C23">
      <w:pPr>
        <w:widowControl/>
        <w:rPr>
          <w:snapToGrid/>
          <w:color w:val="000000"/>
          <w:szCs w:val="24"/>
        </w:rPr>
      </w:pPr>
      <w:r w:rsidRPr="00EA5C23">
        <w:rPr>
          <w:snapToGrid/>
          <w:color w:val="000000"/>
          <w:szCs w:val="24"/>
        </w:rPr>
        <w:t>School leaders and teachers have developed and utilize a “data hub” – a set of linked spreadsheets for tracking and analyzing student data. Included in the “data hub” are</w:t>
      </w:r>
      <w:r w:rsidR="000A6841" w:rsidRPr="00EA5C23">
        <w:rPr>
          <w:snapToGrid/>
          <w:color w:val="000000"/>
          <w:szCs w:val="24"/>
        </w:rPr>
        <w:t xml:space="preserve"> a wide range of student assessment data sorted </w:t>
      </w:r>
      <w:r w:rsidRPr="00EA5C23">
        <w:rPr>
          <w:snapToGrid/>
          <w:color w:val="000000"/>
          <w:szCs w:val="24"/>
        </w:rPr>
        <w:t xml:space="preserve">by </w:t>
      </w:r>
      <w:r w:rsidR="000A6841" w:rsidRPr="00EA5C23">
        <w:rPr>
          <w:snapToGrid/>
          <w:color w:val="000000"/>
          <w:szCs w:val="24"/>
        </w:rPr>
        <w:t xml:space="preserve">content area, </w:t>
      </w:r>
      <w:r w:rsidRPr="00EA5C23">
        <w:rPr>
          <w:snapToGrid/>
          <w:color w:val="000000"/>
          <w:szCs w:val="24"/>
        </w:rPr>
        <w:t>grade and homeroom</w:t>
      </w:r>
      <w:r w:rsidR="000A6841" w:rsidRPr="00EA5C23">
        <w:rPr>
          <w:snapToGrid/>
          <w:color w:val="000000"/>
          <w:szCs w:val="24"/>
        </w:rPr>
        <w:t xml:space="preserve">, and intervention group. </w:t>
      </w:r>
      <w:r w:rsidRPr="00EA5C23">
        <w:rPr>
          <w:snapToGrid/>
          <w:color w:val="000000"/>
          <w:szCs w:val="24"/>
        </w:rPr>
        <w:t xml:space="preserve">This tool has proven to be particularly valuable given the </w:t>
      </w:r>
      <w:r w:rsidR="00885A5B" w:rsidRPr="00EA5C23">
        <w:rPr>
          <w:snapToGrid/>
          <w:color w:val="000000"/>
          <w:szCs w:val="24"/>
        </w:rPr>
        <w:t>lack</w:t>
      </w:r>
      <w:r w:rsidRPr="00EA5C23">
        <w:rPr>
          <w:snapToGrid/>
          <w:color w:val="000000"/>
          <w:szCs w:val="24"/>
        </w:rPr>
        <w:t xml:space="preserve"> of </w:t>
      </w:r>
      <w:r w:rsidR="00C15C6D">
        <w:rPr>
          <w:snapToGrid/>
          <w:color w:val="000000"/>
          <w:szCs w:val="24"/>
        </w:rPr>
        <w:t xml:space="preserve">2019-20 </w:t>
      </w:r>
      <w:r w:rsidR="00885A5B" w:rsidRPr="00EA5C23">
        <w:rPr>
          <w:snapToGrid/>
          <w:color w:val="000000"/>
          <w:szCs w:val="24"/>
        </w:rPr>
        <w:t xml:space="preserve">MCAS </w:t>
      </w:r>
      <w:r w:rsidRPr="00EA5C23">
        <w:rPr>
          <w:snapToGrid/>
          <w:color w:val="000000"/>
          <w:szCs w:val="24"/>
        </w:rPr>
        <w:t xml:space="preserve">assessment data. </w:t>
      </w:r>
      <w:r w:rsidR="00E27138" w:rsidRPr="00EA5C23">
        <w:rPr>
          <w:snapToGrid/>
          <w:color w:val="000000"/>
          <w:szCs w:val="24"/>
        </w:rPr>
        <w:t xml:space="preserve">Teachers and teams </w:t>
      </w:r>
      <w:r w:rsidR="000A6841" w:rsidRPr="00EA5C23">
        <w:rPr>
          <w:snapToGrid/>
          <w:color w:val="000000"/>
          <w:szCs w:val="24"/>
        </w:rPr>
        <w:t xml:space="preserve">take accountability for their data. They </w:t>
      </w:r>
      <w:r w:rsidR="00E27138" w:rsidRPr="00EA5C23">
        <w:rPr>
          <w:snapToGrid/>
          <w:color w:val="000000"/>
          <w:szCs w:val="24"/>
        </w:rPr>
        <w:t xml:space="preserve">utilize </w:t>
      </w:r>
      <w:r w:rsidR="000E01E2" w:rsidRPr="00EA5C23">
        <w:rPr>
          <w:snapToGrid/>
          <w:color w:val="000000"/>
          <w:szCs w:val="24"/>
        </w:rPr>
        <w:t>assessments</w:t>
      </w:r>
      <w:r w:rsidRPr="00EA5C23">
        <w:rPr>
          <w:snapToGrid/>
          <w:color w:val="000000"/>
          <w:szCs w:val="24"/>
        </w:rPr>
        <w:t xml:space="preserve"> and the data hub</w:t>
      </w:r>
      <w:r w:rsidR="000E01E2" w:rsidRPr="00EA5C23">
        <w:rPr>
          <w:snapToGrid/>
          <w:color w:val="000000"/>
          <w:szCs w:val="24"/>
        </w:rPr>
        <w:t xml:space="preserve"> to determine students’ learning needs</w:t>
      </w:r>
      <w:r w:rsidRPr="00EA5C23">
        <w:rPr>
          <w:snapToGrid/>
          <w:color w:val="000000"/>
          <w:szCs w:val="24"/>
        </w:rPr>
        <w:t xml:space="preserve">, to </w:t>
      </w:r>
      <w:r w:rsidR="000E01E2" w:rsidRPr="00EA5C23">
        <w:rPr>
          <w:snapToGrid/>
          <w:color w:val="000000"/>
          <w:szCs w:val="24"/>
        </w:rPr>
        <w:t>program students for academic intervention</w:t>
      </w:r>
      <w:r w:rsidRPr="00EA5C23">
        <w:rPr>
          <w:snapToGrid/>
          <w:color w:val="000000"/>
          <w:szCs w:val="24"/>
        </w:rPr>
        <w:t>,</w:t>
      </w:r>
      <w:r w:rsidR="00885A5B" w:rsidRPr="00EA5C23">
        <w:rPr>
          <w:snapToGrid/>
          <w:color w:val="000000"/>
          <w:szCs w:val="24"/>
        </w:rPr>
        <w:t xml:space="preserve"> </w:t>
      </w:r>
      <w:r w:rsidRPr="00EA5C23">
        <w:rPr>
          <w:snapToGrid/>
          <w:color w:val="000000"/>
          <w:szCs w:val="24"/>
        </w:rPr>
        <w:t xml:space="preserve">to do root cause analysis and </w:t>
      </w:r>
      <w:r w:rsidR="00A76332">
        <w:rPr>
          <w:snapToGrid/>
          <w:color w:val="000000"/>
          <w:szCs w:val="24"/>
        </w:rPr>
        <w:t xml:space="preserve">to </w:t>
      </w:r>
      <w:r w:rsidRPr="00EA5C23">
        <w:rPr>
          <w:snapToGrid/>
          <w:color w:val="000000"/>
          <w:szCs w:val="24"/>
        </w:rPr>
        <w:t>adjust instruction when necessary</w:t>
      </w:r>
      <w:r w:rsidR="000E01E2" w:rsidRPr="00EA5C23">
        <w:rPr>
          <w:snapToGrid/>
          <w:color w:val="000000"/>
          <w:szCs w:val="24"/>
        </w:rPr>
        <w:t xml:space="preserve">. </w:t>
      </w:r>
    </w:p>
    <w:p w14:paraId="78AB6726" w14:textId="77777777" w:rsidR="000E01E2" w:rsidRPr="00EA5C23" w:rsidRDefault="000E01E2" w:rsidP="00EA5C23">
      <w:pPr>
        <w:widowControl/>
        <w:rPr>
          <w:snapToGrid/>
          <w:color w:val="000000"/>
          <w:szCs w:val="24"/>
        </w:rPr>
      </w:pPr>
    </w:p>
    <w:p w14:paraId="1F2EBB7F" w14:textId="06C40AE6" w:rsidR="000E01E2" w:rsidRPr="00EA5C23" w:rsidRDefault="000E01E2" w:rsidP="00EA5C23">
      <w:pPr>
        <w:widowControl/>
        <w:rPr>
          <w:snapToGrid/>
          <w:color w:val="000000"/>
          <w:szCs w:val="24"/>
        </w:rPr>
      </w:pPr>
      <w:r w:rsidRPr="00EA5C23">
        <w:rPr>
          <w:snapToGrid/>
          <w:color w:val="000000"/>
          <w:szCs w:val="24"/>
        </w:rPr>
        <w:t xml:space="preserve">The planning protocol teachers use to prepare lessons includes time for anticipating potential student misconceptions in advance of lesson delivery. Across the majority of classes, teachers utilize formative assessment practices to monitor student progress and understanding. These practices include clipboarding, conferring, and the use of sticky-notes to check for understanding. As a result, lessons are adjusted to address student learning and skill gaps and students regularly receive actionable feedback on their work. </w:t>
      </w:r>
    </w:p>
    <w:p w14:paraId="4EFCA3DF" w14:textId="29E2D3B3" w:rsidR="00E27138" w:rsidRPr="00EA5C23" w:rsidRDefault="00E27138" w:rsidP="00EA5C23">
      <w:pPr>
        <w:pStyle w:val="NormalWeb"/>
        <w:spacing w:before="0" w:beforeAutospacing="0" w:after="0" w:afterAutospacing="0"/>
      </w:pPr>
    </w:p>
    <w:p w14:paraId="6A9BAFD0" w14:textId="362E6029" w:rsidR="00E27138" w:rsidRPr="00EA5C23" w:rsidRDefault="00E27138" w:rsidP="00EA5C23">
      <w:pPr>
        <w:widowControl/>
        <w:rPr>
          <w:snapToGrid/>
          <w:szCs w:val="24"/>
        </w:rPr>
      </w:pPr>
      <w:r w:rsidRPr="00EA5C23">
        <w:rPr>
          <w:snapToGrid/>
          <w:szCs w:val="24"/>
        </w:rPr>
        <w:t>Area of Strength # 2</w:t>
      </w:r>
    </w:p>
    <w:p w14:paraId="71B4B027" w14:textId="056EE401" w:rsidR="00E27138" w:rsidRPr="00EA5C23" w:rsidRDefault="00E27138" w:rsidP="00EA5C23">
      <w:pPr>
        <w:widowControl/>
        <w:rPr>
          <w:snapToGrid/>
          <w:szCs w:val="24"/>
        </w:rPr>
      </w:pPr>
      <w:r w:rsidRPr="00EA5C23">
        <w:rPr>
          <w:snapToGrid/>
          <w:szCs w:val="24"/>
        </w:rPr>
        <w:t>Teacher Teams and Distributed Leadership</w:t>
      </w:r>
    </w:p>
    <w:p w14:paraId="0A2D9C3C" w14:textId="3F93374A" w:rsidR="00E27138" w:rsidRDefault="00E27138" w:rsidP="00EA5C23">
      <w:pPr>
        <w:widowControl/>
        <w:rPr>
          <w:snapToGrid/>
          <w:szCs w:val="24"/>
        </w:rPr>
      </w:pPr>
    </w:p>
    <w:p w14:paraId="0DBCE9A1" w14:textId="33705A82" w:rsidR="00283878" w:rsidRPr="00283878" w:rsidRDefault="00283878" w:rsidP="00EA5C23">
      <w:pPr>
        <w:widowControl/>
        <w:rPr>
          <w:i/>
          <w:iCs/>
          <w:snapToGrid/>
          <w:szCs w:val="24"/>
        </w:rPr>
      </w:pPr>
      <w:r>
        <w:rPr>
          <w:i/>
          <w:iCs/>
          <w:snapToGrid/>
          <w:szCs w:val="24"/>
        </w:rPr>
        <w:t>Description:</w:t>
      </w:r>
    </w:p>
    <w:p w14:paraId="3B710C1D" w14:textId="028072D6" w:rsidR="00E27138" w:rsidRPr="00EA5C23" w:rsidRDefault="00E27138" w:rsidP="00EA5C23">
      <w:pPr>
        <w:widowControl/>
        <w:spacing w:after="120"/>
        <w:rPr>
          <w:snapToGrid/>
          <w:szCs w:val="24"/>
        </w:rPr>
      </w:pPr>
      <w:r w:rsidRPr="00EA5C23">
        <w:rPr>
          <w:snapToGrid/>
          <w:szCs w:val="24"/>
        </w:rPr>
        <w:t xml:space="preserve">Parker teachers </w:t>
      </w:r>
      <w:r w:rsidRPr="00EA5C23">
        <w:rPr>
          <w:snapToGrid/>
          <w:color w:val="000000"/>
          <w:szCs w:val="24"/>
        </w:rPr>
        <w:t>engage in structured, data-based collaborations that promote the achievement of school goals. Every teacher meets weekly with a team during teacher collaboration time (TCT) to engage in collaborative planning</w:t>
      </w:r>
      <w:r w:rsidR="002B282A" w:rsidRPr="00EA5C23">
        <w:rPr>
          <w:snapToGrid/>
          <w:color w:val="000000"/>
          <w:szCs w:val="24"/>
        </w:rPr>
        <w:t xml:space="preserve"> and/or data analysis</w:t>
      </w:r>
      <w:r w:rsidRPr="00EA5C23">
        <w:rPr>
          <w:snapToGrid/>
          <w:color w:val="000000"/>
          <w:szCs w:val="24"/>
        </w:rPr>
        <w:t xml:space="preserve">. During TCT, teachers develop unit and lesson plans aligned to both grade-level curriculum and to the Parker “planning for learning cycle.” </w:t>
      </w:r>
      <w:r w:rsidR="002B282A" w:rsidRPr="00EA5C23">
        <w:rPr>
          <w:snapToGrid/>
          <w:color w:val="000000"/>
          <w:szCs w:val="24"/>
        </w:rPr>
        <w:t xml:space="preserve">Data analysis meetings are focused and solutions-oriented. Teachers take accountability for their class data and plan adjustments to instruction to address students’ </w:t>
      </w:r>
      <w:r w:rsidR="00C15C6D">
        <w:rPr>
          <w:snapToGrid/>
          <w:color w:val="000000"/>
          <w:szCs w:val="24"/>
        </w:rPr>
        <w:t>unfinished</w:t>
      </w:r>
      <w:r w:rsidR="002B282A" w:rsidRPr="00EA5C23">
        <w:rPr>
          <w:snapToGrid/>
          <w:color w:val="000000"/>
          <w:szCs w:val="24"/>
        </w:rPr>
        <w:t xml:space="preserve"> learning. </w:t>
      </w:r>
      <w:r w:rsidRPr="00EA5C23">
        <w:rPr>
          <w:snapToGrid/>
          <w:color w:val="000000"/>
          <w:szCs w:val="24"/>
        </w:rPr>
        <w:t>TCT meetings are facilitated by teacher</w:t>
      </w:r>
      <w:r w:rsidR="00885A5B" w:rsidRPr="00EA5C23">
        <w:rPr>
          <w:snapToGrid/>
          <w:color w:val="000000"/>
          <w:szCs w:val="24"/>
        </w:rPr>
        <w:t>-</w:t>
      </w:r>
      <w:r w:rsidRPr="00EA5C23">
        <w:rPr>
          <w:snapToGrid/>
          <w:color w:val="000000"/>
          <w:szCs w:val="24"/>
        </w:rPr>
        <w:t>leaders. Teacher</w:t>
      </w:r>
      <w:r w:rsidR="00885A5B" w:rsidRPr="00EA5C23">
        <w:rPr>
          <w:snapToGrid/>
          <w:color w:val="000000"/>
          <w:szCs w:val="24"/>
        </w:rPr>
        <w:t>-</w:t>
      </w:r>
      <w:r w:rsidRPr="00EA5C23">
        <w:rPr>
          <w:snapToGrid/>
          <w:color w:val="000000"/>
          <w:szCs w:val="24"/>
        </w:rPr>
        <w:t>leaders receive targeted professional development on team leadership</w:t>
      </w:r>
      <w:r w:rsidR="002B282A" w:rsidRPr="00EA5C23">
        <w:rPr>
          <w:snapToGrid/>
          <w:szCs w:val="24"/>
        </w:rPr>
        <w:t>.</w:t>
      </w:r>
      <w:r w:rsidR="004A0C4D" w:rsidRPr="00EA5C23">
        <w:rPr>
          <w:snapToGrid/>
          <w:color w:val="000000"/>
          <w:szCs w:val="24"/>
        </w:rPr>
        <w:t xml:space="preserve"> School</w:t>
      </w:r>
      <w:r w:rsidRPr="00EA5C23">
        <w:rPr>
          <w:snapToGrid/>
          <w:color w:val="000000"/>
          <w:szCs w:val="24"/>
        </w:rPr>
        <w:t xml:space="preserve"> leaders have established three separate leadership teams comprised of teachers and other staff members. Each leadership team has a set of goals which are delineated in the school’s strategic plan. Leadership teams monitor data related to their goals and may make adjustments to strategies to ensure goals are met.  </w:t>
      </w:r>
    </w:p>
    <w:p w14:paraId="1C2806CD" w14:textId="77777777" w:rsidR="00D16AFC" w:rsidRPr="00EA5C23" w:rsidRDefault="00D16AFC" w:rsidP="00EA5C23">
      <w:pPr>
        <w:widowControl/>
        <w:rPr>
          <w:b/>
          <w:bCs/>
          <w:snapToGrid/>
          <w:szCs w:val="24"/>
        </w:rPr>
      </w:pPr>
    </w:p>
    <w:p w14:paraId="37BB9868" w14:textId="12CEA1F6" w:rsidR="007A24A5" w:rsidRPr="00EA5C23" w:rsidRDefault="007A24A5" w:rsidP="00EA5C23">
      <w:pPr>
        <w:widowControl/>
        <w:rPr>
          <w:b/>
          <w:bCs/>
          <w:snapToGrid/>
          <w:szCs w:val="24"/>
        </w:rPr>
      </w:pPr>
      <w:r w:rsidRPr="00EA5C23">
        <w:rPr>
          <w:b/>
          <w:bCs/>
          <w:snapToGrid/>
          <w:szCs w:val="24"/>
        </w:rPr>
        <w:t>Areas of Focus</w:t>
      </w:r>
    </w:p>
    <w:p w14:paraId="32D290C5" w14:textId="77777777" w:rsidR="007A24A5" w:rsidRPr="00EA5C23" w:rsidRDefault="007A24A5" w:rsidP="00EA5C23">
      <w:pPr>
        <w:widowControl/>
        <w:rPr>
          <w:snapToGrid/>
          <w:szCs w:val="24"/>
        </w:rPr>
      </w:pPr>
    </w:p>
    <w:p w14:paraId="0BB76311" w14:textId="2095C051" w:rsidR="007A24A5" w:rsidRPr="00EA5C23" w:rsidRDefault="007A24A5" w:rsidP="00EA5C23">
      <w:pPr>
        <w:widowControl/>
        <w:rPr>
          <w:snapToGrid/>
          <w:szCs w:val="24"/>
        </w:rPr>
      </w:pPr>
      <w:r w:rsidRPr="00EA5C23">
        <w:rPr>
          <w:snapToGrid/>
          <w:szCs w:val="24"/>
        </w:rPr>
        <w:t>Area of Focus # 1</w:t>
      </w:r>
    </w:p>
    <w:p w14:paraId="15602BDD" w14:textId="287EB941" w:rsidR="007A24A5" w:rsidRPr="00EA5C23" w:rsidRDefault="007A24A5" w:rsidP="00EA5C23">
      <w:pPr>
        <w:widowControl/>
        <w:rPr>
          <w:snapToGrid/>
          <w:szCs w:val="24"/>
        </w:rPr>
      </w:pPr>
      <w:r w:rsidRPr="00EA5C23">
        <w:rPr>
          <w:snapToGrid/>
          <w:szCs w:val="24"/>
        </w:rPr>
        <w:t>Pedagogy</w:t>
      </w:r>
    </w:p>
    <w:p w14:paraId="257F88F7" w14:textId="77777777" w:rsidR="007A24A5" w:rsidRPr="00EA5C23" w:rsidRDefault="007A24A5" w:rsidP="00EA5C23">
      <w:pPr>
        <w:widowControl/>
        <w:rPr>
          <w:snapToGrid/>
          <w:szCs w:val="24"/>
        </w:rPr>
      </w:pPr>
    </w:p>
    <w:p w14:paraId="28B630BE" w14:textId="77777777" w:rsidR="007A24A5" w:rsidRPr="00EA5C23" w:rsidRDefault="007A24A5" w:rsidP="00EA5C23">
      <w:pPr>
        <w:widowControl/>
        <w:rPr>
          <w:i/>
          <w:iCs/>
          <w:snapToGrid/>
          <w:szCs w:val="24"/>
        </w:rPr>
      </w:pPr>
      <w:r w:rsidRPr="00EA5C23">
        <w:rPr>
          <w:i/>
          <w:iCs/>
          <w:snapToGrid/>
          <w:szCs w:val="24"/>
        </w:rPr>
        <w:t>Description:</w:t>
      </w:r>
    </w:p>
    <w:p w14:paraId="13A75712" w14:textId="064346AD" w:rsidR="007A24A5" w:rsidRPr="00EA5C23" w:rsidRDefault="000E01E2" w:rsidP="00EA5C23">
      <w:pPr>
        <w:widowControl/>
        <w:rPr>
          <w:snapToGrid/>
          <w:szCs w:val="24"/>
        </w:rPr>
      </w:pPr>
      <w:r w:rsidRPr="00EA5C23">
        <w:rPr>
          <w:snapToGrid/>
          <w:color w:val="000000"/>
          <w:szCs w:val="24"/>
        </w:rPr>
        <w:lastRenderedPageBreak/>
        <w:t xml:space="preserve">School leaders have clearly communicated a compelling vision for instruction at Parker. While all teachers express belief in this vision and work to align their instruction to the vision, enactment of instructional strategies aligned to the vision </w:t>
      </w:r>
      <w:r w:rsidR="001F597A" w:rsidRPr="00EA5C23">
        <w:rPr>
          <w:snapToGrid/>
          <w:color w:val="000000"/>
          <w:szCs w:val="24"/>
        </w:rPr>
        <w:t>remains in</w:t>
      </w:r>
      <w:r w:rsidRPr="00EA5C23">
        <w:rPr>
          <w:snapToGrid/>
          <w:color w:val="000000"/>
          <w:szCs w:val="24"/>
        </w:rPr>
        <w:t>consistent across classes. There is evidence of skilled enactment of key strategies in some classes. School leaders should use these classes as models for other teachers. Moving forward, school leaders should utilize professional development, teacher collaboration time, and an enhanced teacher support and supervision system to provide teachers with models of high-quality enactment of key instructional practic</w:t>
      </w:r>
      <w:r w:rsidR="001F597A" w:rsidRPr="00EA5C23">
        <w:rPr>
          <w:snapToGrid/>
          <w:color w:val="000000"/>
          <w:szCs w:val="24"/>
        </w:rPr>
        <w:t>es, including strategies for facilitating student ownership of learning and for ensuring that all students fully engage with “the ask of the [learning] task</w:t>
      </w:r>
      <w:r w:rsidRPr="00EA5C23">
        <w:rPr>
          <w:snapToGrid/>
          <w:color w:val="000000"/>
          <w:szCs w:val="24"/>
        </w:rPr>
        <w:t>.</w:t>
      </w:r>
      <w:r w:rsidR="001F597A" w:rsidRPr="00EA5C23">
        <w:rPr>
          <w:snapToGrid/>
          <w:color w:val="000000"/>
          <w:szCs w:val="24"/>
        </w:rPr>
        <w:t>”</w:t>
      </w:r>
      <w:r w:rsidR="007A24A5" w:rsidRPr="00EA5C23">
        <w:rPr>
          <w:snapToGrid/>
          <w:color w:val="000000"/>
          <w:szCs w:val="24"/>
        </w:rPr>
        <w:t xml:space="preserve"> </w:t>
      </w:r>
    </w:p>
    <w:p w14:paraId="2D4ACC9B" w14:textId="29982848" w:rsidR="00267313" w:rsidRPr="00EA5C23" w:rsidRDefault="00267313" w:rsidP="00EA5C23">
      <w:pPr>
        <w:widowControl/>
        <w:rPr>
          <w:snapToGrid/>
          <w:color w:val="000000"/>
          <w:szCs w:val="24"/>
        </w:rPr>
      </w:pPr>
    </w:p>
    <w:p w14:paraId="441A304D" w14:textId="7B2496CF" w:rsidR="007A24A5" w:rsidRPr="00EA5C23" w:rsidRDefault="007A24A5" w:rsidP="00EA5C23">
      <w:pPr>
        <w:widowControl/>
        <w:rPr>
          <w:snapToGrid/>
          <w:szCs w:val="24"/>
        </w:rPr>
      </w:pPr>
      <w:r w:rsidRPr="00EA5C23">
        <w:rPr>
          <w:snapToGrid/>
          <w:szCs w:val="24"/>
        </w:rPr>
        <w:t>Area of Focus # 2</w:t>
      </w:r>
    </w:p>
    <w:p w14:paraId="3BBBC3ED" w14:textId="4E0568C3" w:rsidR="007A24A5" w:rsidRPr="00EA5C23" w:rsidRDefault="007A24A5" w:rsidP="00EA5C23">
      <w:pPr>
        <w:widowControl/>
        <w:rPr>
          <w:snapToGrid/>
          <w:szCs w:val="24"/>
        </w:rPr>
      </w:pPr>
      <w:r w:rsidRPr="00EA5C23">
        <w:rPr>
          <w:snapToGrid/>
          <w:szCs w:val="24"/>
        </w:rPr>
        <w:t>Curriculum</w:t>
      </w:r>
    </w:p>
    <w:p w14:paraId="2D583FA7" w14:textId="77777777" w:rsidR="007A24A5" w:rsidRPr="00EA5C23" w:rsidRDefault="007A24A5" w:rsidP="00EA5C23">
      <w:pPr>
        <w:widowControl/>
        <w:rPr>
          <w:snapToGrid/>
          <w:szCs w:val="24"/>
        </w:rPr>
      </w:pPr>
    </w:p>
    <w:p w14:paraId="5C2EAD4F" w14:textId="776F5677" w:rsidR="000E01E2" w:rsidRPr="00C15C6D" w:rsidRDefault="007A24A5" w:rsidP="00EA5C23">
      <w:pPr>
        <w:widowControl/>
        <w:rPr>
          <w:i/>
          <w:iCs/>
          <w:snapToGrid/>
          <w:szCs w:val="24"/>
        </w:rPr>
      </w:pPr>
      <w:r w:rsidRPr="00EA5C23">
        <w:rPr>
          <w:i/>
          <w:iCs/>
          <w:snapToGrid/>
          <w:szCs w:val="24"/>
        </w:rPr>
        <w:t>Description:</w:t>
      </w:r>
    </w:p>
    <w:p w14:paraId="336280F6" w14:textId="3E87C09F" w:rsidR="000E01E2" w:rsidRPr="00EA5C23" w:rsidRDefault="000E01E2" w:rsidP="00EA5C23">
      <w:pPr>
        <w:widowControl/>
        <w:rPr>
          <w:i/>
          <w:iCs/>
          <w:snapToGrid/>
          <w:szCs w:val="24"/>
        </w:rPr>
      </w:pPr>
      <w:r w:rsidRPr="00EA5C23">
        <w:rPr>
          <w:color w:val="000000"/>
          <w:szCs w:val="24"/>
        </w:rPr>
        <w:t xml:space="preserve">Enactment of the </w:t>
      </w:r>
      <w:r w:rsidR="0067167D" w:rsidRPr="00EA5C23">
        <w:rPr>
          <w:color w:val="000000"/>
          <w:szCs w:val="24"/>
        </w:rPr>
        <w:t>mathematics</w:t>
      </w:r>
      <w:r w:rsidRPr="00EA5C23">
        <w:rPr>
          <w:color w:val="000000"/>
          <w:szCs w:val="24"/>
        </w:rPr>
        <w:t xml:space="preserve"> curriculum </w:t>
      </w:r>
      <w:r w:rsidR="003B7B20" w:rsidRPr="00EA5C23">
        <w:rPr>
          <w:color w:val="000000"/>
          <w:szCs w:val="24"/>
        </w:rPr>
        <w:t xml:space="preserve">continues to </w:t>
      </w:r>
      <w:r w:rsidRPr="00EA5C23">
        <w:rPr>
          <w:color w:val="000000"/>
          <w:szCs w:val="24"/>
        </w:rPr>
        <w:t xml:space="preserve">emphasize rigorous habits and higher-order skills. </w:t>
      </w:r>
      <w:r w:rsidR="006620D1" w:rsidRPr="00EA5C23">
        <w:rPr>
          <w:color w:val="000000"/>
          <w:szCs w:val="24"/>
        </w:rPr>
        <w:t>In previous site visits during this school year, enactment of the ELA curriculum was not observed to emphasize higher-order skills. However, school leaders and teachers have made progress relative to this indicator</w:t>
      </w:r>
      <w:r w:rsidR="00C15C6D">
        <w:rPr>
          <w:color w:val="000000"/>
          <w:szCs w:val="24"/>
        </w:rPr>
        <w:t xml:space="preserve"> through the adoption and implementation of a standards-aligned ELA curriculum</w:t>
      </w:r>
      <w:r w:rsidR="006620D1" w:rsidRPr="00EA5C23">
        <w:rPr>
          <w:color w:val="000000"/>
          <w:szCs w:val="24"/>
        </w:rPr>
        <w:t xml:space="preserve">. Observations of ELA lessons during the May site visit reveal a renewed emphasis on close-reading, analysis, and interpretation skills. </w:t>
      </w:r>
      <w:r w:rsidR="009D1F89" w:rsidRPr="00EA5C23">
        <w:rPr>
          <w:color w:val="000000"/>
          <w:szCs w:val="24"/>
        </w:rPr>
        <w:t>Even so, c</w:t>
      </w:r>
      <w:r w:rsidR="006620D1" w:rsidRPr="00EA5C23">
        <w:rPr>
          <w:color w:val="000000"/>
          <w:szCs w:val="24"/>
        </w:rPr>
        <w:t xml:space="preserve">ontinued focus in this area is needed. Data indicates that </w:t>
      </w:r>
      <w:r w:rsidR="001F597A" w:rsidRPr="00EA5C23">
        <w:rPr>
          <w:color w:val="000000"/>
          <w:szCs w:val="24"/>
        </w:rPr>
        <w:t>across grades student growth</w:t>
      </w:r>
      <w:r w:rsidR="006620D1" w:rsidRPr="00EA5C23">
        <w:rPr>
          <w:color w:val="000000"/>
          <w:szCs w:val="24"/>
        </w:rPr>
        <w:t xml:space="preserve"> in reading</w:t>
      </w:r>
      <w:r w:rsidR="001F597A" w:rsidRPr="00EA5C23">
        <w:rPr>
          <w:color w:val="000000"/>
          <w:szCs w:val="24"/>
        </w:rPr>
        <w:t xml:space="preserve"> fluency has outpaced growth in reading</w:t>
      </w:r>
      <w:r w:rsidR="006620D1" w:rsidRPr="00EA5C23">
        <w:rPr>
          <w:color w:val="000000"/>
          <w:szCs w:val="24"/>
        </w:rPr>
        <w:t xml:space="preserve"> comprehension</w:t>
      </w:r>
      <w:r w:rsidR="001F597A" w:rsidRPr="00EA5C23">
        <w:rPr>
          <w:color w:val="000000"/>
          <w:szCs w:val="24"/>
        </w:rPr>
        <w:t xml:space="preserve"> during this school year.</w:t>
      </w:r>
      <w:r w:rsidR="006620D1" w:rsidRPr="00EA5C23">
        <w:rPr>
          <w:color w:val="000000"/>
          <w:szCs w:val="24"/>
        </w:rPr>
        <w:t xml:space="preserve"> </w:t>
      </w:r>
      <w:r w:rsidRPr="00EA5C23">
        <w:rPr>
          <w:color w:val="000000"/>
          <w:szCs w:val="24"/>
        </w:rPr>
        <w:t>Moving forward, school leaders should continue to support teachers to enact the ELA curriculum to emphasize higher-order skills</w:t>
      </w:r>
      <w:r w:rsidR="001F597A" w:rsidRPr="00EA5C23">
        <w:rPr>
          <w:color w:val="000000"/>
          <w:szCs w:val="24"/>
        </w:rPr>
        <w:t xml:space="preserve">, </w:t>
      </w:r>
      <w:r w:rsidRPr="00EA5C23">
        <w:rPr>
          <w:color w:val="000000"/>
          <w:szCs w:val="24"/>
        </w:rPr>
        <w:t>to</w:t>
      </w:r>
      <w:r w:rsidR="001F597A" w:rsidRPr="00EA5C23">
        <w:rPr>
          <w:color w:val="000000"/>
          <w:szCs w:val="24"/>
        </w:rPr>
        <w:t xml:space="preserve"> promote reading comprehension through close reading and discourse, and to </w:t>
      </w:r>
      <w:r w:rsidRPr="00EA5C23">
        <w:rPr>
          <w:color w:val="000000"/>
          <w:szCs w:val="24"/>
        </w:rPr>
        <w:t xml:space="preserve"> provide all students with access to the rigor of the target standards.  </w:t>
      </w:r>
    </w:p>
    <w:p w14:paraId="17197695" w14:textId="77777777" w:rsidR="003B7B20" w:rsidRPr="00EA5C23" w:rsidRDefault="003B7B20" w:rsidP="00EA5C23">
      <w:pPr>
        <w:rPr>
          <w:szCs w:val="24"/>
        </w:rPr>
      </w:pPr>
    </w:p>
    <w:sectPr w:rsidR="003B7B20" w:rsidRPr="00EA5C23" w:rsidSect="00FA2806">
      <w:endnotePr>
        <w:numFmt w:val="decimal"/>
      </w:endnotePr>
      <w:type w:val="continuous"/>
      <w:pgSz w:w="12240" w:h="15840"/>
      <w:pgMar w:top="1080" w:right="1440" w:bottom="576"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0A9CE" w14:textId="77777777" w:rsidR="00376C58" w:rsidRDefault="00376C58" w:rsidP="00A34405">
      <w:r>
        <w:separator/>
      </w:r>
    </w:p>
  </w:endnote>
  <w:endnote w:type="continuationSeparator" w:id="0">
    <w:p w14:paraId="440DD168" w14:textId="77777777" w:rsidR="00376C58" w:rsidRDefault="00376C58" w:rsidP="00A34405">
      <w:r>
        <w:continuationSeparator/>
      </w:r>
    </w:p>
  </w:endnote>
  <w:endnote w:type="continuationNotice" w:id="1">
    <w:p w14:paraId="3BE88AA7" w14:textId="77777777" w:rsidR="00376C58" w:rsidRDefault="00376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5438675"/>
      <w:docPartObj>
        <w:docPartGallery w:val="Page Numbers (Bottom of Page)"/>
        <w:docPartUnique/>
      </w:docPartObj>
    </w:sdtPr>
    <w:sdtEndPr>
      <w:rPr>
        <w:noProof/>
      </w:rPr>
    </w:sdtEndPr>
    <w:sdtContent>
      <w:p w14:paraId="6660C90A" w14:textId="77777777" w:rsidR="00570D30" w:rsidRDefault="00570D30" w:rsidP="000F0746">
        <w:pPr>
          <w:pStyle w:val="Footer"/>
          <w:jc w:val="right"/>
        </w:pPr>
        <w:r>
          <w:fldChar w:fldCharType="begin"/>
        </w:r>
        <w:r>
          <w:instrText xml:space="preserve"> PAGE   \* MERGEFORMAT </w:instrText>
        </w:r>
        <w:r>
          <w:fldChar w:fldCharType="separate"/>
        </w:r>
        <w:r>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D7944" w14:textId="77777777" w:rsidR="00376C58" w:rsidRDefault="00376C58" w:rsidP="00A34405">
      <w:r>
        <w:separator/>
      </w:r>
    </w:p>
  </w:footnote>
  <w:footnote w:type="continuationSeparator" w:id="0">
    <w:p w14:paraId="7F2C58AF" w14:textId="77777777" w:rsidR="00376C58" w:rsidRDefault="00376C58" w:rsidP="00A34405">
      <w:r>
        <w:continuationSeparator/>
      </w:r>
    </w:p>
  </w:footnote>
  <w:footnote w:type="continuationNotice" w:id="1">
    <w:p w14:paraId="08F73910" w14:textId="77777777" w:rsidR="00376C58" w:rsidRDefault="00376C58"/>
  </w:footnote>
  <w:footnote w:id="2">
    <w:p w14:paraId="5AE9112A" w14:textId="7B38B56D" w:rsidR="00570D30" w:rsidRDefault="00570D30" w:rsidP="00AE1766">
      <w:pPr>
        <w:pStyle w:val="FootnoteText"/>
      </w:pPr>
      <w:r w:rsidRPr="00CB7016">
        <w:rPr>
          <w:rStyle w:val="FootnoteReference"/>
          <w:vertAlign w:val="superscript"/>
        </w:rPr>
        <w:footnoteRef/>
      </w:r>
      <w:r>
        <w:t xml:space="preserve"> The </w:t>
      </w:r>
      <w:r w:rsidRPr="006D29DB">
        <w:t>first quarterly report for FY2021 can be found here:</w:t>
      </w:r>
      <w:r w:rsidR="006D29DB">
        <w:t xml:space="preserve"> </w:t>
      </w:r>
      <w:hyperlink r:id="rId1" w:history="1">
        <w:r w:rsidR="006D29DB" w:rsidRPr="00186FA7">
          <w:rPr>
            <w:rStyle w:val="Hyperlink"/>
          </w:rPr>
          <w:t>https://www.doe.mass.edu/bese/docs/fy2021/2020-11/</w:t>
        </w:r>
      </w:hyperlink>
      <w:r w:rsidR="006D29D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04F4"/>
    <w:multiLevelType w:val="multilevel"/>
    <w:tmpl w:val="8A4A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27F22"/>
    <w:multiLevelType w:val="multilevel"/>
    <w:tmpl w:val="2EDA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470396"/>
    <w:multiLevelType w:val="multilevel"/>
    <w:tmpl w:val="9482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434853"/>
    <w:multiLevelType w:val="multilevel"/>
    <w:tmpl w:val="A39E9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AB2140"/>
    <w:multiLevelType w:val="hybridMultilevel"/>
    <w:tmpl w:val="9802FF90"/>
    <w:lvl w:ilvl="0" w:tplc="8A0A14BA">
      <w:start w:val="1"/>
      <w:numFmt w:val="bullet"/>
      <w:lvlText w:val=""/>
      <w:lvlJc w:val="left"/>
      <w:pPr>
        <w:tabs>
          <w:tab w:val="num" w:pos="720"/>
        </w:tabs>
        <w:ind w:left="720" w:hanging="360"/>
      </w:pPr>
      <w:rPr>
        <w:rFonts w:ascii="Symbol" w:hAnsi="Symbol" w:hint="default"/>
        <w:sz w:val="20"/>
      </w:rPr>
    </w:lvl>
    <w:lvl w:ilvl="1" w:tplc="99363630" w:tentative="1">
      <w:start w:val="1"/>
      <w:numFmt w:val="bullet"/>
      <w:lvlText w:val="o"/>
      <w:lvlJc w:val="left"/>
      <w:pPr>
        <w:tabs>
          <w:tab w:val="num" w:pos="1440"/>
        </w:tabs>
        <w:ind w:left="1440" w:hanging="360"/>
      </w:pPr>
      <w:rPr>
        <w:rFonts w:ascii="Courier New" w:hAnsi="Courier New" w:hint="default"/>
        <w:sz w:val="20"/>
      </w:rPr>
    </w:lvl>
    <w:lvl w:ilvl="2" w:tplc="32D2035E" w:tentative="1">
      <w:start w:val="1"/>
      <w:numFmt w:val="bullet"/>
      <w:lvlText w:val=""/>
      <w:lvlJc w:val="left"/>
      <w:pPr>
        <w:tabs>
          <w:tab w:val="num" w:pos="2160"/>
        </w:tabs>
        <w:ind w:left="2160" w:hanging="360"/>
      </w:pPr>
      <w:rPr>
        <w:rFonts w:ascii="Wingdings" w:hAnsi="Wingdings" w:hint="default"/>
        <w:sz w:val="20"/>
      </w:rPr>
    </w:lvl>
    <w:lvl w:ilvl="3" w:tplc="A8741B6E" w:tentative="1">
      <w:start w:val="1"/>
      <w:numFmt w:val="bullet"/>
      <w:lvlText w:val=""/>
      <w:lvlJc w:val="left"/>
      <w:pPr>
        <w:tabs>
          <w:tab w:val="num" w:pos="2880"/>
        </w:tabs>
        <w:ind w:left="2880" w:hanging="360"/>
      </w:pPr>
      <w:rPr>
        <w:rFonts w:ascii="Wingdings" w:hAnsi="Wingdings" w:hint="default"/>
        <w:sz w:val="20"/>
      </w:rPr>
    </w:lvl>
    <w:lvl w:ilvl="4" w:tplc="C246B322" w:tentative="1">
      <w:start w:val="1"/>
      <w:numFmt w:val="bullet"/>
      <w:lvlText w:val=""/>
      <w:lvlJc w:val="left"/>
      <w:pPr>
        <w:tabs>
          <w:tab w:val="num" w:pos="3600"/>
        </w:tabs>
        <w:ind w:left="3600" w:hanging="360"/>
      </w:pPr>
      <w:rPr>
        <w:rFonts w:ascii="Wingdings" w:hAnsi="Wingdings" w:hint="default"/>
        <w:sz w:val="20"/>
      </w:rPr>
    </w:lvl>
    <w:lvl w:ilvl="5" w:tplc="A03498B2" w:tentative="1">
      <w:start w:val="1"/>
      <w:numFmt w:val="bullet"/>
      <w:lvlText w:val=""/>
      <w:lvlJc w:val="left"/>
      <w:pPr>
        <w:tabs>
          <w:tab w:val="num" w:pos="4320"/>
        </w:tabs>
        <w:ind w:left="4320" w:hanging="360"/>
      </w:pPr>
      <w:rPr>
        <w:rFonts w:ascii="Wingdings" w:hAnsi="Wingdings" w:hint="default"/>
        <w:sz w:val="20"/>
      </w:rPr>
    </w:lvl>
    <w:lvl w:ilvl="6" w:tplc="488ECC9E" w:tentative="1">
      <w:start w:val="1"/>
      <w:numFmt w:val="bullet"/>
      <w:lvlText w:val=""/>
      <w:lvlJc w:val="left"/>
      <w:pPr>
        <w:tabs>
          <w:tab w:val="num" w:pos="5040"/>
        </w:tabs>
        <w:ind w:left="5040" w:hanging="360"/>
      </w:pPr>
      <w:rPr>
        <w:rFonts w:ascii="Wingdings" w:hAnsi="Wingdings" w:hint="default"/>
        <w:sz w:val="20"/>
      </w:rPr>
    </w:lvl>
    <w:lvl w:ilvl="7" w:tplc="6D165F36" w:tentative="1">
      <w:start w:val="1"/>
      <w:numFmt w:val="bullet"/>
      <w:lvlText w:val=""/>
      <w:lvlJc w:val="left"/>
      <w:pPr>
        <w:tabs>
          <w:tab w:val="num" w:pos="5760"/>
        </w:tabs>
        <w:ind w:left="5760" w:hanging="360"/>
      </w:pPr>
      <w:rPr>
        <w:rFonts w:ascii="Wingdings" w:hAnsi="Wingdings" w:hint="default"/>
        <w:sz w:val="20"/>
      </w:rPr>
    </w:lvl>
    <w:lvl w:ilvl="8" w:tplc="20D299C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828A7"/>
    <w:multiLevelType w:val="multilevel"/>
    <w:tmpl w:val="92C4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8E33B2"/>
    <w:multiLevelType w:val="multilevel"/>
    <w:tmpl w:val="EACE6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8D209E"/>
    <w:multiLevelType w:val="multilevel"/>
    <w:tmpl w:val="EE2C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AB3889"/>
    <w:multiLevelType w:val="hybridMultilevel"/>
    <w:tmpl w:val="66D0934A"/>
    <w:lvl w:ilvl="0" w:tplc="01684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4D3807"/>
    <w:multiLevelType w:val="multilevel"/>
    <w:tmpl w:val="52980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1839FB"/>
    <w:multiLevelType w:val="multilevel"/>
    <w:tmpl w:val="457A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936B3E"/>
    <w:multiLevelType w:val="multilevel"/>
    <w:tmpl w:val="D1B0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240364"/>
    <w:multiLevelType w:val="multilevel"/>
    <w:tmpl w:val="62024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5B210C"/>
    <w:multiLevelType w:val="multilevel"/>
    <w:tmpl w:val="2766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0"/>
  </w:num>
  <w:num w:numId="4">
    <w:abstractNumId w:val="4"/>
  </w:num>
  <w:num w:numId="5">
    <w:abstractNumId w:val="9"/>
  </w:num>
  <w:num w:numId="6">
    <w:abstractNumId w:val="2"/>
  </w:num>
  <w:num w:numId="7">
    <w:abstractNumId w:val="7"/>
    <w:lvlOverride w:ilvl="0">
      <w:startOverride w:val="1"/>
    </w:lvlOverride>
  </w:num>
  <w:num w:numId="8">
    <w:abstractNumId w:val="6"/>
  </w:num>
  <w:num w:numId="9">
    <w:abstractNumId w:val="10"/>
    <w:lvlOverride w:ilvl="0">
      <w:startOverride w:val="2"/>
    </w:lvlOverride>
  </w:num>
  <w:num w:numId="10">
    <w:abstractNumId w:val="12"/>
  </w:num>
  <w:num w:numId="11">
    <w:abstractNumId w:val="1"/>
    <w:lvlOverride w:ilvl="0">
      <w:startOverride w:val="3"/>
    </w:lvlOverride>
  </w:num>
  <w:num w:numId="12">
    <w:abstractNumId w:val="11"/>
  </w:num>
  <w:num w:numId="13">
    <w:abstractNumId w:val="13"/>
    <w:lvlOverride w:ilvl="0">
      <w:startOverride w:val="4"/>
    </w:lvlOverride>
  </w:num>
  <w:num w:numId="14">
    <w:abstractNumId w:val="3"/>
    <w:lvlOverride w:ilvl="0">
      <w:startOverride w:val="5"/>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05"/>
    <w:rsid w:val="00000C5D"/>
    <w:rsid w:val="00022BB0"/>
    <w:rsid w:val="00025507"/>
    <w:rsid w:val="000365FD"/>
    <w:rsid w:val="00037587"/>
    <w:rsid w:val="00040CD7"/>
    <w:rsid w:val="00041CA1"/>
    <w:rsid w:val="0004202C"/>
    <w:rsid w:val="00057C18"/>
    <w:rsid w:val="000739B0"/>
    <w:rsid w:val="0007697F"/>
    <w:rsid w:val="0008767F"/>
    <w:rsid w:val="0009271E"/>
    <w:rsid w:val="000934B1"/>
    <w:rsid w:val="000A32BC"/>
    <w:rsid w:val="000A6841"/>
    <w:rsid w:val="000B3F2B"/>
    <w:rsid w:val="000C01AC"/>
    <w:rsid w:val="000C0E91"/>
    <w:rsid w:val="000D52F7"/>
    <w:rsid w:val="000E01E2"/>
    <w:rsid w:val="000E0994"/>
    <w:rsid w:val="000F0746"/>
    <w:rsid w:val="000F7EFB"/>
    <w:rsid w:val="00101224"/>
    <w:rsid w:val="001207F7"/>
    <w:rsid w:val="001221F3"/>
    <w:rsid w:val="00125987"/>
    <w:rsid w:val="00131DEA"/>
    <w:rsid w:val="0013E55D"/>
    <w:rsid w:val="00141A89"/>
    <w:rsid w:val="00142591"/>
    <w:rsid w:val="00175BEF"/>
    <w:rsid w:val="00180576"/>
    <w:rsid w:val="00181F3C"/>
    <w:rsid w:val="00193D53"/>
    <w:rsid w:val="001A1C36"/>
    <w:rsid w:val="001AEE19"/>
    <w:rsid w:val="001B35F9"/>
    <w:rsid w:val="001C2D9A"/>
    <w:rsid w:val="001C7545"/>
    <w:rsid w:val="001E2C7C"/>
    <w:rsid w:val="001F0B99"/>
    <w:rsid w:val="001F532F"/>
    <w:rsid w:val="001F597A"/>
    <w:rsid w:val="001F6E45"/>
    <w:rsid w:val="00201172"/>
    <w:rsid w:val="002015FB"/>
    <w:rsid w:val="002040A0"/>
    <w:rsid w:val="00204A4D"/>
    <w:rsid w:val="00207229"/>
    <w:rsid w:val="0021444D"/>
    <w:rsid w:val="002200F8"/>
    <w:rsid w:val="002227E8"/>
    <w:rsid w:val="002259C8"/>
    <w:rsid w:val="0024082B"/>
    <w:rsid w:val="00247E99"/>
    <w:rsid w:val="00250AE9"/>
    <w:rsid w:val="00251F58"/>
    <w:rsid w:val="002663F4"/>
    <w:rsid w:val="00267313"/>
    <w:rsid w:val="00282025"/>
    <w:rsid w:val="00283878"/>
    <w:rsid w:val="00293AC4"/>
    <w:rsid w:val="00297CA8"/>
    <w:rsid w:val="002A3E22"/>
    <w:rsid w:val="002B282A"/>
    <w:rsid w:val="002B37F7"/>
    <w:rsid w:val="002B4B10"/>
    <w:rsid w:val="002C0CF9"/>
    <w:rsid w:val="002C2EFA"/>
    <w:rsid w:val="002C7F24"/>
    <w:rsid w:val="002D0292"/>
    <w:rsid w:val="002E198A"/>
    <w:rsid w:val="002E4B82"/>
    <w:rsid w:val="002F5424"/>
    <w:rsid w:val="00301B8E"/>
    <w:rsid w:val="00305D5C"/>
    <w:rsid w:val="003072A0"/>
    <w:rsid w:val="00314302"/>
    <w:rsid w:val="00315EA1"/>
    <w:rsid w:val="00317578"/>
    <w:rsid w:val="003210DB"/>
    <w:rsid w:val="0032521D"/>
    <w:rsid w:val="00327383"/>
    <w:rsid w:val="0032778E"/>
    <w:rsid w:val="003363DD"/>
    <w:rsid w:val="003413B2"/>
    <w:rsid w:val="003604B1"/>
    <w:rsid w:val="00360BED"/>
    <w:rsid w:val="0036220D"/>
    <w:rsid w:val="00367300"/>
    <w:rsid w:val="00376C58"/>
    <w:rsid w:val="00382E4A"/>
    <w:rsid w:val="0039012A"/>
    <w:rsid w:val="003953C8"/>
    <w:rsid w:val="003A7F74"/>
    <w:rsid w:val="003B7B20"/>
    <w:rsid w:val="003D3919"/>
    <w:rsid w:val="003D7072"/>
    <w:rsid w:val="003E2008"/>
    <w:rsid w:val="003F309E"/>
    <w:rsid w:val="00400CD2"/>
    <w:rsid w:val="004011F2"/>
    <w:rsid w:val="00404770"/>
    <w:rsid w:val="0041210C"/>
    <w:rsid w:val="004168E1"/>
    <w:rsid w:val="00431CCF"/>
    <w:rsid w:val="004369B7"/>
    <w:rsid w:val="0045139E"/>
    <w:rsid w:val="004532E3"/>
    <w:rsid w:val="00455277"/>
    <w:rsid w:val="00460BA7"/>
    <w:rsid w:val="00493FA9"/>
    <w:rsid w:val="00495BB2"/>
    <w:rsid w:val="004A0C4D"/>
    <w:rsid w:val="004A75C5"/>
    <w:rsid w:val="004A7C3D"/>
    <w:rsid w:val="004C461D"/>
    <w:rsid w:val="004C47BA"/>
    <w:rsid w:val="004C6B05"/>
    <w:rsid w:val="004D6F5F"/>
    <w:rsid w:val="004D7EC9"/>
    <w:rsid w:val="004E5697"/>
    <w:rsid w:val="004E5FE2"/>
    <w:rsid w:val="004F181E"/>
    <w:rsid w:val="004F5A50"/>
    <w:rsid w:val="00512FB9"/>
    <w:rsid w:val="005142B7"/>
    <w:rsid w:val="005221CD"/>
    <w:rsid w:val="0053073B"/>
    <w:rsid w:val="005319D2"/>
    <w:rsid w:val="00541033"/>
    <w:rsid w:val="005430E2"/>
    <w:rsid w:val="00544396"/>
    <w:rsid w:val="005459B9"/>
    <w:rsid w:val="00546A0D"/>
    <w:rsid w:val="00565BA0"/>
    <w:rsid w:val="00570079"/>
    <w:rsid w:val="00570D30"/>
    <w:rsid w:val="00571666"/>
    <w:rsid w:val="00580D5E"/>
    <w:rsid w:val="00587AAE"/>
    <w:rsid w:val="0059081F"/>
    <w:rsid w:val="0059178C"/>
    <w:rsid w:val="00596E7A"/>
    <w:rsid w:val="005B1E7E"/>
    <w:rsid w:val="005B4B22"/>
    <w:rsid w:val="005C1013"/>
    <w:rsid w:val="005C204A"/>
    <w:rsid w:val="005E0B80"/>
    <w:rsid w:val="005E3535"/>
    <w:rsid w:val="005E78CD"/>
    <w:rsid w:val="005E7FFD"/>
    <w:rsid w:val="005F4E20"/>
    <w:rsid w:val="0061150E"/>
    <w:rsid w:val="006137E3"/>
    <w:rsid w:val="00630402"/>
    <w:rsid w:val="00632612"/>
    <w:rsid w:val="00635070"/>
    <w:rsid w:val="00646EF8"/>
    <w:rsid w:val="00650164"/>
    <w:rsid w:val="006502D1"/>
    <w:rsid w:val="0065406A"/>
    <w:rsid w:val="0065430E"/>
    <w:rsid w:val="006620D1"/>
    <w:rsid w:val="006659E6"/>
    <w:rsid w:val="00671652"/>
    <w:rsid w:val="0067167D"/>
    <w:rsid w:val="00674792"/>
    <w:rsid w:val="006751B3"/>
    <w:rsid w:val="00675EC6"/>
    <w:rsid w:val="00685C98"/>
    <w:rsid w:val="00690CEF"/>
    <w:rsid w:val="00693A0E"/>
    <w:rsid w:val="006A1C5A"/>
    <w:rsid w:val="006A73BB"/>
    <w:rsid w:val="006B1AD9"/>
    <w:rsid w:val="006C59D7"/>
    <w:rsid w:val="006D29DB"/>
    <w:rsid w:val="006F0D74"/>
    <w:rsid w:val="006F243F"/>
    <w:rsid w:val="0070313E"/>
    <w:rsid w:val="00703A87"/>
    <w:rsid w:val="0070639F"/>
    <w:rsid w:val="00712C7C"/>
    <w:rsid w:val="0071793A"/>
    <w:rsid w:val="00724A9E"/>
    <w:rsid w:val="00733362"/>
    <w:rsid w:val="0074055D"/>
    <w:rsid w:val="0075435E"/>
    <w:rsid w:val="00756C14"/>
    <w:rsid w:val="0075711F"/>
    <w:rsid w:val="007604C7"/>
    <w:rsid w:val="00760ED9"/>
    <w:rsid w:val="00761F33"/>
    <w:rsid w:val="00761FD8"/>
    <w:rsid w:val="0077258E"/>
    <w:rsid w:val="007732FB"/>
    <w:rsid w:val="00775688"/>
    <w:rsid w:val="00777F88"/>
    <w:rsid w:val="007815E8"/>
    <w:rsid w:val="007830B5"/>
    <w:rsid w:val="007A0440"/>
    <w:rsid w:val="007A210F"/>
    <w:rsid w:val="007A24A5"/>
    <w:rsid w:val="007A7D59"/>
    <w:rsid w:val="007B2EA4"/>
    <w:rsid w:val="007E16BC"/>
    <w:rsid w:val="007E5072"/>
    <w:rsid w:val="007F1A7A"/>
    <w:rsid w:val="007F31E5"/>
    <w:rsid w:val="00815737"/>
    <w:rsid w:val="0081673D"/>
    <w:rsid w:val="00817A51"/>
    <w:rsid w:val="00833220"/>
    <w:rsid w:val="00834235"/>
    <w:rsid w:val="00852792"/>
    <w:rsid w:val="0085456A"/>
    <w:rsid w:val="00880C45"/>
    <w:rsid w:val="0088230E"/>
    <w:rsid w:val="00885A5B"/>
    <w:rsid w:val="008A194F"/>
    <w:rsid w:val="008A1DBA"/>
    <w:rsid w:val="008B28F4"/>
    <w:rsid w:val="008B2A8E"/>
    <w:rsid w:val="008C238A"/>
    <w:rsid w:val="008C7F10"/>
    <w:rsid w:val="008D0D88"/>
    <w:rsid w:val="008E00D3"/>
    <w:rsid w:val="008E0E16"/>
    <w:rsid w:val="008E4D1C"/>
    <w:rsid w:val="008F18B4"/>
    <w:rsid w:val="008F2C79"/>
    <w:rsid w:val="00914757"/>
    <w:rsid w:val="00923A2B"/>
    <w:rsid w:val="00946D7D"/>
    <w:rsid w:val="00964E9A"/>
    <w:rsid w:val="009657D5"/>
    <w:rsid w:val="00973F36"/>
    <w:rsid w:val="00980B87"/>
    <w:rsid w:val="00984415"/>
    <w:rsid w:val="00993D93"/>
    <w:rsid w:val="009A5F3D"/>
    <w:rsid w:val="009C4334"/>
    <w:rsid w:val="009D1F89"/>
    <w:rsid w:val="009D51CB"/>
    <w:rsid w:val="009E5662"/>
    <w:rsid w:val="00A050C9"/>
    <w:rsid w:val="00A06204"/>
    <w:rsid w:val="00A16785"/>
    <w:rsid w:val="00A20194"/>
    <w:rsid w:val="00A34405"/>
    <w:rsid w:val="00A4212E"/>
    <w:rsid w:val="00A43B1E"/>
    <w:rsid w:val="00A505BF"/>
    <w:rsid w:val="00A5235B"/>
    <w:rsid w:val="00A54222"/>
    <w:rsid w:val="00A66BC7"/>
    <w:rsid w:val="00A70FE3"/>
    <w:rsid w:val="00A722A4"/>
    <w:rsid w:val="00A7604D"/>
    <w:rsid w:val="00A76332"/>
    <w:rsid w:val="00A7681B"/>
    <w:rsid w:val="00A85D2B"/>
    <w:rsid w:val="00AA1ABE"/>
    <w:rsid w:val="00AA709A"/>
    <w:rsid w:val="00AA7A3E"/>
    <w:rsid w:val="00AD10FB"/>
    <w:rsid w:val="00AE15EC"/>
    <w:rsid w:val="00AE1766"/>
    <w:rsid w:val="00AE2D05"/>
    <w:rsid w:val="00AF18EA"/>
    <w:rsid w:val="00AF7803"/>
    <w:rsid w:val="00B1203D"/>
    <w:rsid w:val="00B15E7C"/>
    <w:rsid w:val="00B211E5"/>
    <w:rsid w:val="00B24E24"/>
    <w:rsid w:val="00B2680B"/>
    <w:rsid w:val="00B34968"/>
    <w:rsid w:val="00B35BC8"/>
    <w:rsid w:val="00B37E64"/>
    <w:rsid w:val="00B43896"/>
    <w:rsid w:val="00B56EEB"/>
    <w:rsid w:val="00B62352"/>
    <w:rsid w:val="00B73DED"/>
    <w:rsid w:val="00B750DD"/>
    <w:rsid w:val="00B806EB"/>
    <w:rsid w:val="00B85FA9"/>
    <w:rsid w:val="00B93022"/>
    <w:rsid w:val="00B94C04"/>
    <w:rsid w:val="00BA102E"/>
    <w:rsid w:val="00BA6B62"/>
    <w:rsid w:val="00BC759F"/>
    <w:rsid w:val="00BE0438"/>
    <w:rsid w:val="00BE5638"/>
    <w:rsid w:val="00BF265D"/>
    <w:rsid w:val="00BF4E93"/>
    <w:rsid w:val="00C054A1"/>
    <w:rsid w:val="00C15C6D"/>
    <w:rsid w:val="00C17E83"/>
    <w:rsid w:val="00C19F65"/>
    <w:rsid w:val="00C25D27"/>
    <w:rsid w:val="00C61272"/>
    <w:rsid w:val="00C75368"/>
    <w:rsid w:val="00C974A6"/>
    <w:rsid w:val="00CA7D0F"/>
    <w:rsid w:val="00CC0F88"/>
    <w:rsid w:val="00CC365A"/>
    <w:rsid w:val="00CC3905"/>
    <w:rsid w:val="00CF1ED3"/>
    <w:rsid w:val="00CF31BA"/>
    <w:rsid w:val="00D002EA"/>
    <w:rsid w:val="00D06FB6"/>
    <w:rsid w:val="00D16AFC"/>
    <w:rsid w:val="00D1782C"/>
    <w:rsid w:val="00D20DDE"/>
    <w:rsid w:val="00D441E0"/>
    <w:rsid w:val="00D456B8"/>
    <w:rsid w:val="00D52820"/>
    <w:rsid w:val="00D52F6F"/>
    <w:rsid w:val="00D60AA4"/>
    <w:rsid w:val="00D6121A"/>
    <w:rsid w:val="00D62B7A"/>
    <w:rsid w:val="00D658E0"/>
    <w:rsid w:val="00D73B50"/>
    <w:rsid w:val="00D758F9"/>
    <w:rsid w:val="00D76F67"/>
    <w:rsid w:val="00D83AFB"/>
    <w:rsid w:val="00D91907"/>
    <w:rsid w:val="00D927DD"/>
    <w:rsid w:val="00D9793F"/>
    <w:rsid w:val="00DB1A23"/>
    <w:rsid w:val="00DC00D4"/>
    <w:rsid w:val="00DC1177"/>
    <w:rsid w:val="00DC23DF"/>
    <w:rsid w:val="00DC2E04"/>
    <w:rsid w:val="00DC32C3"/>
    <w:rsid w:val="00DD1806"/>
    <w:rsid w:val="00DE2DF8"/>
    <w:rsid w:val="00E04595"/>
    <w:rsid w:val="00E100A3"/>
    <w:rsid w:val="00E15503"/>
    <w:rsid w:val="00E17CC0"/>
    <w:rsid w:val="00E25290"/>
    <w:rsid w:val="00E27138"/>
    <w:rsid w:val="00E35848"/>
    <w:rsid w:val="00E46151"/>
    <w:rsid w:val="00E468FA"/>
    <w:rsid w:val="00E5261B"/>
    <w:rsid w:val="00E53C5A"/>
    <w:rsid w:val="00E66CC2"/>
    <w:rsid w:val="00E77FAD"/>
    <w:rsid w:val="00E81764"/>
    <w:rsid w:val="00E83B1C"/>
    <w:rsid w:val="00E83E73"/>
    <w:rsid w:val="00E8687A"/>
    <w:rsid w:val="00E916A6"/>
    <w:rsid w:val="00E9348D"/>
    <w:rsid w:val="00EA5C23"/>
    <w:rsid w:val="00EC7E5D"/>
    <w:rsid w:val="00ED21EE"/>
    <w:rsid w:val="00EE0A55"/>
    <w:rsid w:val="00EE424C"/>
    <w:rsid w:val="00EF4F15"/>
    <w:rsid w:val="00EF7FBD"/>
    <w:rsid w:val="00F23B00"/>
    <w:rsid w:val="00F25730"/>
    <w:rsid w:val="00F25840"/>
    <w:rsid w:val="00F27A29"/>
    <w:rsid w:val="00F31F84"/>
    <w:rsid w:val="00F40D92"/>
    <w:rsid w:val="00F51ECF"/>
    <w:rsid w:val="00F64B65"/>
    <w:rsid w:val="00F65740"/>
    <w:rsid w:val="00F71FEE"/>
    <w:rsid w:val="00F73919"/>
    <w:rsid w:val="00F76E32"/>
    <w:rsid w:val="00F82DC4"/>
    <w:rsid w:val="00F878C5"/>
    <w:rsid w:val="00FA2806"/>
    <w:rsid w:val="00FB18E7"/>
    <w:rsid w:val="00FB3164"/>
    <w:rsid w:val="00FE46EC"/>
    <w:rsid w:val="017C2AC8"/>
    <w:rsid w:val="060482B9"/>
    <w:rsid w:val="0729629B"/>
    <w:rsid w:val="0C375361"/>
    <w:rsid w:val="0DA3F541"/>
    <w:rsid w:val="0E32C5BE"/>
    <w:rsid w:val="0F783C7F"/>
    <w:rsid w:val="106AD6DD"/>
    <w:rsid w:val="10989752"/>
    <w:rsid w:val="11AAEEF9"/>
    <w:rsid w:val="14D1DCDA"/>
    <w:rsid w:val="14E556B8"/>
    <w:rsid w:val="17A781C4"/>
    <w:rsid w:val="18A3A937"/>
    <w:rsid w:val="1BC0D6B7"/>
    <w:rsid w:val="1E34C50D"/>
    <w:rsid w:val="1E5F96C3"/>
    <w:rsid w:val="1E89627F"/>
    <w:rsid w:val="1FEB5B3D"/>
    <w:rsid w:val="20113582"/>
    <w:rsid w:val="20C172C4"/>
    <w:rsid w:val="21AD05E3"/>
    <w:rsid w:val="225B8D53"/>
    <w:rsid w:val="232FADE7"/>
    <w:rsid w:val="237E468D"/>
    <w:rsid w:val="23FD6355"/>
    <w:rsid w:val="2661E73C"/>
    <w:rsid w:val="267B4C07"/>
    <w:rsid w:val="26A3D706"/>
    <w:rsid w:val="2725EA26"/>
    <w:rsid w:val="28171C68"/>
    <w:rsid w:val="2A98C351"/>
    <w:rsid w:val="2B53E829"/>
    <w:rsid w:val="2C3493B2"/>
    <w:rsid w:val="2D39C5CE"/>
    <w:rsid w:val="30E45617"/>
    <w:rsid w:val="32C9FD88"/>
    <w:rsid w:val="3445C9F8"/>
    <w:rsid w:val="34575B9C"/>
    <w:rsid w:val="34836D96"/>
    <w:rsid w:val="3C0294F1"/>
    <w:rsid w:val="3C3A1EB5"/>
    <w:rsid w:val="3DC1E720"/>
    <w:rsid w:val="3EF0B0A6"/>
    <w:rsid w:val="3F8434D1"/>
    <w:rsid w:val="4063D8A8"/>
    <w:rsid w:val="410D8FD8"/>
    <w:rsid w:val="41F2B242"/>
    <w:rsid w:val="42708EEF"/>
    <w:rsid w:val="442BD3F4"/>
    <w:rsid w:val="44F52B8E"/>
    <w:rsid w:val="47B62ADE"/>
    <w:rsid w:val="48343C0F"/>
    <w:rsid w:val="4B3FAE3C"/>
    <w:rsid w:val="4BAD2D3F"/>
    <w:rsid w:val="4DF95D3B"/>
    <w:rsid w:val="4E5185A8"/>
    <w:rsid w:val="4F1C894F"/>
    <w:rsid w:val="4F8FD0C7"/>
    <w:rsid w:val="4F952D9C"/>
    <w:rsid w:val="4FD9DB22"/>
    <w:rsid w:val="51226485"/>
    <w:rsid w:val="5130FDFD"/>
    <w:rsid w:val="51958F7E"/>
    <w:rsid w:val="52CCCE5E"/>
    <w:rsid w:val="54F3E2BE"/>
    <w:rsid w:val="5554742C"/>
    <w:rsid w:val="559F9239"/>
    <w:rsid w:val="5889C889"/>
    <w:rsid w:val="58BB2E59"/>
    <w:rsid w:val="5ADD0B42"/>
    <w:rsid w:val="5C26B03D"/>
    <w:rsid w:val="5DC7F2B9"/>
    <w:rsid w:val="5E1AD227"/>
    <w:rsid w:val="60832975"/>
    <w:rsid w:val="6226E75C"/>
    <w:rsid w:val="639C4600"/>
    <w:rsid w:val="655E881E"/>
    <w:rsid w:val="69AA2811"/>
    <w:rsid w:val="6A20D225"/>
    <w:rsid w:val="6A31F941"/>
    <w:rsid w:val="6B3C7065"/>
    <w:rsid w:val="6E7ED12C"/>
    <w:rsid w:val="71A1D03C"/>
    <w:rsid w:val="7437C950"/>
    <w:rsid w:val="76C8C2C2"/>
    <w:rsid w:val="77055265"/>
    <w:rsid w:val="785D13B2"/>
    <w:rsid w:val="78F3F7EB"/>
    <w:rsid w:val="7A4ADF92"/>
    <w:rsid w:val="7A645838"/>
    <w:rsid w:val="7D3F347C"/>
    <w:rsid w:val="7D6E82F6"/>
    <w:rsid w:val="7E7D92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66F3F"/>
  <w15:docId w15:val="{94360E46-F607-496F-B9C4-0D501983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FootnoteText">
    <w:name w:val="footnote text"/>
    <w:basedOn w:val="Normal"/>
    <w:link w:val="FootnoteTextChar"/>
    <w:uiPriority w:val="99"/>
    <w:unhideWhenUsed/>
    <w:rsid w:val="00A34405"/>
    <w:rPr>
      <w:sz w:val="20"/>
    </w:rPr>
  </w:style>
  <w:style w:type="character" w:customStyle="1" w:styleId="FootnoteTextChar">
    <w:name w:val="Footnote Text Char"/>
    <w:basedOn w:val="DefaultParagraphFont"/>
    <w:link w:val="FootnoteText"/>
    <w:uiPriority w:val="99"/>
    <w:rsid w:val="00A34405"/>
    <w:rPr>
      <w:snapToGrid w:val="0"/>
    </w:rPr>
  </w:style>
  <w:style w:type="character" w:styleId="Hyperlink">
    <w:name w:val="Hyperlink"/>
    <w:basedOn w:val="DefaultParagraphFont"/>
    <w:uiPriority w:val="99"/>
    <w:unhideWhenUsed/>
    <w:rsid w:val="00A34405"/>
    <w:rPr>
      <w:color w:val="0000FF" w:themeColor="hyperlink"/>
      <w:u w:val="single"/>
    </w:rPr>
  </w:style>
  <w:style w:type="paragraph" w:styleId="NormalWeb">
    <w:name w:val="Normal (Web)"/>
    <w:basedOn w:val="Normal"/>
    <w:uiPriority w:val="99"/>
    <w:unhideWhenUsed/>
    <w:rsid w:val="00A34405"/>
    <w:pPr>
      <w:widowControl/>
      <w:spacing w:before="100" w:beforeAutospacing="1" w:after="100" w:afterAutospacing="1"/>
    </w:pPr>
    <w:rPr>
      <w:snapToGrid/>
      <w:szCs w:val="24"/>
    </w:rPr>
  </w:style>
  <w:style w:type="character" w:customStyle="1" w:styleId="bold">
    <w:name w:val="bold"/>
    <w:basedOn w:val="DefaultParagraphFont"/>
    <w:rsid w:val="00A34405"/>
  </w:style>
  <w:style w:type="paragraph" w:styleId="Header">
    <w:name w:val="header"/>
    <w:basedOn w:val="Normal"/>
    <w:link w:val="HeaderChar"/>
    <w:unhideWhenUsed/>
    <w:rsid w:val="00B24E24"/>
    <w:pPr>
      <w:tabs>
        <w:tab w:val="center" w:pos="4680"/>
        <w:tab w:val="right" w:pos="9360"/>
      </w:tabs>
    </w:pPr>
  </w:style>
  <w:style w:type="character" w:customStyle="1" w:styleId="HeaderChar">
    <w:name w:val="Header Char"/>
    <w:basedOn w:val="DefaultParagraphFont"/>
    <w:link w:val="Header"/>
    <w:rsid w:val="00B24E24"/>
    <w:rPr>
      <w:snapToGrid w:val="0"/>
      <w:sz w:val="24"/>
    </w:rPr>
  </w:style>
  <w:style w:type="character" w:styleId="CommentReference">
    <w:name w:val="annotation reference"/>
    <w:basedOn w:val="DefaultParagraphFont"/>
    <w:semiHidden/>
    <w:unhideWhenUsed/>
    <w:rsid w:val="005E7FFD"/>
    <w:rPr>
      <w:sz w:val="16"/>
      <w:szCs w:val="16"/>
    </w:rPr>
  </w:style>
  <w:style w:type="paragraph" w:styleId="CommentText">
    <w:name w:val="annotation text"/>
    <w:basedOn w:val="Normal"/>
    <w:link w:val="CommentTextChar"/>
    <w:semiHidden/>
    <w:unhideWhenUsed/>
    <w:rsid w:val="005E7FFD"/>
    <w:rPr>
      <w:sz w:val="20"/>
    </w:rPr>
  </w:style>
  <w:style w:type="character" w:customStyle="1" w:styleId="CommentTextChar">
    <w:name w:val="Comment Text Char"/>
    <w:basedOn w:val="DefaultParagraphFont"/>
    <w:link w:val="CommentText"/>
    <w:semiHidden/>
    <w:rsid w:val="005E7FFD"/>
    <w:rPr>
      <w:snapToGrid w:val="0"/>
    </w:rPr>
  </w:style>
  <w:style w:type="paragraph" w:styleId="CommentSubject">
    <w:name w:val="annotation subject"/>
    <w:basedOn w:val="CommentText"/>
    <w:next w:val="CommentText"/>
    <w:link w:val="CommentSubjectChar"/>
    <w:semiHidden/>
    <w:unhideWhenUsed/>
    <w:rsid w:val="005E7FFD"/>
    <w:rPr>
      <w:b/>
      <w:bCs/>
    </w:rPr>
  </w:style>
  <w:style w:type="character" w:customStyle="1" w:styleId="CommentSubjectChar">
    <w:name w:val="Comment Subject Char"/>
    <w:basedOn w:val="CommentTextChar"/>
    <w:link w:val="CommentSubject"/>
    <w:semiHidden/>
    <w:rsid w:val="005E7FFD"/>
    <w:rPr>
      <w:b/>
      <w:bCs/>
      <w:snapToGrid w:val="0"/>
    </w:rPr>
  </w:style>
  <w:style w:type="paragraph" w:styleId="Revision">
    <w:name w:val="Revision"/>
    <w:hidden/>
    <w:uiPriority w:val="99"/>
    <w:semiHidden/>
    <w:rsid w:val="006137E3"/>
    <w:rPr>
      <w:snapToGrid w:val="0"/>
      <w:sz w:val="24"/>
    </w:rPr>
  </w:style>
  <w:style w:type="paragraph" w:styleId="ListParagraph">
    <w:name w:val="List Paragraph"/>
    <w:basedOn w:val="Normal"/>
    <w:uiPriority w:val="34"/>
    <w:qFormat/>
    <w:rsid w:val="0081673D"/>
    <w:pPr>
      <w:ind w:left="720"/>
      <w:contextualSpacing/>
    </w:pPr>
  </w:style>
  <w:style w:type="character" w:styleId="FollowedHyperlink">
    <w:name w:val="FollowedHyperlink"/>
    <w:basedOn w:val="DefaultParagraphFont"/>
    <w:semiHidden/>
    <w:unhideWhenUsed/>
    <w:rsid w:val="00B2680B"/>
    <w:rPr>
      <w:color w:val="800080" w:themeColor="followedHyperlink"/>
      <w:u w:val="single"/>
    </w:rPr>
  </w:style>
  <w:style w:type="character" w:styleId="UnresolvedMention">
    <w:name w:val="Unresolved Mention"/>
    <w:basedOn w:val="DefaultParagraphFont"/>
    <w:uiPriority w:val="99"/>
    <w:semiHidden/>
    <w:unhideWhenUsed/>
    <w:rsid w:val="006D2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63373">
      <w:bodyDiv w:val="1"/>
      <w:marLeft w:val="0"/>
      <w:marRight w:val="0"/>
      <w:marTop w:val="0"/>
      <w:marBottom w:val="0"/>
      <w:divBdr>
        <w:top w:val="none" w:sz="0" w:space="0" w:color="auto"/>
        <w:left w:val="none" w:sz="0" w:space="0" w:color="auto"/>
        <w:bottom w:val="none" w:sz="0" w:space="0" w:color="auto"/>
        <w:right w:val="none" w:sz="0" w:space="0" w:color="auto"/>
      </w:divBdr>
    </w:div>
    <w:div w:id="193540186">
      <w:bodyDiv w:val="1"/>
      <w:marLeft w:val="0"/>
      <w:marRight w:val="0"/>
      <w:marTop w:val="0"/>
      <w:marBottom w:val="0"/>
      <w:divBdr>
        <w:top w:val="none" w:sz="0" w:space="0" w:color="auto"/>
        <w:left w:val="none" w:sz="0" w:space="0" w:color="auto"/>
        <w:bottom w:val="none" w:sz="0" w:space="0" w:color="auto"/>
        <w:right w:val="none" w:sz="0" w:space="0" w:color="auto"/>
      </w:divBdr>
    </w:div>
    <w:div w:id="196159562">
      <w:bodyDiv w:val="1"/>
      <w:marLeft w:val="0"/>
      <w:marRight w:val="0"/>
      <w:marTop w:val="0"/>
      <w:marBottom w:val="0"/>
      <w:divBdr>
        <w:top w:val="none" w:sz="0" w:space="0" w:color="auto"/>
        <w:left w:val="none" w:sz="0" w:space="0" w:color="auto"/>
        <w:bottom w:val="none" w:sz="0" w:space="0" w:color="auto"/>
        <w:right w:val="none" w:sz="0" w:space="0" w:color="auto"/>
      </w:divBdr>
    </w:div>
    <w:div w:id="239218965">
      <w:bodyDiv w:val="1"/>
      <w:marLeft w:val="0"/>
      <w:marRight w:val="0"/>
      <w:marTop w:val="0"/>
      <w:marBottom w:val="0"/>
      <w:divBdr>
        <w:top w:val="none" w:sz="0" w:space="0" w:color="auto"/>
        <w:left w:val="none" w:sz="0" w:space="0" w:color="auto"/>
        <w:bottom w:val="none" w:sz="0" w:space="0" w:color="auto"/>
        <w:right w:val="none" w:sz="0" w:space="0" w:color="auto"/>
      </w:divBdr>
    </w:div>
    <w:div w:id="426079399">
      <w:bodyDiv w:val="1"/>
      <w:marLeft w:val="0"/>
      <w:marRight w:val="0"/>
      <w:marTop w:val="0"/>
      <w:marBottom w:val="0"/>
      <w:divBdr>
        <w:top w:val="none" w:sz="0" w:space="0" w:color="auto"/>
        <w:left w:val="none" w:sz="0" w:space="0" w:color="auto"/>
        <w:bottom w:val="none" w:sz="0" w:space="0" w:color="auto"/>
        <w:right w:val="none" w:sz="0" w:space="0" w:color="auto"/>
      </w:divBdr>
      <w:divsChild>
        <w:div w:id="243875778">
          <w:marLeft w:val="425"/>
          <w:marRight w:val="0"/>
          <w:marTop w:val="0"/>
          <w:marBottom w:val="0"/>
          <w:divBdr>
            <w:top w:val="none" w:sz="0" w:space="0" w:color="auto"/>
            <w:left w:val="none" w:sz="0" w:space="0" w:color="auto"/>
            <w:bottom w:val="none" w:sz="0" w:space="0" w:color="auto"/>
            <w:right w:val="none" w:sz="0" w:space="0" w:color="auto"/>
          </w:divBdr>
        </w:div>
        <w:div w:id="785461633">
          <w:marLeft w:val="425"/>
          <w:marRight w:val="0"/>
          <w:marTop w:val="0"/>
          <w:marBottom w:val="0"/>
          <w:divBdr>
            <w:top w:val="none" w:sz="0" w:space="0" w:color="auto"/>
            <w:left w:val="none" w:sz="0" w:space="0" w:color="auto"/>
            <w:bottom w:val="none" w:sz="0" w:space="0" w:color="auto"/>
            <w:right w:val="none" w:sz="0" w:space="0" w:color="auto"/>
          </w:divBdr>
        </w:div>
        <w:div w:id="1142039849">
          <w:marLeft w:val="425"/>
          <w:marRight w:val="0"/>
          <w:marTop w:val="0"/>
          <w:marBottom w:val="0"/>
          <w:divBdr>
            <w:top w:val="none" w:sz="0" w:space="0" w:color="auto"/>
            <w:left w:val="none" w:sz="0" w:space="0" w:color="auto"/>
            <w:bottom w:val="none" w:sz="0" w:space="0" w:color="auto"/>
            <w:right w:val="none" w:sz="0" w:space="0" w:color="auto"/>
          </w:divBdr>
        </w:div>
        <w:div w:id="1485588373">
          <w:marLeft w:val="425"/>
          <w:marRight w:val="0"/>
          <w:marTop w:val="0"/>
          <w:marBottom w:val="0"/>
          <w:divBdr>
            <w:top w:val="none" w:sz="0" w:space="0" w:color="auto"/>
            <w:left w:val="none" w:sz="0" w:space="0" w:color="auto"/>
            <w:bottom w:val="none" w:sz="0" w:space="0" w:color="auto"/>
            <w:right w:val="none" w:sz="0" w:space="0" w:color="auto"/>
          </w:divBdr>
        </w:div>
      </w:divsChild>
    </w:div>
    <w:div w:id="437680693">
      <w:bodyDiv w:val="1"/>
      <w:marLeft w:val="0"/>
      <w:marRight w:val="0"/>
      <w:marTop w:val="0"/>
      <w:marBottom w:val="0"/>
      <w:divBdr>
        <w:top w:val="none" w:sz="0" w:space="0" w:color="auto"/>
        <w:left w:val="none" w:sz="0" w:space="0" w:color="auto"/>
        <w:bottom w:val="none" w:sz="0" w:space="0" w:color="auto"/>
        <w:right w:val="none" w:sz="0" w:space="0" w:color="auto"/>
      </w:divBdr>
    </w:div>
    <w:div w:id="443229179">
      <w:bodyDiv w:val="1"/>
      <w:marLeft w:val="0"/>
      <w:marRight w:val="0"/>
      <w:marTop w:val="0"/>
      <w:marBottom w:val="0"/>
      <w:divBdr>
        <w:top w:val="none" w:sz="0" w:space="0" w:color="auto"/>
        <w:left w:val="none" w:sz="0" w:space="0" w:color="auto"/>
        <w:bottom w:val="none" w:sz="0" w:space="0" w:color="auto"/>
        <w:right w:val="none" w:sz="0" w:space="0" w:color="auto"/>
      </w:divBdr>
    </w:div>
    <w:div w:id="505948689">
      <w:bodyDiv w:val="1"/>
      <w:marLeft w:val="0"/>
      <w:marRight w:val="0"/>
      <w:marTop w:val="0"/>
      <w:marBottom w:val="0"/>
      <w:divBdr>
        <w:top w:val="none" w:sz="0" w:space="0" w:color="auto"/>
        <w:left w:val="none" w:sz="0" w:space="0" w:color="auto"/>
        <w:bottom w:val="none" w:sz="0" w:space="0" w:color="auto"/>
        <w:right w:val="none" w:sz="0" w:space="0" w:color="auto"/>
      </w:divBdr>
    </w:div>
    <w:div w:id="587538053">
      <w:bodyDiv w:val="1"/>
      <w:marLeft w:val="0"/>
      <w:marRight w:val="0"/>
      <w:marTop w:val="0"/>
      <w:marBottom w:val="0"/>
      <w:divBdr>
        <w:top w:val="none" w:sz="0" w:space="0" w:color="auto"/>
        <w:left w:val="none" w:sz="0" w:space="0" w:color="auto"/>
        <w:bottom w:val="none" w:sz="0" w:space="0" w:color="auto"/>
        <w:right w:val="none" w:sz="0" w:space="0" w:color="auto"/>
      </w:divBdr>
    </w:div>
    <w:div w:id="655646280">
      <w:bodyDiv w:val="1"/>
      <w:marLeft w:val="0"/>
      <w:marRight w:val="0"/>
      <w:marTop w:val="0"/>
      <w:marBottom w:val="0"/>
      <w:divBdr>
        <w:top w:val="none" w:sz="0" w:space="0" w:color="auto"/>
        <w:left w:val="none" w:sz="0" w:space="0" w:color="auto"/>
        <w:bottom w:val="none" w:sz="0" w:space="0" w:color="auto"/>
        <w:right w:val="none" w:sz="0" w:space="0" w:color="auto"/>
      </w:divBdr>
    </w:div>
    <w:div w:id="682053632">
      <w:bodyDiv w:val="1"/>
      <w:marLeft w:val="0"/>
      <w:marRight w:val="0"/>
      <w:marTop w:val="0"/>
      <w:marBottom w:val="0"/>
      <w:divBdr>
        <w:top w:val="none" w:sz="0" w:space="0" w:color="auto"/>
        <w:left w:val="none" w:sz="0" w:space="0" w:color="auto"/>
        <w:bottom w:val="none" w:sz="0" w:space="0" w:color="auto"/>
        <w:right w:val="none" w:sz="0" w:space="0" w:color="auto"/>
      </w:divBdr>
    </w:div>
    <w:div w:id="703293494">
      <w:bodyDiv w:val="1"/>
      <w:marLeft w:val="0"/>
      <w:marRight w:val="0"/>
      <w:marTop w:val="0"/>
      <w:marBottom w:val="0"/>
      <w:divBdr>
        <w:top w:val="none" w:sz="0" w:space="0" w:color="auto"/>
        <w:left w:val="none" w:sz="0" w:space="0" w:color="auto"/>
        <w:bottom w:val="none" w:sz="0" w:space="0" w:color="auto"/>
        <w:right w:val="none" w:sz="0" w:space="0" w:color="auto"/>
      </w:divBdr>
    </w:div>
    <w:div w:id="737635466">
      <w:bodyDiv w:val="1"/>
      <w:marLeft w:val="0"/>
      <w:marRight w:val="0"/>
      <w:marTop w:val="0"/>
      <w:marBottom w:val="0"/>
      <w:divBdr>
        <w:top w:val="none" w:sz="0" w:space="0" w:color="auto"/>
        <w:left w:val="none" w:sz="0" w:space="0" w:color="auto"/>
        <w:bottom w:val="none" w:sz="0" w:space="0" w:color="auto"/>
        <w:right w:val="none" w:sz="0" w:space="0" w:color="auto"/>
      </w:divBdr>
    </w:div>
    <w:div w:id="744380450">
      <w:bodyDiv w:val="1"/>
      <w:marLeft w:val="0"/>
      <w:marRight w:val="0"/>
      <w:marTop w:val="0"/>
      <w:marBottom w:val="0"/>
      <w:divBdr>
        <w:top w:val="none" w:sz="0" w:space="0" w:color="auto"/>
        <w:left w:val="none" w:sz="0" w:space="0" w:color="auto"/>
        <w:bottom w:val="none" w:sz="0" w:space="0" w:color="auto"/>
        <w:right w:val="none" w:sz="0" w:space="0" w:color="auto"/>
      </w:divBdr>
    </w:div>
    <w:div w:id="747195739">
      <w:bodyDiv w:val="1"/>
      <w:marLeft w:val="0"/>
      <w:marRight w:val="0"/>
      <w:marTop w:val="0"/>
      <w:marBottom w:val="0"/>
      <w:divBdr>
        <w:top w:val="none" w:sz="0" w:space="0" w:color="auto"/>
        <w:left w:val="none" w:sz="0" w:space="0" w:color="auto"/>
        <w:bottom w:val="none" w:sz="0" w:space="0" w:color="auto"/>
        <w:right w:val="none" w:sz="0" w:space="0" w:color="auto"/>
      </w:divBdr>
    </w:div>
    <w:div w:id="807164999">
      <w:bodyDiv w:val="1"/>
      <w:marLeft w:val="0"/>
      <w:marRight w:val="0"/>
      <w:marTop w:val="0"/>
      <w:marBottom w:val="0"/>
      <w:divBdr>
        <w:top w:val="none" w:sz="0" w:space="0" w:color="auto"/>
        <w:left w:val="none" w:sz="0" w:space="0" w:color="auto"/>
        <w:bottom w:val="none" w:sz="0" w:space="0" w:color="auto"/>
        <w:right w:val="none" w:sz="0" w:space="0" w:color="auto"/>
      </w:divBdr>
    </w:div>
    <w:div w:id="850875560">
      <w:bodyDiv w:val="1"/>
      <w:marLeft w:val="0"/>
      <w:marRight w:val="0"/>
      <w:marTop w:val="0"/>
      <w:marBottom w:val="0"/>
      <w:divBdr>
        <w:top w:val="none" w:sz="0" w:space="0" w:color="auto"/>
        <w:left w:val="none" w:sz="0" w:space="0" w:color="auto"/>
        <w:bottom w:val="none" w:sz="0" w:space="0" w:color="auto"/>
        <w:right w:val="none" w:sz="0" w:space="0" w:color="auto"/>
      </w:divBdr>
    </w:div>
    <w:div w:id="851381386">
      <w:bodyDiv w:val="1"/>
      <w:marLeft w:val="0"/>
      <w:marRight w:val="0"/>
      <w:marTop w:val="0"/>
      <w:marBottom w:val="0"/>
      <w:divBdr>
        <w:top w:val="none" w:sz="0" w:space="0" w:color="auto"/>
        <w:left w:val="none" w:sz="0" w:space="0" w:color="auto"/>
        <w:bottom w:val="none" w:sz="0" w:space="0" w:color="auto"/>
        <w:right w:val="none" w:sz="0" w:space="0" w:color="auto"/>
      </w:divBdr>
    </w:div>
    <w:div w:id="903831156">
      <w:bodyDiv w:val="1"/>
      <w:marLeft w:val="0"/>
      <w:marRight w:val="0"/>
      <w:marTop w:val="0"/>
      <w:marBottom w:val="0"/>
      <w:divBdr>
        <w:top w:val="none" w:sz="0" w:space="0" w:color="auto"/>
        <w:left w:val="none" w:sz="0" w:space="0" w:color="auto"/>
        <w:bottom w:val="none" w:sz="0" w:space="0" w:color="auto"/>
        <w:right w:val="none" w:sz="0" w:space="0" w:color="auto"/>
      </w:divBdr>
    </w:div>
    <w:div w:id="1047489716">
      <w:bodyDiv w:val="1"/>
      <w:marLeft w:val="0"/>
      <w:marRight w:val="0"/>
      <w:marTop w:val="0"/>
      <w:marBottom w:val="0"/>
      <w:divBdr>
        <w:top w:val="none" w:sz="0" w:space="0" w:color="auto"/>
        <w:left w:val="none" w:sz="0" w:space="0" w:color="auto"/>
        <w:bottom w:val="none" w:sz="0" w:space="0" w:color="auto"/>
        <w:right w:val="none" w:sz="0" w:space="0" w:color="auto"/>
      </w:divBdr>
    </w:div>
    <w:div w:id="1055468599">
      <w:bodyDiv w:val="1"/>
      <w:marLeft w:val="0"/>
      <w:marRight w:val="0"/>
      <w:marTop w:val="0"/>
      <w:marBottom w:val="0"/>
      <w:divBdr>
        <w:top w:val="none" w:sz="0" w:space="0" w:color="auto"/>
        <w:left w:val="none" w:sz="0" w:space="0" w:color="auto"/>
        <w:bottom w:val="none" w:sz="0" w:space="0" w:color="auto"/>
        <w:right w:val="none" w:sz="0" w:space="0" w:color="auto"/>
      </w:divBdr>
      <w:divsChild>
        <w:div w:id="62139660">
          <w:marLeft w:val="425"/>
          <w:marRight w:val="0"/>
          <w:marTop w:val="0"/>
          <w:marBottom w:val="0"/>
          <w:divBdr>
            <w:top w:val="none" w:sz="0" w:space="0" w:color="auto"/>
            <w:left w:val="none" w:sz="0" w:space="0" w:color="auto"/>
            <w:bottom w:val="none" w:sz="0" w:space="0" w:color="auto"/>
            <w:right w:val="none" w:sz="0" w:space="0" w:color="auto"/>
          </w:divBdr>
        </w:div>
        <w:div w:id="1011182377">
          <w:marLeft w:val="425"/>
          <w:marRight w:val="0"/>
          <w:marTop w:val="0"/>
          <w:marBottom w:val="0"/>
          <w:divBdr>
            <w:top w:val="none" w:sz="0" w:space="0" w:color="auto"/>
            <w:left w:val="none" w:sz="0" w:space="0" w:color="auto"/>
            <w:bottom w:val="none" w:sz="0" w:space="0" w:color="auto"/>
            <w:right w:val="none" w:sz="0" w:space="0" w:color="auto"/>
          </w:divBdr>
        </w:div>
        <w:div w:id="1595825338">
          <w:marLeft w:val="425"/>
          <w:marRight w:val="0"/>
          <w:marTop w:val="0"/>
          <w:marBottom w:val="0"/>
          <w:divBdr>
            <w:top w:val="none" w:sz="0" w:space="0" w:color="auto"/>
            <w:left w:val="none" w:sz="0" w:space="0" w:color="auto"/>
            <w:bottom w:val="none" w:sz="0" w:space="0" w:color="auto"/>
            <w:right w:val="none" w:sz="0" w:space="0" w:color="auto"/>
          </w:divBdr>
        </w:div>
        <w:div w:id="2011373361">
          <w:marLeft w:val="425"/>
          <w:marRight w:val="0"/>
          <w:marTop w:val="0"/>
          <w:marBottom w:val="0"/>
          <w:divBdr>
            <w:top w:val="none" w:sz="0" w:space="0" w:color="auto"/>
            <w:left w:val="none" w:sz="0" w:space="0" w:color="auto"/>
            <w:bottom w:val="none" w:sz="0" w:space="0" w:color="auto"/>
            <w:right w:val="none" w:sz="0" w:space="0" w:color="auto"/>
          </w:divBdr>
        </w:div>
      </w:divsChild>
    </w:div>
    <w:div w:id="1085952127">
      <w:bodyDiv w:val="1"/>
      <w:marLeft w:val="0"/>
      <w:marRight w:val="0"/>
      <w:marTop w:val="0"/>
      <w:marBottom w:val="0"/>
      <w:divBdr>
        <w:top w:val="none" w:sz="0" w:space="0" w:color="auto"/>
        <w:left w:val="none" w:sz="0" w:space="0" w:color="auto"/>
        <w:bottom w:val="none" w:sz="0" w:space="0" w:color="auto"/>
        <w:right w:val="none" w:sz="0" w:space="0" w:color="auto"/>
      </w:divBdr>
    </w:div>
    <w:div w:id="1275096439">
      <w:bodyDiv w:val="1"/>
      <w:marLeft w:val="0"/>
      <w:marRight w:val="0"/>
      <w:marTop w:val="0"/>
      <w:marBottom w:val="0"/>
      <w:divBdr>
        <w:top w:val="none" w:sz="0" w:space="0" w:color="auto"/>
        <w:left w:val="none" w:sz="0" w:space="0" w:color="auto"/>
        <w:bottom w:val="none" w:sz="0" w:space="0" w:color="auto"/>
        <w:right w:val="none" w:sz="0" w:space="0" w:color="auto"/>
      </w:divBdr>
    </w:div>
    <w:div w:id="1336036985">
      <w:bodyDiv w:val="1"/>
      <w:marLeft w:val="0"/>
      <w:marRight w:val="0"/>
      <w:marTop w:val="0"/>
      <w:marBottom w:val="0"/>
      <w:divBdr>
        <w:top w:val="none" w:sz="0" w:space="0" w:color="auto"/>
        <w:left w:val="none" w:sz="0" w:space="0" w:color="auto"/>
        <w:bottom w:val="none" w:sz="0" w:space="0" w:color="auto"/>
        <w:right w:val="none" w:sz="0" w:space="0" w:color="auto"/>
      </w:divBdr>
    </w:div>
    <w:div w:id="1359429288">
      <w:bodyDiv w:val="1"/>
      <w:marLeft w:val="0"/>
      <w:marRight w:val="0"/>
      <w:marTop w:val="0"/>
      <w:marBottom w:val="0"/>
      <w:divBdr>
        <w:top w:val="none" w:sz="0" w:space="0" w:color="auto"/>
        <w:left w:val="none" w:sz="0" w:space="0" w:color="auto"/>
        <w:bottom w:val="none" w:sz="0" w:space="0" w:color="auto"/>
        <w:right w:val="none" w:sz="0" w:space="0" w:color="auto"/>
      </w:divBdr>
    </w:div>
    <w:div w:id="1404984422">
      <w:bodyDiv w:val="1"/>
      <w:marLeft w:val="0"/>
      <w:marRight w:val="0"/>
      <w:marTop w:val="0"/>
      <w:marBottom w:val="0"/>
      <w:divBdr>
        <w:top w:val="none" w:sz="0" w:space="0" w:color="auto"/>
        <w:left w:val="none" w:sz="0" w:space="0" w:color="auto"/>
        <w:bottom w:val="none" w:sz="0" w:space="0" w:color="auto"/>
        <w:right w:val="none" w:sz="0" w:space="0" w:color="auto"/>
      </w:divBdr>
    </w:div>
    <w:div w:id="1420521383">
      <w:bodyDiv w:val="1"/>
      <w:marLeft w:val="0"/>
      <w:marRight w:val="0"/>
      <w:marTop w:val="0"/>
      <w:marBottom w:val="0"/>
      <w:divBdr>
        <w:top w:val="none" w:sz="0" w:space="0" w:color="auto"/>
        <w:left w:val="none" w:sz="0" w:space="0" w:color="auto"/>
        <w:bottom w:val="none" w:sz="0" w:space="0" w:color="auto"/>
        <w:right w:val="none" w:sz="0" w:space="0" w:color="auto"/>
      </w:divBdr>
    </w:div>
    <w:div w:id="1460025001">
      <w:bodyDiv w:val="1"/>
      <w:marLeft w:val="0"/>
      <w:marRight w:val="0"/>
      <w:marTop w:val="0"/>
      <w:marBottom w:val="0"/>
      <w:divBdr>
        <w:top w:val="none" w:sz="0" w:space="0" w:color="auto"/>
        <w:left w:val="none" w:sz="0" w:space="0" w:color="auto"/>
        <w:bottom w:val="none" w:sz="0" w:space="0" w:color="auto"/>
        <w:right w:val="none" w:sz="0" w:space="0" w:color="auto"/>
      </w:divBdr>
    </w:div>
    <w:div w:id="1501507950">
      <w:bodyDiv w:val="1"/>
      <w:marLeft w:val="0"/>
      <w:marRight w:val="0"/>
      <w:marTop w:val="0"/>
      <w:marBottom w:val="0"/>
      <w:divBdr>
        <w:top w:val="none" w:sz="0" w:space="0" w:color="auto"/>
        <w:left w:val="none" w:sz="0" w:space="0" w:color="auto"/>
        <w:bottom w:val="none" w:sz="0" w:space="0" w:color="auto"/>
        <w:right w:val="none" w:sz="0" w:space="0" w:color="auto"/>
      </w:divBdr>
    </w:div>
    <w:div w:id="1525171692">
      <w:bodyDiv w:val="1"/>
      <w:marLeft w:val="0"/>
      <w:marRight w:val="0"/>
      <w:marTop w:val="0"/>
      <w:marBottom w:val="0"/>
      <w:divBdr>
        <w:top w:val="none" w:sz="0" w:space="0" w:color="auto"/>
        <w:left w:val="none" w:sz="0" w:space="0" w:color="auto"/>
        <w:bottom w:val="none" w:sz="0" w:space="0" w:color="auto"/>
        <w:right w:val="none" w:sz="0" w:space="0" w:color="auto"/>
      </w:divBdr>
    </w:div>
    <w:div w:id="1538590609">
      <w:bodyDiv w:val="1"/>
      <w:marLeft w:val="0"/>
      <w:marRight w:val="0"/>
      <w:marTop w:val="0"/>
      <w:marBottom w:val="0"/>
      <w:divBdr>
        <w:top w:val="none" w:sz="0" w:space="0" w:color="auto"/>
        <w:left w:val="none" w:sz="0" w:space="0" w:color="auto"/>
        <w:bottom w:val="none" w:sz="0" w:space="0" w:color="auto"/>
        <w:right w:val="none" w:sz="0" w:space="0" w:color="auto"/>
      </w:divBdr>
    </w:div>
    <w:div w:id="1661229276">
      <w:bodyDiv w:val="1"/>
      <w:marLeft w:val="0"/>
      <w:marRight w:val="0"/>
      <w:marTop w:val="0"/>
      <w:marBottom w:val="0"/>
      <w:divBdr>
        <w:top w:val="none" w:sz="0" w:space="0" w:color="auto"/>
        <w:left w:val="none" w:sz="0" w:space="0" w:color="auto"/>
        <w:bottom w:val="none" w:sz="0" w:space="0" w:color="auto"/>
        <w:right w:val="none" w:sz="0" w:space="0" w:color="auto"/>
      </w:divBdr>
    </w:div>
    <w:div w:id="1727413927">
      <w:bodyDiv w:val="1"/>
      <w:marLeft w:val="0"/>
      <w:marRight w:val="0"/>
      <w:marTop w:val="0"/>
      <w:marBottom w:val="0"/>
      <w:divBdr>
        <w:top w:val="none" w:sz="0" w:space="0" w:color="auto"/>
        <w:left w:val="none" w:sz="0" w:space="0" w:color="auto"/>
        <w:bottom w:val="none" w:sz="0" w:space="0" w:color="auto"/>
        <w:right w:val="none" w:sz="0" w:space="0" w:color="auto"/>
      </w:divBdr>
    </w:div>
    <w:div w:id="1730155130">
      <w:bodyDiv w:val="1"/>
      <w:marLeft w:val="0"/>
      <w:marRight w:val="0"/>
      <w:marTop w:val="0"/>
      <w:marBottom w:val="0"/>
      <w:divBdr>
        <w:top w:val="none" w:sz="0" w:space="0" w:color="auto"/>
        <w:left w:val="none" w:sz="0" w:space="0" w:color="auto"/>
        <w:bottom w:val="none" w:sz="0" w:space="0" w:color="auto"/>
        <w:right w:val="none" w:sz="0" w:space="0" w:color="auto"/>
      </w:divBdr>
    </w:div>
    <w:div w:id="1812862933">
      <w:bodyDiv w:val="1"/>
      <w:marLeft w:val="0"/>
      <w:marRight w:val="0"/>
      <w:marTop w:val="0"/>
      <w:marBottom w:val="0"/>
      <w:divBdr>
        <w:top w:val="none" w:sz="0" w:space="0" w:color="auto"/>
        <w:left w:val="none" w:sz="0" w:space="0" w:color="auto"/>
        <w:bottom w:val="none" w:sz="0" w:space="0" w:color="auto"/>
        <w:right w:val="none" w:sz="0" w:space="0" w:color="auto"/>
      </w:divBdr>
    </w:div>
    <w:div w:id="1981566950">
      <w:bodyDiv w:val="1"/>
      <w:marLeft w:val="0"/>
      <w:marRight w:val="0"/>
      <w:marTop w:val="0"/>
      <w:marBottom w:val="0"/>
      <w:divBdr>
        <w:top w:val="none" w:sz="0" w:space="0" w:color="auto"/>
        <w:left w:val="none" w:sz="0" w:space="0" w:color="auto"/>
        <w:bottom w:val="none" w:sz="0" w:space="0" w:color="auto"/>
        <w:right w:val="none" w:sz="0" w:space="0" w:color="auto"/>
      </w:divBdr>
    </w:div>
    <w:div w:id="20137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bese/docs/fy2021/20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DESE-231-71811</_dlc_DocId>
    <_dlc_DocIdUrl xmlns="733efe1c-5bbe-4968-87dc-d400e65c879f">
      <Url>https://sharepoint.doemass.org/ese/webteam/cps/_layouts/DocIdRedir.aspx?ID=DESE-231-71811</Url>
      <Description>DESE-231-71811</Description>
    </_dlc_DocIdUrl>
  </documentManagement>
</p:properties>
</file>

<file path=customXml/itemProps1.xml><?xml version="1.0" encoding="utf-8"?>
<ds:datastoreItem xmlns:ds="http://schemas.openxmlformats.org/officeDocument/2006/customXml" ds:itemID="{8ADE5190-8E81-492E-AEAC-743BBA8901F8}">
  <ds:schemaRefs>
    <ds:schemaRef ds:uri="http://schemas.microsoft.com/sharepoint/events"/>
  </ds:schemaRefs>
</ds:datastoreItem>
</file>

<file path=customXml/itemProps2.xml><?xml version="1.0" encoding="utf-8"?>
<ds:datastoreItem xmlns:ds="http://schemas.openxmlformats.org/officeDocument/2006/customXml" ds:itemID="{7B011726-93A1-4F74-85DD-53A43E38B713}">
  <ds:schemaRefs>
    <ds:schemaRef ds:uri="http://schemas.microsoft.com/sharepoint/v3/contenttype/forms"/>
  </ds:schemaRefs>
</ds:datastoreItem>
</file>

<file path=customXml/itemProps3.xml><?xml version="1.0" encoding="utf-8"?>
<ds:datastoreItem xmlns:ds="http://schemas.openxmlformats.org/officeDocument/2006/customXml" ds:itemID="{92FE62F9-C5BC-4266-9F82-4AC634C55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C2C1F5-2BF9-E347-B4EF-A2174F70E358}">
  <ds:schemaRefs>
    <ds:schemaRef ds:uri="http://schemas.openxmlformats.org/officeDocument/2006/bibliography"/>
  </ds:schemaRefs>
</ds:datastoreItem>
</file>

<file path=customXml/itemProps5.xml><?xml version="1.0" encoding="utf-8"?>
<ds:datastoreItem xmlns:ds="http://schemas.openxmlformats.org/officeDocument/2006/customXml" ds:itemID="{875773B3-D5F6-439C-B334-37A97EC81B2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BESE June 2021 Item 16: Q4 Report for Chronically Underperforming Schools</vt:lpstr>
    </vt:vector>
  </TitlesOfParts>
  <Company/>
  <LinksUpToDate>false</LinksUpToDate>
  <CharactersWithSpaces>20205</CharactersWithSpaces>
  <SharedDoc>false</SharedDoc>
  <HLinks>
    <vt:vector size="6" baseType="variant">
      <vt:variant>
        <vt:i4>8257654</vt:i4>
      </vt:variant>
      <vt:variant>
        <vt:i4>0</vt:i4>
      </vt:variant>
      <vt:variant>
        <vt:i4>0</vt:i4>
      </vt:variant>
      <vt:variant>
        <vt:i4>5</vt:i4>
      </vt:variant>
      <vt:variant>
        <vt:lpwstr>https://www.doe.mass.edu/bese/docs/fy2021/2020-11/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22, 2021 Item 16: Q4 Report for Chronically Underperforming Schools</dc:title>
  <dc:subject/>
  <dc:creator>DESE</dc:creator>
  <cp:keywords/>
  <cp:lastModifiedBy>Zou, Dong (EOE)</cp:lastModifiedBy>
  <cp:revision>27</cp:revision>
  <cp:lastPrinted>2008-03-06T00:17:00Z</cp:lastPrinted>
  <dcterms:created xsi:type="dcterms:W3CDTF">2021-06-15T05:24:00Z</dcterms:created>
  <dcterms:modified xsi:type="dcterms:W3CDTF">2021-06-18T21:49:00Z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2021</vt:lpwstr>
  </property>
</Properties>
</file>