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D4F5F03"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3"/>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3DD8A1C0">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3DD8A1C0">
        <w:tc>
          <w:tcPr>
            <w:tcW w:w="1184" w:type="dxa"/>
          </w:tcPr>
          <w:p w14:paraId="58083D68" w14:textId="77777777" w:rsidR="000E5E95" w:rsidRDefault="000E5E95" w:rsidP="000E5E95">
            <w:pPr>
              <w:rPr>
                <w:b/>
              </w:rPr>
            </w:pPr>
            <w:r>
              <w:rPr>
                <w:b/>
              </w:rPr>
              <w:t>From:</w:t>
            </w:r>
            <w:r>
              <w:tab/>
            </w:r>
          </w:p>
        </w:tc>
        <w:tc>
          <w:tcPr>
            <w:tcW w:w="8176" w:type="dxa"/>
          </w:tcPr>
          <w:p w14:paraId="4F28AB34" w14:textId="3369DE24" w:rsidR="002813B0"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3DD8A1C0">
        <w:tc>
          <w:tcPr>
            <w:tcW w:w="1184" w:type="dxa"/>
          </w:tcPr>
          <w:p w14:paraId="43395999" w14:textId="77777777" w:rsidR="000E5E95" w:rsidRDefault="000E5E95" w:rsidP="000E5E95">
            <w:pPr>
              <w:rPr>
                <w:b/>
              </w:rPr>
            </w:pPr>
            <w:r>
              <w:rPr>
                <w:b/>
              </w:rPr>
              <w:t>Date:</w:t>
            </w:r>
            <w:r>
              <w:tab/>
            </w:r>
          </w:p>
        </w:tc>
        <w:tc>
          <w:tcPr>
            <w:tcW w:w="8176" w:type="dxa"/>
          </w:tcPr>
          <w:p w14:paraId="0A2F20FF" w14:textId="5C1B96D7" w:rsidR="000E5E95" w:rsidRDefault="00D46D80" w:rsidP="000E5E95">
            <w:pPr>
              <w:pStyle w:val="Footer"/>
              <w:widowControl w:val="0"/>
              <w:tabs>
                <w:tab w:val="clear" w:pos="4320"/>
                <w:tab w:val="clear" w:pos="8640"/>
              </w:tabs>
            </w:pPr>
            <w:r>
              <w:t>October 7, 2021</w:t>
            </w:r>
          </w:p>
        </w:tc>
      </w:tr>
      <w:tr w:rsidR="000E5E95" w14:paraId="5D0D4861" w14:textId="77777777" w:rsidTr="3DD8A1C0">
        <w:tc>
          <w:tcPr>
            <w:tcW w:w="1184" w:type="dxa"/>
          </w:tcPr>
          <w:p w14:paraId="3428D501" w14:textId="77777777" w:rsidR="000E5E95" w:rsidRDefault="000E5E95" w:rsidP="000E5E95">
            <w:pPr>
              <w:rPr>
                <w:b/>
              </w:rPr>
            </w:pPr>
            <w:r>
              <w:rPr>
                <w:b/>
              </w:rPr>
              <w:t>Subject:</w:t>
            </w:r>
          </w:p>
        </w:tc>
        <w:tc>
          <w:tcPr>
            <w:tcW w:w="8176" w:type="dxa"/>
          </w:tcPr>
          <w:p w14:paraId="1D804615" w14:textId="0F8B3DA1" w:rsidR="000E5E95" w:rsidRPr="00690E8A" w:rsidRDefault="00D46D80" w:rsidP="00690E8A">
            <w:pPr>
              <w:pStyle w:val="Default"/>
              <w:rPr>
                <w:rFonts w:ascii="Times New Roman" w:hAnsi="Times New Roman" w:cs="Times New Roman"/>
              </w:rPr>
            </w:pPr>
            <w:r>
              <w:t xml:space="preserve">Charter Schools: </w:t>
            </w:r>
            <w:r w:rsidR="00690E8A" w:rsidRPr="00690E8A">
              <w:t xml:space="preserve">Request </w:t>
            </w:r>
            <w:r w:rsidR="007A6853">
              <w:t xml:space="preserve">by Mystic Valley Regional Charter School </w:t>
            </w:r>
            <w:r w:rsidR="00690E8A" w:rsidRPr="00690E8A">
              <w:t>for Waiver Pursuant to 603 CMR 1.03</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5FDAC933" w14:textId="4BCA98DF" w:rsidR="00E27732" w:rsidRDefault="00E27732" w:rsidP="00567D2E">
      <w:pPr>
        <w:pStyle w:val="NormalWeb"/>
        <w:shd w:val="clear" w:color="auto" w:fill="FFFFFF"/>
        <w:rPr>
          <w:color w:val="000000"/>
        </w:rPr>
      </w:pPr>
      <w:r>
        <w:rPr>
          <w:color w:val="000000"/>
        </w:rPr>
        <w:t xml:space="preserve">Mystic Valley Regional Charter School (MVRCS) requests a waiver of </w:t>
      </w:r>
      <w:r w:rsidR="00CA2561">
        <w:rPr>
          <w:color w:val="000000"/>
        </w:rPr>
        <w:t xml:space="preserve">603 CMR 1.11(2), </w:t>
      </w:r>
      <w:r>
        <w:rPr>
          <w:color w:val="000000"/>
        </w:rPr>
        <w:t>the regulation requiring</w:t>
      </w:r>
      <w:r w:rsidR="004C523A">
        <w:rPr>
          <w:color w:val="000000"/>
        </w:rPr>
        <w:t xml:space="preserve"> that “[a]</w:t>
      </w:r>
      <w:r w:rsidR="004C523A" w:rsidRPr="004C523A">
        <w:rPr>
          <w:color w:val="000000"/>
        </w:rPr>
        <w:t>ll charter schools will be evaluated on the same performance criteria as provided in the guidelines, provided, however, that the criteria will take into account each school's c</w:t>
      </w:r>
      <w:r w:rsidR="004C523A">
        <w:rPr>
          <w:color w:val="000000"/>
        </w:rPr>
        <w:t xml:space="preserve">harter and accountability plan.” </w:t>
      </w:r>
      <w:r w:rsidR="00795189">
        <w:rPr>
          <w:color w:val="000000"/>
        </w:rPr>
        <w:t>T</w:t>
      </w:r>
      <w:r w:rsidR="000E5B88">
        <w:rPr>
          <w:color w:val="000000"/>
        </w:rPr>
        <w:t>he Board of Elementary and Secondary Education (Board) may grant a waiver of a regulation under</w:t>
      </w:r>
      <w:r w:rsidR="003F7CE7">
        <w:rPr>
          <w:color w:val="000000"/>
        </w:rPr>
        <w:t xml:space="preserve"> exceptional circumstances. </w:t>
      </w:r>
      <w:r w:rsidR="00795189" w:rsidRPr="0044385C">
        <w:rPr>
          <w:i/>
          <w:color w:val="000000"/>
        </w:rPr>
        <w:t>See</w:t>
      </w:r>
      <w:r w:rsidR="00795189" w:rsidRPr="00795189">
        <w:rPr>
          <w:color w:val="000000"/>
        </w:rPr>
        <w:t xml:space="preserve"> 603 CMR 1.03(2)</w:t>
      </w:r>
      <w:r w:rsidR="00795189">
        <w:rPr>
          <w:color w:val="000000"/>
        </w:rPr>
        <w:t>.</w:t>
      </w:r>
      <w:r w:rsidR="00795189" w:rsidRPr="00795189">
        <w:rPr>
          <w:color w:val="000000"/>
          <w:vertAlign w:val="superscript"/>
        </w:rPr>
        <w:footnoteReference w:id="2"/>
      </w:r>
      <w:r w:rsidR="00795189" w:rsidRPr="00795189">
        <w:rPr>
          <w:color w:val="000000"/>
        </w:rPr>
        <w:t xml:space="preserve"> </w:t>
      </w:r>
      <w:r w:rsidR="003F7CE7">
        <w:rPr>
          <w:color w:val="000000"/>
        </w:rPr>
        <w:t xml:space="preserve">In this case, I recommend that the Board deny the requested waiver because </w:t>
      </w:r>
      <w:r w:rsidR="000E1549">
        <w:rPr>
          <w:color w:val="000000"/>
        </w:rPr>
        <w:t>a waiver</w:t>
      </w:r>
      <w:r w:rsidR="003F7CE7">
        <w:rPr>
          <w:color w:val="000000"/>
        </w:rPr>
        <w:t xml:space="preserve"> is unnecessary</w:t>
      </w:r>
      <w:r w:rsidR="00C42E79">
        <w:rPr>
          <w:color w:val="000000"/>
        </w:rPr>
        <w:t>,</w:t>
      </w:r>
      <w:r w:rsidR="003F7CE7">
        <w:rPr>
          <w:color w:val="000000"/>
        </w:rPr>
        <w:t xml:space="preserve"> and because </w:t>
      </w:r>
      <w:r w:rsidR="000E1549">
        <w:rPr>
          <w:color w:val="000000"/>
        </w:rPr>
        <w:t>a waiver</w:t>
      </w:r>
      <w:r w:rsidR="003F7CE7">
        <w:rPr>
          <w:color w:val="000000"/>
        </w:rPr>
        <w:t xml:space="preserve"> would require evaluation of this school on a basis different from every other charter school</w:t>
      </w:r>
      <w:r w:rsidR="001B7041">
        <w:rPr>
          <w:color w:val="000000"/>
        </w:rPr>
        <w:t xml:space="preserve"> in Massachusetts</w:t>
      </w:r>
      <w:r w:rsidR="003F7CE7">
        <w:rPr>
          <w:color w:val="000000"/>
        </w:rPr>
        <w:t>.</w:t>
      </w:r>
    </w:p>
    <w:p w14:paraId="6E787E9E" w14:textId="77777777" w:rsidR="00567D2E" w:rsidRDefault="00567D2E" w:rsidP="00567D2E">
      <w:pPr>
        <w:pStyle w:val="NormalWeb"/>
        <w:shd w:val="clear" w:color="auto" w:fill="FFFFFF"/>
        <w:rPr>
          <w:color w:val="000000"/>
          <w:highlight w:val="yellow"/>
        </w:rPr>
      </w:pPr>
    </w:p>
    <w:p w14:paraId="1C2D53A0" w14:textId="77777777" w:rsidR="00567D2E" w:rsidRDefault="00567D2E">
      <w:pPr>
        <w:widowControl/>
        <w:rPr>
          <w:snapToGrid/>
          <w:color w:val="000000"/>
          <w:szCs w:val="24"/>
          <w:highlight w:val="yellow"/>
        </w:rPr>
      </w:pPr>
      <w:r>
        <w:rPr>
          <w:color w:val="000000"/>
          <w:highlight w:val="yellow"/>
        </w:rPr>
        <w:br w:type="page"/>
      </w:r>
    </w:p>
    <w:p w14:paraId="013F6C00" w14:textId="32996863" w:rsidR="00CB7300" w:rsidRPr="00D40EF1" w:rsidRDefault="009733CB" w:rsidP="00567D2E">
      <w:pPr>
        <w:pStyle w:val="NormalWeb"/>
        <w:shd w:val="clear" w:color="auto" w:fill="FFFFFF"/>
        <w:rPr>
          <w:color w:val="000000"/>
        </w:rPr>
      </w:pPr>
      <w:r w:rsidRPr="00886840">
        <w:rPr>
          <w:b/>
          <w:color w:val="000000"/>
          <w:u w:val="single"/>
        </w:rPr>
        <w:lastRenderedPageBreak/>
        <w:t>Waiver Request</w:t>
      </w:r>
    </w:p>
    <w:tbl>
      <w:tblPr>
        <w:tblStyle w:val="TableGrid"/>
        <w:tblW w:w="5000" w:type="pct"/>
        <w:tblLook w:val="04A0" w:firstRow="1" w:lastRow="0" w:firstColumn="1" w:lastColumn="0" w:noHBand="0" w:noVBand="1"/>
      </w:tblPr>
      <w:tblGrid>
        <w:gridCol w:w="2337"/>
        <w:gridCol w:w="2337"/>
        <w:gridCol w:w="2338"/>
        <w:gridCol w:w="2338"/>
      </w:tblGrid>
      <w:tr w:rsidR="00920162" w:rsidRPr="00920162" w14:paraId="5CFD8578" w14:textId="77777777" w:rsidTr="00124B08">
        <w:tc>
          <w:tcPr>
            <w:tcW w:w="5000" w:type="pct"/>
            <w:gridSpan w:val="4"/>
            <w:shd w:val="clear" w:color="auto" w:fill="BFBFBF" w:themeFill="background1" w:themeFillShade="BF"/>
          </w:tcPr>
          <w:p w14:paraId="30F5B3BF" w14:textId="77777777" w:rsidR="00920162" w:rsidRPr="00920162" w:rsidRDefault="00920162" w:rsidP="00567D2E">
            <w:pPr>
              <w:pStyle w:val="TableHeading"/>
              <w:rPr>
                <w:rFonts w:ascii="Times New Roman" w:hAnsi="Times New Roman" w:cs="Times New Roman"/>
              </w:rPr>
            </w:pPr>
            <w:r w:rsidRPr="00920162">
              <w:rPr>
                <w:rFonts w:ascii="Times New Roman" w:hAnsi="Times New Roman" w:cs="Times New Roman"/>
              </w:rPr>
              <w:t>Mystic Valley Regional Charter School</w:t>
            </w:r>
          </w:p>
        </w:tc>
      </w:tr>
      <w:tr w:rsidR="00920162" w:rsidRPr="00920162" w14:paraId="4B9E4DE5" w14:textId="77777777" w:rsidTr="00124B08">
        <w:tc>
          <w:tcPr>
            <w:tcW w:w="1250" w:type="pct"/>
            <w:shd w:val="clear" w:color="auto" w:fill="F2F2F2" w:themeFill="background1" w:themeFillShade="F2"/>
          </w:tcPr>
          <w:p w14:paraId="04F639B1" w14:textId="77777777" w:rsidR="00920162" w:rsidRPr="00920162" w:rsidRDefault="00920162" w:rsidP="00567D2E">
            <w:pPr>
              <w:pStyle w:val="Table"/>
              <w:rPr>
                <w:rFonts w:ascii="Times New Roman" w:hAnsi="Times New Roman" w:cs="Times New Roman"/>
                <w:b/>
              </w:rPr>
            </w:pPr>
            <w:r w:rsidRPr="00920162">
              <w:rPr>
                <w:rFonts w:ascii="Times New Roman" w:hAnsi="Times New Roman" w:cs="Times New Roman"/>
                <w:b/>
              </w:rPr>
              <w:t>Type of Charter</w:t>
            </w:r>
          </w:p>
        </w:tc>
        <w:tc>
          <w:tcPr>
            <w:tcW w:w="1250" w:type="pct"/>
          </w:tcPr>
          <w:p w14:paraId="751000C2" w14:textId="77777777" w:rsidR="00920162" w:rsidRPr="00920162" w:rsidRDefault="00920162" w:rsidP="00567D2E">
            <w:pPr>
              <w:pStyle w:val="Table"/>
              <w:rPr>
                <w:rFonts w:ascii="Times New Roman" w:hAnsi="Times New Roman" w:cs="Times New Roman"/>
              </w:rPr>
            </w:pPr>
            <w:r w:rsidRPr="00920162">
              <w:rPr>
                <w:rFonts w:ascii="Times New Roman" w:hAnsi="Times New Roman" w:cs="Times New Roman"/>
              </w:rPr>
              <w:t>Commonwealth</w:t>
            </w:r>
          </w:p>
        </w:tc>
        <w:tc>
          <w:tcPr>
            <w:tcW w:w="1250" w:type="pct"/>
            <w:shd w:val="clear" w:color="auto" w:fill="F2F2F2" w:themeFill="background1" w:themeFillShade="F2"/>
          </w:tcPr>
          <w:p w14:paraId="01F9FAEE" w14:textId="77777777" w:rsidR="00920162" w:rsidRPr="00920162" w:rsidRDefault="00920162" w:rsidP="00567D2E">
            <w:pPr>
              <w:pStyle w:val="Table"/>
              <w:rPr>
                <w:rFonts w:ascii="Times New Roman" w:hAnsi="Times New Roman" w:cs="Times New Roman"/>
                <w:b/>
              </w:rPr>
            </w:pPr>
            <w:r w:rsidRPr="00920162">
              <w:rPr>
                <w:rFonts w:ascii="Times New Roman" w:hAnsi="Times New Roman" w:cs="Times New Roman"/>
                <w:b/>
              </w:rPr>
              <w:t>Location</w:t>
            </w:r>
          </w:p>
        </w:tc>
        <w:tc>
          <w:tcPr>
            <w:tcW w:w="1250" w:type="pct"/>
          </w:tcPr>
          <w:p w14:paraId="6E1C3807" w14:textId="77777777" w:rsidR="00920162" w:rsidRPr="00920162" w:rsidRDefault="00920162" w:rsidP="00567D2E">
            <w:pPr>
              <w:pStyle w:val="Table"/>
              <w:rPr>
                <w:rFonts w:ascii="Times New Roman" w:hAnsi="Times New Roman" w:cs="Times New Roman"/>
              </w:rPr>
            </w:pPr>
            <w:r w:rsidRPr="00920162">
              <w:rPr>
                <w:rFonts w:ascii="Times New Roman" w:hAnsi="Times New Roman" w:cs="Times New Roman"/>
              </w:rPr>
              <w:t>Malden</w:t>
            </w:r>
          </w:p>
        </w:tc>
      </w:tr>
      <w:tr w:rsidR="00920162" w:rsidRPr="00920162" w14:paraId="617AE503" w14:textId="77777777" w:rsidTr="00124B08">
        <w:tc>
          <w:tcPr>
            <w:tcW w:w="1250" w:type="pct"/>
            <w:shd w:val="clear" w:color="auto" w:fill="F2F2F2" w:themeFill="background1" w:themeFillShade="F2"/>
          </w:tcPr>
          <w:p w14:paraId="131F2395" w14:textId="77777777" w:rsidR="00920162" w:rsidRPr="00920162" w:rsidRDefault="00920162" w:rsidP="00567D2E">
            <w:pPr>
              <w:pStyle w:val="Table"/>
              <w:rPr>
                <w:rFonts w:ascii="Times New Roman" w:hAnsi="Times New Roman" w:cs="Times New Roman"/>
                <w:b/>
              </w:rPr>
            </w:pPr>
            <w:r w:rsidRPr="00920162">
              <w:rPr>
                <w:rFonts w:ascii="Times New Roman" w:hAnsi="Times New Roman" w:cs="Times New Roman"/>
                <w:b/>
              </w:rPr>
              <w:t>Regional or Non-Regional</w:t>
            </w:r>
          </w:p>
        </w:tc>
        <w:tc>
          <w:tcPr>
            <w:tcW w:w="1250" w:type="pct"/>
          </w:tcPr>
          <w:p w14:paraId="2CA4D95B" w14:textId="77777777" w:rsidR="00920162" w:rsidRPr="00920162" w:rsidRDefault="00920162" w:rsidP="00567D2E">
            <w:pPr>
              <w:pStyle w:val="Table"/>
              <w:rPr>
                <w:rFonts w:ascii="Times New Roman" w:hAnsi="Times New Roman" w:cs="Times New Roman"/>
              </w:rPr>
            </w:pPr>
            <w:r w:rsidRPr="00920162">
              <w:rPr>
                <w:rFonts w:ascii="Times New Roman" w:hAnsi="Times New Roman" w:cs="Times New Roman"/>
              </w:rPr>
              <w:t>Regional</w:t>
            </w:r>
          </w:p>
        </w:tc>
        <w:tc>
          <w:tcPr>
            <w:tcW w:w="1250" w:type="pct"/>
            <w:shd w:val="clear" w:color="auto" w:fill="F2F2F2" w:themeFill="background1" w:themeFillShade="F2"/>
          </w:tcPr>
          <w:p w14:paraId="4B3343D0" w14:textId="77777777" w:rsidR="00920162" w:rsidRPr="00920162" w:rsidRDefault="00920162" w:rsidP="00567D2E">
            <w:pPr>
              <w:pStyle w:val="Table"/>
              <w:rPr>
                <w:rFonts w:ascii="Times New Roman" w:hAnsi="Times New Roman" w:cs="Times New Roman"/>
                <w:b/>
              </w:rPr>
            </w:pPr>
            <w:r w:rsidRPr="00920162">
              <w:rPr>
                <w:rFonts w:ascii="Times New Roman" w:hAnsi="Times New Roman" w:cs="Times New Roman"/>
                <w:b/>
              </w:rPr>
              <w:t>Districts in Region</w:t>
            </w:r>
          </w:p>
        </w:tc>
        <w:tc>
          <w:tcPr>
            <w:tcW w:w="1250" w:type="pct"/>
          </w:tcPr>
          <w:p w14:paraId="08BD4E8B" w14:textId="77777777" w:rsidR="00920162" w:rsidRPr="00920162" w:rsidRDefault="00920162" w:rsidP="00567D2E">
            <w:pPr>
              <w:pStyle w:val="Table"/>
              <w:rPr>
                <w:rFonts w:ascii="Times New Roman" w:hAnsi="Times New Roman" w:cs="Times New Roman"/>
              </w:rPr>
            </w:pPr>
            <w:r w:rsidRPr="00920162">
              <w:rPr>
                <w:rFonts w:ascii="Times New Roman" w:hAnsi="Times New Roman" w:cs="Times New Roman"/>
              </w:rPr>
              <w:t>Everett, Malden, Medford, Melrose, Stoneham, Wakefield</w:t>
            </w:r>
          </w:p>
        </w:tc>
      </w:tr>
      <w:tr w:rsidR="00920162" w:rsidRPr="00920162" w14:paraId="04E8E1BC" w14:textId="77777777" w:rsidTr="00124B08">
        <w:tc>
          <w:tcPr>
            <w:tcW w:w="1250" w:type="pct"/>
            <w:shd w:val="clear" w:color="auto" w:fill="F2F2F2" w:themeFill="background1" w:themeFillShade="F2"/>
          </w:tcPr>
          <w:p w14:paraId="42B09EF9" w14:textId="77777777" w:rsidR="00920162" w:rsidRPr="00920162" w:rsidRDefault="00920162" w:rsidP="00567D2E">
            <w:pPr>
              <w:pStyle w:val="Table"/>
              <w:rPr>
                <w:rFonts w:ascii="Times New Roman" w:hAnsi="Times New Roman" w:cs="Times New Roman"/>
                <w:b/>
              </w:rPr>
            </w:pPr>
            <w:r w:rsidRPr="00920162">
              <w:rPr>
                <w:rFonts w:ascii="Times New Roman" w:hAnsi="Times New Roman" w:cs="Times New Roman"/>
                <w:b/>
              </w:rPr>
              <w:t>Year Opened</w:t>
            </w:r>
          </w:p>
        </w:tc>
        <w:tc>
          <w:tcPr>
            <w:tcW w:w="1250" w:type="pct"/>
          </w:tcPr>
          <w:p w14:paraId="0CCF8C1B" w14:textId="77777777" w:rsidR="00920162" w:rsidRPr="00920162" w:rsidRDefault="00920162" w:rsidP="00567D2E">
            <w:pPr>
              <w:pStyle w:val="Table"/>
              <w:rPr>
                <w:rFonts w:ascii="Times New Roman" w:hAnsi="Times New Roman" w:cs="Times New Roman"/>
              </w:rPr>
            </w:pPr>
            <w:r w:rsidRPr="00920162">
              <w:rPr>
                <w:rFonts w:ascii="Times New Roman" w:hAnsi="Times New Roman" w:cs="Times New Roman"/>
              </w:rPr>
              <w:t>1998</w:t>
            </w:r>
          </w:p>
        </w:tc>
        <w:tc>
          <w:tcPr>
            <w:tcW w:w="1250" w:type="pct"/>
            <w:shd w:val="clear" w:color="auto" w:fill="F2F2F2" w:themeFill="background1" w:themeFillShade="F2"/>
          </w:tcPr>
          <w:p w14:paraId="113E8C87" w14:textId="77777777" w:rsidR="00920162" w:rsidRPr="00920162" w:rsidRDefault="00920162" w:rsidP="00567D2E">
            <w:pPr>
              <w:pStyle w:val="Table"/>
              <w:rPr>
                <w:rFonts w:ascii="Times New Roman" w:hAnsi="Times New Roman" w:cs="Times New Roman"/>
                <w:b/>
              </w:rPr>
            </w:pPr>
            <w:r w:rsidRPr="00920162">
              <w:rPr>
                <w:rFonts w:ascii="Times New Roman" w:hAnsi="Times New Roman" w:cs="Times New Roman"/>
                <w:b/>
              </w:rPr>
              <w:t>Year(s) Renewed</w:t>
            </w:r>
          </w:p>
        </w:tc>
        <w:tc>
          <w:tcPr>
            <w:tcW w:w="1250" w:type="pct"/>
          </w:tcPr>
          <w:p w14:paraId="27A1CAAC" w14:textId="77777777" w:rsidR="00920162" w:rsidRPr="00920162" w:rsidRDefault="00920162" w:rsidP="00567D2E">
            <w:pPr>
              <w:pStyle w:val="Table"/>
              <w:rPr>
                <w:rFonts w:ascii="Times New Roman" w:hAnsi="Times New Roman" w:cs="Times New Roman"/>
              </w:rPr>
            </w:pPr>
            <w:r w:rsidRPr="00920162">
              <w:rPr>
                <w:rFonts w:ascii="Times New Roman" w:hAnsi="Times New Roman" w:cs="Times New Roman"/>
              </w:rPr>
              <w:t>2003, 2008, 2013, 2018</w:t>
            </w:r>
          </w:p>
        </w:tc>
      </w:tr>
      <w:tr w:rsidR="00920162" w:rsidRPr="00920162" w14:paraId="04FB3354" w14:textId="77777777" w:rsidTr="00124B08">
        <w:tc>
          <w:tcPr>
            <w:tcW w:w="1250" w:type="pct"/>
            <w:shd w:val="clear" w:color="auto" w:fill="F2F2F2" w:themeFill="background1" w:themeFillShade="F2"/>
          </w:tcPr>
          <w:p w14:paraId="75289414" w14:textId="77777777" w:rsidR="00920162" w:rsidRPr="00920162" w:rsidRDefault="00920162" w:rsidP="00567D2E">
            <w:pPr>
              <w:pStyle w:val="Table"/>
              <w:rPr>
                <w:rFonts w:ascii="Times New Roman" w:hAnsi="Times New Roman" w:cs="Times New Roman"/>
                <w:b/>
              </w:rPr>
            </w:pPr>
            <w:r w:rsidRPr="00920162">
              <w:rPr>
                <w:rFonts w:ascii="Times New Roman" w:hAnsi="Times New Roman" w:cs="Times New Roman"/>
                <w:b/>
              </w:rPr>
              <w:t>Maximum Enrollment</w:t>
            </w:r>
          </w:p>
        </w:tc>
        <w:tc>
          <w:tcPr>
            <w:tcW w:w="1250" w:type="pct"/>
          </w:tcPr>
          <w:p w14:paraId="30C5B89B" w14:textId="77777777" w:rsidR="00920162" w:rsidRPr="00920162" w:rsidRDefault="00920162" w:rsidP="00567D2E">
            <w:pPr>
              <w:pStyle w:val="Table"/>
              <w:rPr>
                <w:rFonts w:ascii="Times New Roman" w:hAnsi="Times New Roman" w:cs="Times New Roman"/>
              </w:rPr>
            </w:pPr>
            <w:r w:rsidRPr="00920162">
              <w:rPr>
                <w:rFonts w:ascii="Times New Roman" w:hAnsi="Times New Roman" w:cs="Times New Roman"/>
              </w:rPr>
              <w:t>1,900</w:t>
            </w:r>
          </w:p>
        </w:tc>
        <w:tc>
          <w:tcPr>
            <w:tcW w:w="1250" w:type="pct"/>
            <w:shd w:val="clear" w:color="auto" w:fill="F2F2F2" w:themeFill="background1" w:themeFillShade="F2"/>
          </w:tcPr>
          <w:p w14:paraId="2C47D72B" w14:textId="77777777" w:rsidR="00920162" w:rsidRPr="00920162" w:rsidRDefault="00920162" w:rsidP="00567D2E">
            <w:pPr>
              <w:pStyle w:val="Table"/>
              <w:rPr>
                <w:rFonts w:ascii="Times New Roman" w:hAnsi="Times New Roman" w:cs="Times New Roman"/>
                <w:b/>
              </w:rPr>
            </w:pPr>
            <w:r w:rsidRPr="00920162">
              <w:rPr>
                <w:rFonts w:ascii="Times New Roman" w:hAnsi="Times New Roman" w:cs="Times New Roman"/>
                <w:b/>
              </w:rPr>
              <w:t>Current Enrollment</w:t>
            </w:r>
          </w:p>
        </w:tc>
        <w:tc>
          <w:tcPr>
            <w:tcW w:w="1250" w:type="pct"/>
          </w:tcPr>
          <w:p w14:paraId="5B1663B0" w14:textId="77777777" w:rsidR="00920162" w:rsidRPr="00920162" w:rsidRDefault="00920162" w:rsidP="00567D2E">
            <w:pPr>
              <w:pStyle w:val="Table"/>
              <w:rPr>
                <w:rFonts w:ascii="Times New Roman" w:hAnsi="Times New Roman" w:cs="Times New Roman"/>
              </w:rPr>
            </w:pPr>
            <w:r w:rsidRPr="00920162">
              <w:rPr>
                <w:rFonts w:ascii="Times New Roman" w:hAnsi="Times New Roman" w:cs="Times New Roman"/>
              </w:rPr>
              <w:t>1,629</w:t>
            </w:r>
            <w:r w:rsidRPr="00577A64">
              <w:rPr>
                <w:rStyle w:val="FootnoteReference"/>
                <w:rFonts w:ascii="Times New Roman" w:hAnsi="Times New Roman" w:cs="Times New Roman"/>
                <w:vertAlign w:val="superscript"/>
              </w:rPr>
              <w:footnoteReference w:id="3"/>
            </w:r>
          </w:p>
        </w:tc>
      </w:tr>
      <w:tr w:rsidR="00920162" w:rsidRPr="00920162" w14:paraId="3D91240E" w14:textId="77777777" w:rsidTr="00124B08">
        <w:tc>
          <w:tcPr>
            <w:tcW w:w="1250" w:type="pct"/>
            <w:shd w:val="clear" w:color="auto" w:fill="F2F2F2" w:themeFill="background1" w:themeFillShade="F2"/>
          </w:tcPr>
          <w:p w14:paraId="33ECCF92" w14:textId="77777777" w:rsidR="00920162" w:rsidRPr="00920162" w:rsidRDefault="00920162" w:rsidP="00567D2E">
            <w:pPr>
              <w:pStyle w:val="Table"/>
              <w:rPr>
                <w:rFonts w:ascii="Times New Roman" w:hAnsi="Times New Roman" w:cs="Times New Roman"/>
                <w:b/>
              </w:rPr>
            </w:pPr>
            <w:r w:rsidRPr="00920162">
              <w:rPr>
                <w:rFonts w:ascii="Times New Roman" w:hAnsi="Times New Roman" w:cs="Times New Roman"/>
                <w:b/>
              </w:rPr>
              <w:t>Chartered Grade Span</w:t>
            </w:r>
          </w:p>
        </w:tc>
        <w:tc>
          <w:tcPr>
            <w:tcW w:w="1250" w:type="pct"/>
          </w:tcPr>
          <w:p w14:paraId="1EE3D468" w14:textId="77777777" w:rsidR="00920162" w:rsidRPr="00920162" w:rsidRDefault="00920162" w:rsidP="00567D2E">
            <w:pPr>
              <w:pStyle w:val="Table"/>
              <w:rPr>
                <w:rFonts w:ascii="Times New Roman" w:hAnsi="Times New Roman" w:cs="Times New Roman"/>
              </w:rPr>
            </w:pPr>
            <w:r w:rsidRPr="00920162">
              <w:rPr>
                <w:rFonts w:ascii="Times New Roman" w:hAnsi="Times New Roman" w:cs="Times New Roman"/>
              </w:rPr>
              <w:t>K-12</w:t>
            </w:r>
          </w:p>
        </w:tc>
        <w:tc>
          <w:tcPr>
            <w:tcW w:w="1250" w:type="pct"/>
            <w:shd w:val="clear" w:color="auto" w:fill="F2F2F2" w:themeFill="background1" w:themeFillShade="F2"/>
          </w:tcPr>
          <w:p w14:paraId="25584E62" w14:textId="77777777" w:rsidR="00920162" w:rsidRPr="00920162" w:rsidRDefault="00920162" w:rsidP="00567D2E">
            <w:pPr>
              <w:pStyle w:val="Table"/>
              <w:rPr>
                <w:rFonts w:ascii="Times New Roman" w:hAnsi="Times New Roman" w:cs="Times New Roman"/>
                <w:b/>
              </w:rPr>
            </w:pPr>
            <w:r w:rsidRPr="00920162">
              <w:rPr>
                <w:rFonts w:ascii="Times New Roman" w:hAnsi="Times New Roman" w:cs="Times New Roman"/>
                <w:b/>
              </w:rPr>
              <w:t>Current Grade Span</w:t>
            </w:r>
          </w:p>
        </w:tc>
        <w:tc>
          <w:tcPr>
            <w:tcW w:w="1250" w:type="pct"/>
          </w:tcPr>
          <w:p w14:paraId="47C3CCB5" w14:textId="77777777" w:rsidR="00920162" w:rsidRPr="00920162" w:rsidRDefault="00920162" w:rsidP="00567D2E">
            <w:pPr>
              <w:pStyle w:val="Table"/>
              <w:rPr>
                <w:rFonts w:ascii="Times New Roman" w:hAnsi="Times New Roman" w:cs="Times New Roman"/>
              </w:rPr>
            </w:pPr>
            <w:r w:rsidRPr="00920162">
              <w:rPr>
                <w:rFonts w:ascii="Times New Roman" w:hAnsi="Times New Roman" w:cs="Times New Roman"/>
              </w:rPr>
              <w:t>K-12</w:t>
            </w:r>
          </w:p>
        </w:tc>
      </w:tr>
      <w:tr w:rsidR="00920162" w:rsidRPr="00920162" w14:paraId="42F10F21" w14:textId="77777777" w:rsidTr="00124B08">
        <w:tc>
          <w:tcPr>
            <w:tcW w:w="1250" w:type="pct"/>
            <w:shd w:val="clear" w:color="auto" w:fill="F2F2F2" w:themeFill="background1" w:themeFillShade="F2"/>
          </w:tcPr>
          <w:p w14:paraId="042100EF" w14:textId="77777777" w:rsidR="00920162" w:rsidRPr="00920162" w:rsidRDefault="00920162" w:rsidP="00567D2E">
            <w:pPr>
              <w:pStyle w:val="Table"/>
              <w:rPr>
                <w:rFonts w:ascii="Times New Roman" w:hAnsi="Times New Roman" w:cs="Times New Roman"/>
                <w:b/>
              </w:rPr>
            </w:pPr>
            <w:r w:rsidRPr="00920162">
              <w:rPr>
                <w:rFonts w:ascii="Times New Roman" w:hAnsi="Times New Roman" w:cs="Times New Roman"/>
                <w:b/>
              </w:rPr>
              <w:t>Students on Waitlist</w:t>
            </w:r>
          </w:p>
        </w:tc>
        <w:tc>
          <w:tcPr>
            <w:tcW w:w="1250" w:type="pct"/>
          </w:tcPr>
          <w:p w14:paraId="012D8E1F" w14:textId="7EDE65B4" w:rsidR="00920162" w:rsidRPr="00920162" w:rsidRDefault="00920162" w:rsidP="00567D2E">
            <w:pPr>
              <w:pStyle w:val="Table"/>
              <w:rPr>
                <w:rFonts w:ascii="Times New Roman" w:hAnsi="Times New Roman" w:cs="Times New Roman"/>
              </w:rPr>
            </w:pPr>
            <w:r w:rsidRPr="00920162">
              <w:rPr>
                <w:rFonts w:ascii="Times New Roman" w:hAnsi="Times New Roman" w:cs="Times New Roman"/>
              </w:rPr>
              <w:t>1,</w:t>
            </w:r>
            <w:r w:rsidR="00306240">
              <w:rPr>
                <w:rFonts w:ascii="Times New Roman" w:hAnsi="Times New Roman" w:cs="Times New Roman"/>
              </w:rPr>
              <w:t>443</w:t>
            </w:r>
            <w:r w:rsidRPr="00577A64">
              <w:rPr>
                <w:rStyle w:val="FootnoteReference"/>
                <w:rFonts w:ascii="Times New Roman" w:hAnsi="Times New Roman" w:cs="Times New Roman"/>
                <w:vertAlign w:val="superscript"/>
              </w:rPr>
              <w:footnoteReference w:id="4"/>
            </w:r>
          </w:p>
        </w:tc>
        <w:tc>
          <w:tcPr>
            <w:tcW w:w="1250" w:type="pct"/>
            <w:shd w:val="clear" w:color="auto" w:fill="F2F2F2" w:themeFill="background1" w:themeFillShade="F2"/>
          </w:tcPr>
          <w:p w14:paraId="4BB1DEB4" w14:textId="77777777" w:rsidR="00920162" w:rsidRPr="00920162" w:rsidRDefault="00920162" w:rsidP="00567D2E">
            <w:pPr>
              <w:pStyle w:val="Table"/>
              <w:rPr>
                <w:rFonts w:ascii="Times New Roman" w:hAnsi="Times New Roman" w:cs="Times New Roman"/>
                <w:b/>
              </w:rPr>
            </w:pPr>
            <w:r w:rsidRPr="00920162">
              <w:rPr>
                <w:rFonts w:ascii="Times New Roman" w:hAnsi="Times New Roman" w:cs="Times New Roman"/>
                <w:b/>
              </w:rPr>
              <w:t>Current Age of School</w:t>
            </w:r>
          </w:p>
        </w:tc>
        <w:tc>
          <w:tcPr>
            <w:tcW w:w="1250" w:type="pct"/>
          </w:tcPr>
          <w:p w14:paraId="01B97603" w14:textId="3D6052F2" w:rsidR="00920162" w:rsidRPr="00920162" w:rsidRDefault="00920162" w:rsidP="00567D2E">
            <w:pPr>
              <w:pStyle w:val="Table"/>
              <w:rPr>
                <w:rFonts w:ascii="Times New Roman" w:hAnsi="Times New Roman" w:cs="Times New Roman"/>
              </w:rPr>
            </w:pPr>
            <w:r w:rsidRPr="00920162">
              <w:rPr>
                <w:rFonts w:ascii="Times New Roman" w:hAnsi="Times New Roman" w:cs="Times New Roman"/>
              </w:rPr>
              <w:t>2</w:t>
            </w:r>
            <w:r w:rsidR="008153FD">
              <w:rPr>
                <w:rFonts w:ascii="Times New Roman" w:hAnsi="Times New Roman" w:cs="Times New Roman"/>
              </w:rPr>
              <w:t>4</w:t>
            </w:r>
          </w:p>
        </w:tc>
      </w:tr>
      <w:tr w:rsidR="00920162" w:rsidRPr="00920162" w14:paraId="54713F51" w14:textId="77777777" w:rsidTr="00124B08">
        <w:tc>
          <w:tcPr>
            <w:tcW w:w="5000" w:type="pct"/>
            <w:gridSpan w:val="4"/>
            <w:shd w:val="clear" w:color="auto" w:fill="F2F2F2" w:themeFill="background1" w:themeFillShade="F2"/>
          </w:tcPr>
          <w:p w14:paraId="34DE4E1E" w14:textId="77777777" w:rsidR="00920162" w:rsidRPr="00920162" w:rsidRDefault="00920162" w:rsidP="00567D2E">
            <w:pPr>
              <w:pStyle w:val="Table"/>
              <w:rPr>
                <w:rFonts w:ascii="Times New Roman" w:hAnsi="Times New Roman" w:cs="Times New Roman"/>
                <w:b/>
              </w:rPr>
            </w:pPr>
            <w:r w:rsidRPr="00920162">
              <w:rPr>
                <w:rFonts w:ascii="Times New Roman" w:hAnsi="Times New Roman" w:cs="Times New Roman"/>
                <w:b/>
              </w:rPr>
              <w:t xml:space="preserve">Mission Statement: </w:t>
            </w:r>
          </w:p>
          <w:p w14:paraId="4F67994F" w14:textId="77777777" w:rsidR="00920162" w:rsidRPr="00920162" w:rsidRDefault="00920162" w:rsidP="00567D2E">
            <w:pPr>
              <w:pStyle w:val="Table"/>
              <w:rPr>
                <w:rFonts w:ascii="Times New Roman" w:hAnsi="Times New Roman" w:cs="Times New Roman"/>
              </w:rPr>
            </w:pPr>
            <w:r w:rsidRPr="00920162">
              <w:rPr>
                <w:rFonts w:ascii="Times New Roman" w:hAnsi="Times New Roman" w:cs="Times New Roman"/>
              </w:rPr>
              <w:t>The Mission of the Mystic Valley Regional Charter School is to provide the opportunity of a world class education characterized by a well-mannered, disciplined and structured academic climate. Central to Mystic Valley's academic environment is the incorporation of selected core virtues and the fundamental ideals of our American Culture, which are embodied in the Declaration of Independence and the United States Constitution.</w:t>
            </w:r>
          </w:p>
        </w:tc>
      </w:tr>
    </w:tbl>
    <w:p w14:paraId="3968E491" w14:textId="77777777" w:rsidR="00AD4106" w:rsidRDefault="00AD4106" w:rsidP="00567D2E">
      <w:pPr>
        <w:pStyle w:val="NormalWeb"/>
        <w:shd w:val="clear" w:color="auto" w:fill="FFFFFF"/>
        <w:spacing w:before="0" w:beforeAutospacing="0" w:after="0" w:afterAutospacing="0"/>
        <w:rPr>
          <w:color w:val="222222"/>
        </w:rPr>
      </w:pPr>
    </w:p>
    <w:p w14:paraId="523AC16D" w14:textId="4753AE89" w:rsidR="00347711" w:rsidRDefault="00347711" w:rsidP="00567D2E">
      <w:pPr>
        <w:pStyle w:val="NormalWeb"/>
        <w:shd w:val="clear" w:color="auto" w:fill="FFFFFF"/>
        <w:spacing w:before="0" w:beforeAutospacing="0" w:after="0" w:afterAutospacing="0"/>
        <w:rPr>
          <w:color w:val="222222"/>
        </w:rPr>
      </w:pPr>
      <w:r>
        <w:rPr>
          <w:color w:val="222222"/>
        </w:rPr>
        <w:t xml:space="preserve">In support of its request for a waiver of </w:t>
      </w:r>
      <w:r w:rsidR="00C632A0">
        <w:rPr>
          <w:color w:val="222222"/>
        </w:rPr>
        <w:t xml:space="preserve">603 CMR </w:t>
      </w:r>
      <w:r w:rsidR="00110739">
        <w:rPr>
          <w:color w:val="222222"/>
        </w:rPr>
        <w:t>1.11(2)</w:t>
      </w:r>
      <w:r w:rsidR="00C632A0">
        <w:rPr>
          <w:color w:val="222222"/>
        </w:rPr>
        <w:t>,</w:t>
      </w:r>
      <w:r w:rsidR="00CA2561" w:rsidRPr="00CA2561">
        <w:rPr>
          <w:color w:val="222222"/>
          <w:vertAlign w:val="superscript"/>
        </w:rPr>
        <w:footnoteReference w:id="5"/>
      </w:r>
      <w:r w:rsidR="00CA2561" w:rsidRPr="00CA2561">
        <w:rPr>
          <w:color w:val="222222"/>
        </w:rPr>
        <w:t xml:space="preserve"> </w:t>
      </w:r>
      <w:r w:rsidR="00C632A0">
        <w:rPr>
          <w:color w:val="222222"/>
        </w:rPr>
        <w:t xml:space="preserve">MVRCS </w:t>
      </w:r>
      <w:r w:rsidR="00C85EDD">
        <w:rPr>
          <w:color w:val="222222"/>
        </w:rPr>
        <w:t xml:space="preserve">asserts that the </w:t>
      </w:r>
      <w:hyperlink r:id="rId14" w:history="1">
        <w:r w:rsidR="00513056" w:rsidRPr="00FC54AA">
          <w:rPr>
            <w:rStyle w:val="Hyperlink"/>
          </w:rPr>
          <w:t>Charter School Performance Criteria</w:t>
        </w:r>
      </w:hyperlink>
      <w:r w:rsidR="00513056">
        <w:rPr>
          <w:color w:val="222222"/>
        </w:rPr>
        <w:t xml:space="preserve"> (Criteria) </w:t>
      </w:r>
      <w:r w:rsidR="009451F7">
        <w:rPr>
          <w:color w:val="222222"/>
        </w:rPr>
        <w:t xml:space="preserve">of </w:t>
      </w:r>
      <w:r w:rsidR="009451F7" w:rsidRPr="009451F7">
        <w:rPr>
          <w:color w:val="222222"/>
        </w:rPr>
        <w:t xml:space="preserve">Department of Elementary and Secondary Education (Department) </w:t>
      </w:r>
      <w:r w:rsidR="00C85EDD">
        <w:rPr>
          <w:color w:val="222222"/>
        </w:rPr>
        <w:t xml:space="preserve">conflict with the school’s mission and approved accountability plan. </w:t>
      </w:r>
      <w:r w:rsidR="003B7170">
        <w:rPr>
          <w:color w:val="222222"/>
        </w:rPr>
        <w:t>The school’s request is attached.</w:t>
      </w:r>
      <w:r w:rsidR="003B7170" w:rsidRPr="00886840">
        <w:rPr>
          <w:rStyle w:val="FootnoteReference"/>
          <w:color w:val="222222"/>
          <w:vertAlign w:val="superscript"/>
        </w:rPr>
        <w:footnoteReference w:id="6"/>
      </w:r>
      <w:r w:rsidR="003B7170">
        <w:rPr>
          <w:color w:val="222222"/>
        </w:rPr>
        <w:t xml:space="preserve"> </w:t>
      </w:r>
      <w:r w:rsidR="002B4B2F">
        <w:rPr>
          <w:color w:val="222222"/>
        </w:rPr>
        <w:t>The school’s mission, quoted in full above, incorporates “</w:t>
      </w:r>
      <w:r w:rsidR="002B4B2F" w:rsidRPr="002B4B2F">
        <w:rPr>
          <w:color w:val="222222"/>
        </w:rPr>
        <w:t>selected core virtues and the fundamental ideals of our American Culture, which are embodied in the Declaration of Independence and the United States Constitution</w:t>
      </w:r>
      <w:r w:rsidR="002B4B2F">
        <w:rPr>
          <w:color w:val="222222"/>
        </w:rPr>
        <w:t>.” The school’s accountability plan</w:t>
      </w:r>
      <w:r w:rsidR="006D6B9A">
        <w:rPr>
          <w:color w:val="222222"/>
        </w:rPr>
        <w:t>, specifically the third objective states as follows.</w:t>
      </w:r>
    </w:p>
    <w:p w14:paraId="5C2FDD52" w14:textId="32D9337D" w:rsidR="006D6B9A" w:rsidRDefault="006D6B9A" w:rsidP="00567D2E">
      <w:pPr>
        <w:pStyle w:val="NormalWeb"/>
        <w:shd w:val="clear" w:color="auto" w:fill="FFFFFF"/>
        <w:spacing w:before="0" w:beforeAutospacing="0" w:after="0" w:afterAutospacing="0"/>
        <w:rPr>
          <w:color w:val="222222"/>
        </w:rPr>
      </w:pPr>
    </w:p>
    <w:p w14:paraId="51990013" w14:textId="532532B3" w:rsidR="006D6B9A" w:rsidRPr="006D6B9A" w:rsidRDefault="006D6B9A" w:rsidP="00513056">
      <w:pPr>
        <w:pStyle w:val="NormalWeb"/>
        <w:shd w:val="clear" w:color="auto" w:fill="FFFFFF"/>
        <w:spacing w:before="0" w:beforeAutospacing="0" w:after="0" w:afterAutospacing="0"/>
        <w:ind w:left="720"/>
        <w:rPr>
          <w:color w:val="222222"/>
        </w:rPr>
      </w:pPr>
      <w:r w:rsidRPr="00886840">
        <w:rPr>
          <w:b/>
          <w:bCs/>
        </w:rPr>
        <w:t xml:space="preserve">Objective: </w:t>
      </w:r>
      <w:r w:rsidRPr="00886840">
        <w:rPr>
          <w:iCs/>
        </w:rPr>
        <w:t>The students at Mystic Valley will thoroughly understand the Declaration of Independence and t</w:t>
      </w:r>
      <w:r w:rsidR="00AE58FE" w:rsidRPr="00AE58FE">
        <w:rPr>
          <w:iCs/>
        </w:rPr>
        <w:t>he United States Constitution.</w:t>
      </w:r>
      <w:r w:rsidR="00AE58FE">
        <w:rPr>
          <w:iCs/>
        </w:rPr>
        <w:t xml:space="preserve"> </w:t>
      </w:r>
      <w:r w:rsidRPr="00886840">
        <w:rPr>
          <w:iCs/>
        </w:rPr>
        <w:t>As per its Charter and Strategic Plan, the school will maintain a thoroughly American identity. The school will celebrate American Exceptionalism and will embrace the melting pot theory by highlighting our citizens’ and students’ commonality, not their differences, within school programming</w:t>
      </w:r>
      <w:r w:rsidR="00513056">
        <w:rPr>
          <w:iCs/>
        </w:rPr>
        <w:t>.</w:t>
      </w:r>
    </w:p>
    <w:p w14:paraId="5786A052" w14:textId="77777777" w:rsidR="00347711" w:rsidRDefault="00347711" w:rsidP="00567D2E">
      <w:pPr>
        <w:pStyle w:val="NormalWeb"/>
        <w:shd w:val="clear" w:color="auto" w:fill="FFFFFF"/>
        <w:spacing w:before="0" w:beforeAutospacing="0" w:after="0" w:afterAutospacing="0"/>
        <w:rPr>
          <w:color w:val="222222"/>
        </w:rPr>
      </w:pPr>
    </w:p>
    <w:p w14:paraId="5844AE82" w14:textId="3AD4B801" w:rsidR="00347711" w:rsidRDefault="00773E7A" w:rsidP="00567D2E">
      <w:pPr>
        <w:pStyle w:val="NormalWeb"/>
        <w:shd w:val="clear" w:color="auto" w:fill="FFFFFF"/>
        <w:spacing w:before="0" w:beforeAutospacing="0" w:after="0" w:afterAutospacing="0"/>
        <w:rPr>
          <w:color w:val="222222"/>
        </w:rPr>
      </w:pPr>
      <w:r>
        <w:rPr>
          <w:color w:val="222222"/>
        </w:rPr>
        <w:t xml:space="preserve">The school asserts that its mission statement and accountability plan conflict with </w:t>
      </w:r>
      <w:r w:rsidR="00FC54AA">
        <w:rPr>
          <w:color w:val="222222"/>
        </w:rPr>
        <w:t>provisions of the</w:t>
      </w:r>
      <w:r w:rsidR="00FC54AA" w:rsidRPr="00FC54AA">
        <w:rPr>
          <w:color w:val="222222"/>
        </w:rPr>
        <w:t xml:space="preserve"> </w:t>
      </w:r>
      <w:hyperlink r:id="rId15" w:history="1">
        <w:r w:rsidR="00513056">
          <w:rPr>
            <w:rStyle w:val="Hyperlink"/>
          </w:rPr>
          <w:t>Criteria</w:t>
        </w:r>
      </w:hyperlink>
      <w:r w:rsidR="00FC54AA" w:rsidRPr="00FC54AA">
        <w:rPr>
          <w:color w:val="222222"/>
        </w:rPr>
        <w:t xml:space="preserve"> </w:t>
      </w:r>
      <w:r w:rsidR="00FC54AA">
        <w:rPr>
          <w:color w:val="222222"/>
        </w:rPr>
        <w:t>relating to cultural responsiveness and cultural proficiency.</w:t>
      </w:r>
      <w:r w:rsidR="00A26505">
        <w:rPr>
          <w:color w:val="222222"/>
        </w:rPr>
        <w:t xml:space="preserve"> Therefore, MVRCS requests waiver of the regulation</w:t>
      </w:r>
      <w:r w:rsidR="00F078D7">
        <w:rPr>
          <w:color w:val="222222"/>
        </w:rPr>
        <w:t xml:space="preserve">, </w:t>
      </w:r>
      <w:r w:rsidR="00F078D7" w:rsidRPr="00F078D7">
        <w:rPr>
          <w:color w:val="222222"/>
        </w:rPr>
        <w:t>603 CMR 1.11(2)</w:t>
      </w:r>
      <w:r w:rsidR="00F078D7">
        <w:rPr>
          <w:color w:val="222222"/>
        </w:rPr>
        <w:t>,</w:t>
      </w:r>
      <w:r w:rsidR="00A26505">
        <w:rPr>
          <w:color w:val="222222"/>
        </w:rPr>
        <w:t xml:space="preserve"> that</w:t>
      </w:r>
      <w:r w:rsidR="003F4849">
        <w:rPr>
          <w:color w:val="222222"/>
        </w:rPr>
        <w:t xml:space="preserve"> requires evaluation of all charter schools based on</w:t>
      </w:r>
      <w:r w:rsidR="003F4849" w:rsidRPr="003F4849">
        <w:rPr>
          <w:color w:val="222222"/>
        </w:rPr>
        <w:t xml:space="preserve"> </w:t>
      </w:r>
      <w:r w:rsidR="003F4849">
        <w:rPr>
          <w:color w:val="222222"/>
        </w:rPr>
        <w:t xml:space="preserve">“the </w:t>
      </w:r>
      <w:r w:rsidR="003F4849" w:rsidRPr="003F4849">
        <w:rPr>
          <w:color w:val="222222"/>
        </w:rPr>
        <w:t>same performance criteria as provided in the guidelines, provided, however, that the criteria will take into account each school's charter and accountability plan</w:t>
      </w:r>
      <w:r w:rsidR="003F4849">
        <w:rPr>
          <w:color w:val="222222"/>
        </w:rPr>
        <w:t xml:space="preserve">.” </w:t>
      </w:r>
    </w:p>
    <w:p w14:paraId="79E0391F" w14:textId="77777777" w:rsidR="00347711" w:rsidRDefault="00347711" w:rsidP="00567D2E">
      <w:pPr>
        <w:pStyle w:val="NormalWeb"/>
        <w:shd w:val="clear" w:color="auto" w:fill="FFFFFF"/>
        <w:spacing w:before="0" w:beforeAutospacing="0" w:after="0" w:afterAutospacing="0"/>
        <w:rPr>
          <w:color w:val="222222"/>
        </w:rPr>
      </w:pPr>
    </w:p>
    <w:p w14:paraId="3971E31A" w14:textId="16A35AEE" w:rsidR="00347711" w:rsidRPr="00886840" w:rsidRDefault="009733CB" w:rsidP="00567D2E">
      <w:pPr>
        <w:pStyle w:val="NormalWeb"/>
        <w:shd w:val="clear" w:color="auto" w:fill="FFFFFF"/>
        <w:spacing w:before="0" w:beforeAutospacing="0" w:after="0" w:afterAutospacing="0"/>
        <w:rPr>
          <w:b/>
          <w:color w:val="222222"/>
          <w:u w:val="single"/>
        </w:rPr>
      </w:pPr>
      <w:r w:rsidRPr="00886840">
        <w:rPr>
          <w:b/>
          <w:color w:val="222222"/>
          <w:u w:val="single"/>
        </w:rPr>
        <w:t>Charter School Performance Criteria</w:t>
      </w:r>
    </w:p>
    <w:p w14:paraId="3F1BA172" w14:textId="77777777" w:rsidR="009733CB" w:rsidRDefault="009733CB" w:rsidP="00567D2E">
      <w:pPr>
        <w:pStyle w:val="NormalWeb"/>
        <w:shd w:val="clear" w:color="auto" w:fill="FFFFFF"/>
        <w:spacing w:before="0" w:beforeAutospacing="0" w:after="0" w:afterAutospacing="0"/>
        <w:rPr>
          <w:color w:val="222222"/>
        </w:rPr>
      </w:pPr>
    </w:p>
    <w:p w14:paraId="09EDC093" w14:textId="0FB11D37" w:rsidR="00AD4106" w:rsidRPr="00AD4106" w:rsidRDefault="00AD4106" w:rsidP="00567D2E">
      <w:pPr>
        <w:pStyle w:val="NormalWeb"/>
        <w:shd w:val="clear" w:color="auto" w:fill="FFFFFF"/>
        <w:spacing w:before="0" w:beforeAutospacing="0"/>
        <w:rPr>
          <w:color w:val="222222"/>
        </w:rPr>
      </w:pPr>
      <w:r w:rsidRPr="00D42CFE">
        <w:rPr>
          <w:color w:val="222222"/>
        </w:rPr>
        <w:t>The</w:t>
      </w:r>
      <w:r w:rsidR="009733CB">
        <w:rPr>
          <w:color w:val="222222"/>
        </w:rPr>
        <w:t xml:space="preserve"> </w:t>
      </w:r>
      <w:r w:rsidR="00513056">
        <w:rPr>
          <w:color w:val="222222"/>
        </w:rPr>
        <w:t>Criteria</w:t>
      </w:r>
      <w:r w:rsidR="009733CB">
        <w:rPr>
          <w:color w:val="222222"/>
        </w:rPr>
        <w:t xml:space="preserve"> </w:t>
      </w:r>
      <w:r w:rsidR="00A47479" w:rsidRPr="00D42CFE">
        <w:rPr>
          <w:color w:val="222222"/>
        </w:rPr>
        <w:t xml:space="preserve">provide </w:t>
      </w:r>
      <w:r w:rsidR="005B41B9">
        <w:rPr>
          <w:color w:val="222222"/>
        </w:rPr>
        <w:t xml:space="preserve">additional detail for the </w:t>
      </w:r>
      <w:r w:rsidRPr="00D42CFE">
        <w:rPr>
          <w:color w:val="222222"/>
        </w:rPr>
        <w:t>three guiding areas of charter school accountability</w:t>
      </w:r>
      <w:r w:rsidR="00092C82">
        <w:rPr>
          <w:color w:val="222222"/>
        </w:rPr>
        <w:t>.</w:t>
      </w:r>
      <w:r w:rsidRPr="00D42CFE">
        <w:rPr>
          <w:color w:val="222222"/>
        </w:rPr>
        <w:t xml:space="preserve"> </w:t>
      </w:r>
      <w:r w:rsidR="00092C82">
        <w:rPr>
          <w:color w:val="222222"/>
        </w:rPr>
        <w:t xml:space="preserve">These three areas are </w:t>
      </w:r>
      <w:r w:rsidRPr="00D42CFE">
        <w:rPr>
          <w:color w:val="222222"/>
        </w:rPr>
        <w:t>faithfulness to charter, academic program success, and organizational viability.</w:t>
      </w:r>
      <w:r w:rsidR="0040359F">
        <w:rPr>
          <w:color w:val="222222"/>
        </w:rPr>
        <w:t xml:space="preserve"> </w:t>
      </w:r>
      <w:r w:rsidRPr="00AD4106">
        <w:rPr>
          <w:color w:val="222222"/>
        </w:rPr>
        <w:t>The purposes of the Criteria are</w:t>
      </w:r>
      <w:r w:rsidR="00890D5A">
        <w:rPr>
          <w:color w:val="222222"/>
        </w:rPr>
        <w:t>:</w:t>
      </w:r>
    </w:p>
    <w:p w14:paraId="01018765" w14:textId="7A0CC58F" w:rsidR="00AD4106" w:rsidRPr="00AD4106" w:rsidRDefault="00C94FA9" w:rsidP="00567D2E">
      <w:pPr>
        <w:widowControl/>
        <w:numPr>
          <w:ilvl w:val="0"/>
          <w:numId w:val="25"/>
        </w:numPr>
        <w:shd w:val="clear" w:color="auto" w:fill="FFFFFF"/>
        <w:spacing w:before="100" w:beforeAutospacing="1" w:after="100" w:afterAutospacing="1"/>
        <w:rPr>
          <w:color w:val="212529"/>
        </w:rPr>
      </w:pPr>
      <w:r>
        <w:rPr>
          <w:color w:val="212529"/>
        </w:rPr>
        <w:t>t</w:t>
      </w:r>
      <w:r w:rsidR="0040359F">
        <w:rPr>
          <w:color w:val="212529"/>
        </w:rPr>
        <w:t>o a</w:t>
      </w:r>
      <w:r w:rsidR="00AD4106" w:rsidRPr="00AD4106">
        <w:rPr>
          <w:color w:val="212529"/>
        </w:rPr>
        <w:t>rticulate the expectations for all aspects of charter school accountability, from the application process to the renewal process;</w:t>
      </w:r>
    </w:p>
    <w:p w14:paraId="32B3E5D0" w14:textId="1AB22121" w:rsidR="00AD4106" w:rsidRPr="00AD4106" w:rsidRDefault="00C94FA9" w:rsidP="00567D2E">
      <w:pPr>
        <w:widowControl/>
        <w:numPr>
          <w:ilvl w:val="0"/>
          <w:numId w:val="25"/>
        </w:numPr>
        <w:shd w:val="clear" w:color="auto" w:fill="FFFFFF"/>
        <w:spacing w:before="100" w:beforeAutospacing="1" w:after="100" w:afterAutospacing="1"/>
        <w:rPr>
          <w:color w:val="212529"/>
        </w:rPr>
      </w:pPr>
      <w:r>
        <w:rPr>
          <w:color w:val="212529"/>
        </w:rPr>
        <w:t>t</w:t>
      </w:r>
      <w:r w:rsidR="0040359F">
        <w:rPr>
          <w:color w:val="212529"/>
        </w:rPr>
        <w:t>o p</w:t>
      </w:r>
      <w:r w:rsidR="00AD4106" w:rsidRPr="00AD4106">
        <w:rPr>
          <w:color w:val="212529"/>
        </w:rPr>
        <w:t>rovide charter schools with clear guidance about how the Board</w:t>
      </w:r>
      <w:r w:rsidR="00513056">
        <w:rPr>
          <w:color w:val="212529"/>
        </w:rPr>
        <w:t xml:space="preserve">, </w:t>
      </w:r>
      <w:r w:rsidR="00AD4106" w:rsidRPr="00AD4106">
        <w:rPr>
          <w:color w:val="212529"/>
        </w:rPr>
        <w:t>the Department</w:t>
      </w:r>
      <w:r w:rsidR="00BA3348">
        <w:rPr>
          <w:color w:val="212529"/>
        </w:rPr>
        <w:t>,</w:t>
      </w:r>
      <w:r w:rsidR="00B413C0">
        <w:rPr>
          <w:color w:val="212529"/>
        </w:rPr>
        <w:t xml:space="preserve"> </w:t>
      </w:r>
      <w:r w:rsidR="00AD4106" w:rsidRPr="00AD4106">
        <w:rPr>
          <w:color w:val="212529"/>
        </w:rPr>
        <w:t>and the Commissioner of Elementary and Secondary Education (Commissioner) define charter school success and on what basis charter schools will be evaluated; and</w:t>
      </w:r>
    </w:p>
    <w:p w14:paraId="3A843847" w14:textId="3E98ABA5" w:rsidR="00AD4106" w:rsidRPr="00AD4106" w:rsidRDefault="000A29A0" w:rsidP="00567D2E">
      <w:pPr>
        <w:widowControl/>
        <w:numPr>
          <w:ilvl w:val="0"/>
          <w:numId w:val="25"/>
        </w:numPr>
        <w:shd w:val="clear" w:color="auto" w:fill="FFFFFF"/>
        <w:spacing w:before="100" w:beforeAutospacing="1" w:after="100" w:afterAutospacing="1"/>
        <w:rPr>
          <w:color w:val="212529"/>
        </w:rPr>
      </w:pPr>
      <w:r>
        <w:rPr>
          <w:color w:val="212529"/>
        </w:rPr>
        <w:t>to c</w:t>
      </w:r>
      <w:r w:rsidR="00AD4106" w:rsidRPr="00AD4106">
        <w:rPr>
          <w:color w:val="212529"/>
        </w:rPr>
        <w:t>larify the connections between Massachusetts charter school accountability and state and federal accountability standards.</w:t>
      </w:r>
    </w:p>
    <w:p w14:paraId="443FE233" w14:textId="3EAD9D98" w:rsidR="00AD4106" w:rsidRPr="00AD4106" w:rsidRDefault="00AD4106" w:rsidP="00567D2E">
      <w:pPr>
        <w:pStyle w:val="NormalWeb"/>
        <w:shd w:val="clear" w:color="auto" w:fill="FFFFFF"/>
        <w:spacing w:before="0" w:beforeAutospacing="0"/>
        <w:rPr>
          <w:color w:val="222222"/>
        </w:rPr>
      </w:pPr>
      <w:r w:rsidRPr="00AD4106">
        <w:rPr>
          <w:color w:val="222222"/>
        </w:rPr>
        <w:t>The Criteria were first developed in 2005 and revised in 2010</w:t>
      </w:r>
      <w:r w:rsidR="004B48DA">
        <w:rPr>
          <w:color w:val="222222"/>
        </w:rPr>
        <w:t xml:space="preserve"> and in 2018</w:t>
      </w:r>
      <w:r w:rsidRPr="00AD4106">
        <w:rPr>
          <w:color w:val="222222"/>
        </w:rPr>
        <w:t xml:space="preserve">. The </w:t>
      </w:r>
      <w:r w:rsidR="00AD5A6C">
        <w:rPr>
          <w:color w:val="222222"/>
        </w:rPr>
        <w:t>revisions are</w:t>
      </w:r>
      <w:r w:rsidR="00F96220">
        <w:rPr>
          <w:color w:val="222222"/>
        </w:rPr>
        <w:t xml:space="preserve"> based on </w:t>
      </w:r>
      <w:r w:rsidRPr="00AD4106">
        <w:rPr>
          <w:color w:val="222222"/>
        </w:rPr>
        <w:t>best practices from other charter school authorizers</w:t>
      </w:r>
      <w:r w:rsidR="00AD5A6C">
        <w:rPr>
          <w:color w:val="222222"/>
        </w:rPr>
        <w:t xml:space="preserve"> with high quality charter schools</w:t>
      </w:r>
      <w:r w:rsidRPr="00AD4106">
        <w:rPr>
          <w:color w:val="222222"/>
        </w:rPr>
        <w:t xml:space="preserve">. </w:t>
      </w:r>
      <w:r w:rsidR="00AF1AE4">
        <w:rPr>
          <w:color w:val="222222"/>
        </w:rPr>
        <w:t xml:space="preserve">The </w:t>
      </w:r>
      <w:r w:rsidRPr="00AD4106">
        <w:rPr>
          <w:color w:val="222222"/>
        </w:rPr>
        <w:t xml:space="preserve">2018 </w:t>
      </w:r>
      <w:r w:rsidR="00AF1AE4">
        <w:rPr>
          <w:color w:val="222222"/>
        </w:rPr>
        <w:t xml:space="preserve">revision </w:t>
      </w:r>
      <w:r w:rsidRPr="00AD4106">
        <w:rPr>
          <w:color w:val="222222"/>
        </w:rPr>
        <w:t>include</w:t>
      </w:r>
      <w:r w:rsidR="0057048E">
        <w:rPr>
          <w:color w:val="222222"/>
        </w:rPr>
        <w:t>s</w:t>
      </w:r>
      <w:r w:rsidRPr="00AD4106">
        <w:rPr>
          <w:color w:val="222222"/>
        </w:rPr>
        <w:t xml:space="preserve"> clear guidelines for charter schools to </w:t>
      </w:r>
      <w:r w:rsidR="00AF1AE4">
        <w:rPr>
          <w:color w:val="222222"/>
        </w:rPr>
        <w:t>narrow</w:t>
      </w:r>
      <w:r w:rsidRPr="00AD4106">
        <w:rPr>
          <w:color w:val="222222"/>
        </w:rPr>
        <w:t xml:space="preserve"> persistent achievement, access, and opportunity gaps experienced by historically underserved students.</w:t>
      </w:r>
      <w:r w:rsidR="00623231">
        <w:rPr>
          <w:color w:val="222222"/>
        </w:rPr>
        <w:t xml:space="preserve"> The 2018 revision </w:t>
      </w:r>
      <w:r w:rsidR="00D0058D">
        <w:rPr>
          <w:color w:val="222222"/>
        </w:rPr>
        <w:t xml:space="preserve">aligned the Criteria with expectations outlined in the Department’s </w:t>
      </w:r>
      <w:hyperlink r:id="rId16" w:anchor="search=%22district%20standards%20indicators%22" w:history="1">
        <w:r w:rsidR="00D0058D" w:rsidRPr="00D0058D">
          <w:rPr>
            <w:rStyle w:val="Hyperlink"/>
          </w:rPr>
          <w:t>District Standards and Indicators</w:t>
        </w:r>
      </w:hyperlink>
      <w:r w:rsidR="002438EE" w:rsidRPr="00123D3D">
        <w:rPr>
          <w:rStyle w:val="Hyperlink"/>
          <w:u w:val="none"/>
        </w:rPr>
        <w:t xml:space="preserve"> </w:t>
      </w:r>
      <w:r w:rsidR="002438EE" w:rsidRPr="00123D3D">
        <w:rPr>
          <w:rStyle w:val="Hyperlink"/>
          <w:color w:val="auto"/>
          <w:u w:val="none"/>
        </w:rPr>
        <w:t>and are consistent with</w:t>
      </w:r>
      <w:r w:rsidR="002438EE" w:rsidRPr="00123D3D">
        <w:rPr>
          <w:lang w:bidi="en-US"/>
        </w:rPr>
        <w:t xml:space="preserve"> </w:t>
      </w:r>
      <w:r w:rsidR="002438EE" w:rsidRPr="002438EE">
        <w:rPr>
          <w:color w:val="222222"/>
          <w:lang w:bidi="en-US"/>
        </w:rPr>
        <w:t xml:space="preserve">the </w:t>
      </w:r>
      <w:hyperlink r:id="rId17" w:history="1">
        <w:r w:rsidR="002438EE" w:rsidRPr="002438EE">
          <w:rPr>
            <w:rStyle w:val="Hyperlink"/>
            <w:lang w:bidi="en-US"/>
          </w:rPr>
          <w:t>Massachusetts Standards and Indicators for Effective Teaching Practice</w:t>
        </w:r>
      </w:hyperlink>
      <w:r w:rsidR="002438EE">
        <w:rPr>
          <w:color w:val="222222"/>
        </w:rPr>
        <w:t xml:space="preserve"> and the Massachusetts Curriculum Standards</w:t>
      </w:r>
      <w:r w:rsidR="007F6E38">
        <w:rPr>
          <w:color w:val="222222"/>
        </w:rPr>
        <w:t>, in particular the</w:t>
      </w:r>
      <w:r w:rsidR="007F6E38">
        <w:t xml:space="preserve"> </w:t>
      </w:r>
      <w:hyperlink r:id="rId18" w:history="1">
        <w:r w:rsidR="007F6E38" w:rsidRPr="00513056">
          <w:rPr>
            <w:rStyle w:val="Hyperlink"/>
          </w:rPr>
          <w:t>History and Social Science Curriculum Framework</w:t>
        </w:r>
      </w:hyperlink>
      <w:r w:rsidR="007F6E38">
        <w:t>.</w:t>
      </w:r>
      <w:r w:rsidR="00022207">
        <w:t xml:space="preserve"> </w:t>
      </w:r>
      <w:r w:rsidR="00022207" w:rsidRPr="003F105B">
        <w:rPr>
          <w:i/>
        </w:rPr>
        <w:t>See also</w:t>
      </w:r>
      <w:r w:rsidR="00022207">
        <w:t xml:space="preserve"> </w:t>
      </w:r>
      <w:hyperlink r:id="rId19" w:history="1">
        <w:r w:rsidR="00022207" w:rsidRPr="001072DC">
          <w:rPr>
            <w:rStyle w:val="Hyperlink"/>
          </w:rPr>
          <w:t>“Race, Racism, and Culturally Responsive Teaching in History and Social Science in Massachusetts: Frequently Asked Questions</w:t>
        </w:r>
        <w:r w:rsidR="001072DC" w:rsidRPr="001072DC">
          <w:rPr>
            <w:rStyle w:val="Hyperlink"/>
          </w:rPr>
          <w:t>.</w:t>
        </w:r>
        <w:r w:rsidR="00524EC4" w:rsidRPr="001072DC">
          <w:rPr>
            <w:rStyle w:val="Hyperlink"/>
          </w:rPr>
          <w:t>”</w:t>
        </w:r>
      </w:hyperlink>
      <w:r w:rsidR="00524EC4">
        <w:t xml:space="preserve"> </w:t>
      </w:r>
    </w:p>
    <w:p w14:paraId="7B46722B" w14:textId="419E66F6" w:rsidR="00AB5D4F" w:rsidRDefault="00AD4106" w:rsidP="00567D2E">
      <w:pPr>
        <w:pStyle w:val="NormalWeb"/>
        <w:shd w:val="clear" w:color="auto" w:fill="FFFFFF"/>
        <w:spacing w:before="0" w:beforeAutospacing="0"/>
        <w:rPr>
          <w:color w:val="222222"/>
        </w:rPr>
      </w:pPr>
      <w:r w:rsidRPr="00AD4106">
        <w:rPr>
          <w:color w:val="222222"/>
        </w:rPr>
        <w:t xml:space="preserve">There are ten (10) Criteria that define expected performance in the three guiding areas of charter school accountability. </w:t>
      </w:r>
      <w:r w:rsidR="00ED1D53">
        <w:rPr>
          <w:color w:val="222222"/>
        </w:rPr>
        <w:t xml:space="preserve">The Criteria define cultural responsiveness and cultural proficiency </w:t>
      </w:r>
      <w:r w:rsidR="00AB5D4F">
        <w:rPr>
          <w:color w:val="222222"/>
        </w:rPr>
        <w:t xml:space="preserve">as follows. </w:t>
      </w:r>
    </w:p>
    <w:p w14:paraId="76AE5E4D" w14:textId="77777777" w:rsidR="00AB5D4F" w:rsidRPr="00AB5D4F" w:rsidRDefault="00AB5D4F" w:rsidP="00886840">
      <w:pPr>
        <w:pStyle w:val="NormalWeb"/>
        <w:shd w:val="clear" w:color="auto" w:fill="FFFFFF"/>
        <w:ind w:left="720"/>
        <w:rPr>
          <w:color w:val="222222"/>
        </w:rPr>
      </w:pPr>
      <w:r w:rsidRPr="00AB5D4F">
        <w:rPr>
          <w:b/>
          <w:color w:val="222222"/>
        </w:rPr>
        <w:t>Culturally proficient and culturally responsive</w:t>
      </w:r>
      <w:r w:rsidRPr="00AB5D4F">
        <w:rPr>
          <w:color w:val="222222"/>
        </w:rPr>
        <w:t>: Culturally proficient policies and practices enable staff members and students to interact effectively in a culturally diverse environment in which students’ backgrounds, identities, strengths, and challenges are respected. Cultural responsiveness is an approach to viewing culture and identity as assets, including students’ race, ethnicity, or linguistic assets, among other characteristics. Culturally responsive policies and practices acknowledge and actively draw upon diverse backgrounds, identities, strengths, and challenges of administrators, students, staff, and community as a way to deepen connections between the school and its community.</w:t>
      </w:r>
    </w:p>
    <w:p w14:paraId="42820362" w14:textId="1B574AB0" w:rsidR="00390AA2" w:rsidRDefault="00F0731E" w:rsidP="00886840">
      <w:pPr>
        <w:widowControl/>
      </w:pPr>
      <w:r>
        <w:rPr>
          <w:color w:val="222222"/>
        </w:rPr>
        <w:t xml:space="preserve">Three of the Criteria relate to cultural </w:t>
      </w:r>
      <w:r w:rsidRPr="00F0731E">
        <w:rPr>
          <w:color w:val="222222"/>
        </w:rPr>
        <w:t>responsiveness and cultural proficiency</w:t>
      </w:r>
      <w:r>
        <w:rPr>
          <w:color w:val="222222"/>
        </w:rPr>
        <w:t xml:space="preserve">. </w:t>
      </w:r>
      <w:r w:rsidR="00390AA2">
        <w:rPr>
          <w:color w:val="222222"/>
        </w:rPr>
        <w:t xml:space="preserve">Criterion 6, </w:t>
      </w:r>
      <w:r w:rsidR="00936C4C">
        <w:rPr>
          <w:color w:val="222222"/>
        </w:rPr>
        <w:t xml:space="preserve">addressing </w:t>
      </w:r>
      <w:r w:rsidR="00390AA2">
        <w:rPr>
          <w:color w:val="222222"/>
        </w:rPr>
        <w:t>program delivery</w:t>
      </w:r>
      <w:r w:rsidR="00615D54">
        <w:rPr>
          <w:color w:val="222222"/>
        </w:rPr>
        <w:t>,</w:t>
      </w:r>
      <w:r w:rsidR="00390AA2">
        <w:rPr>
          <w:color w:val="222222"/>
        </w:rPr>
        <w:t xml:space="preserve"> states that </w:t>
      </w:r>
      <w:r w:rsidR="00390AA2" w:rsidRPr="00390AA2">
        <w:rPr>
          <w:color w:val="222222"/>
          <w:szCs w:val="24"/>
        </w:rPr>
        <w:t>“[t]</w:t>
      </w:r>
      <w:r w:rsidR="00390AA2" w:rsidRPr="003F105B">
        <w:rPr>
          <w:szCs w:val="24"/>
        </w:rPr>
        <w:t>he school delivers a high quality academic program that meets the needs of all students</w:t>
      </w:r>
      <w:r w:rsidR="00390AA2">
        <w:rPr>
          <w:szCs w:val="24"/>
        </w:rPr>
        <w:t xml:space="preserve">.” Criterion 7, </w:t>
      </w:r>
      <w:r w:rsidR="00936C4C">
        <w:rPr>
          <w:szCs w:val="24"/>
        </w:rPr>
        <w:t>addressing</w:t>
      </w:r>
      <w:r w:rsidR="00390AA2">
        <w:rPr>
          <w:szCs w:val="24"/>
        </w:rPr>
        <w:t xml:space="preserve"> </w:t>
      </w:r>
      <w:r w:rsidR="00615D54">
        <w:rPr>
          <w:bCs/>
          <w:szCs w:val="24"/>
        </w:rPr>
        <w:t>s</w:t>
      </w:r>
      <w:r w:rsidR="00615D54" w:rsidRPr="00615D54">
        <w:rPr>
          <w:bCs/>
          <w:szCs w:val="24"/>
        </w:rPr>
        <w:t xml:space="preserve">chool </w:t>
      </w:r>
      <w:r w:rsidR="00615D54">
        <w:rPr>
          <w:bCs/>
          <w:szCs w:val="24"/>
        </w:rPr>
        <w:t>c</w:t>
      </w:r>
      <w:r w:rsidR="00390AA2" w:rsidRPr="003F105B">
        <w:rPr>
          <w:bCs/>
          <w:szCs w:val="24"/>
        </w:rPr>
        <w:t>limate and</w:t>
      </w:r>
      <w:r w:rsidR="00615D54" w:rsidRPr="00615D54">
        <w:rPr>
          <w:bCs/>
          <w:szCs w:val="24"/>
        </w:rPr>
        <w:t xml:space="preserve"> </w:t>
      </w:r>
      <w:r w:rsidR="00615D54">
        <w:rPr>
          <w:bCs/>
          <w:szCs w:val="24"/>
        </w:rPr>
        <w:t>f</w:t>
      </w:r>
      <w:r w:rsidR="00615D54" w:rsidRPr="00615D54">
        <w:rPr>
          <w:bCs/>
          <w:szCs w:val="24"/>
        </w:rPr>
        <w:t xml:space="preserve">amily </w:t>
      </w:r>
      <w:r w:rsidR="00615D54">
        <w:rPr>
          <w:bCs/>
          <w:szCs w:val="24"/>
        </w:rPr>
        <w:t>e</w:t>
      </w:r>
      <w:r w:rsidR="00390AA2" w:rsidRPr="003F105B">
        <w:rPr>
          <w:bCs/>
          <w:szCs w:val="24"/>
        </w:rPr>
        <w:t>ngagement</w:t>
      </w:r>
      <w:r w:rsidR="00390AA2">
        <w:rPr>
          <w:bCs/>
          <w:szCs w:val="24"/>
        </w:rPr>
        <w:t>,</w:t>
      </w:r>
      <w:r w:rsidR="00390AA2">
        <w:rPr>
          <w:szCs w:val="24"/>
        </w:rPr>
        <w:t xml:space="preserve"> states as follows.</w:t>
      </w:r>
    </w:p>
    <w:p w14:paraId="3128882D" w14:textId="77777777" w:rsidR="00390AA2" w:rsidRDefault="00390AA2" w:rsidP="00886840">
      <w:pPr>
        <w:widowControl/>
      </w:pPr>
    </w:p>
    <w:p w14:paraId="123B0894" w14:textId="77777777" w:rsidR="001D5074" w:rsidRDefault="00390AA2" w:rsidP="003F105B">
      <w:pPr>
        <w:widowControl/>
        <w:ind w:left="720"/>
        <w:rPr>
          <w:color w:val="222222"/>
        </w:rPr>
      </w:pPr>
      <w:r w:rsidRPr="00390AA2">
        <w:rPr>
          <w:szCs w:val="24"/>
          <w:lang w:bidi="en-US"/>
        </w:rPr>
        <w:t>The school creates safe, positive, healthy, culturally responsive, inclusive, and welcoming learning environments. These environments cultivate supportive, authentic relationships and a strong sense of belonging and connection, which value the diverse assets and voices of all students, staff, and families</w:t>
      </w:r>
      <w:r w:rsidR="001D5074">
        <w:rPr>
          <w:color w:val="222222"/>
          <w:szCs w:val="24"/>
        </w:rPr>
        <w:t>.</w:t>
      </w:r>
    </w:p>
    <w:p w14:paraId="5550767B" w14:textId="77777777" w:rsidR="001D5074" w:rsidRDefault="001D5074" w:rsidP="003F105B">
      <w:pPr>
        <w:widowControl/>
        <w:ind w:left="720"/>
        <w:rPr>
          <w:color w:val="222222"/>
        </w:rPr>
      </w:pPr>
    </w:p>
    <w:p w14:paraId="7BFFDA8C" w14:textId="0598B4AB" w:rsidR="001D5074" w:rsidRDefault="001D5074" w:rsidP="003F105B">
      <w:pPr>
        <w:widowControl/>
        <w:rPr>
          <w:color w:val="222222"/>
        </w:rPr>
      </w:pPr>
      <w:r>
        <w:rPr>
          <w:color w:val="222222"/>
          <w:szCs w:val="24"/>
        </w:rPr>
        <w:t xml:space="preserve">Criterion 8, </w:t>
      </w:r>
      <w:r w:rsidR="00936C4C">
        <w:rPr>
          <w:color w:val="222222"/>
          <w:szCs w:val="24"/>
        </w:rPr>
        <w:t xml:space="preserve">addressing </w:t>
      </w:r>
      <w:r>
        <w:rPr>
          <w:color w:val="222222"/>
          <w:szCs w:val="24"/>
        </w:rPr>
        <w:t>capacity, states that “[t]</w:t>
      </w:r>
      <w:r w:rsidRPr="001D5074">
        <w:rPr>
          <w:color w:val="222222"/>
          <w:szCs w:val="24"/>
        </w:rPr>
        <w:t>he school sustains a well-functioning organizational structure and creates a professional, inclusive, respectful, and welcoming working climate for all staff.</w:t>
      </w:r>
      <w:r>
        <w:rPr>
          <w:color w:val="222222"/>
          <w:szCs w:val="24"/>
        </w:rPr>
        <w:t>”</w:t>
      </w:r>
    </w:p>
    <w:p w14:paraId="0379A04A" w14:textId="77777777" w:rsidR="00EB7BF1" w:rsidRDefault="00EB7BF1" w:rsidP="003F105B">
      <w:pPr>
        <w:widowControl/>
      </w:pPr>
    </w:p>
    <w:p w14:paraId="18D3390E" w14:textId="4BB05A90" w:rsidR="00447654" w:rsidRPr="003F105B" w:rsidRDefault="00304364" w:rsidP="003F105B">
      <w:pPr>
        <w:widowControl/>
        <w:rPr>
          <w:b/>
          <w:u w:val="single"/>
        </w:rPr>
      </w:pPr>
      <w:r w:rsidRPr="003F105B">
        <w:rPr>
          <w:b/>
          <w:u w:val="single"/>
        </w:rPr>
        <w:t>No Conflict</w:t>
      </w:r>
    </w:p>
    <w:p w14:paraId="72960990" w14:textId="573BE1DC" w:rsidR="00AB401F" w:rsidRDefault="00AB401F" w:rsidP="003F105B">
      <w:pPr>
        <w:widowControl/>
      </w:pPr>
    </w:p>
    <w:p w14:paraId="2F54A817" w14:textId="4572B384" w:rsidR="00304364" w:rsidRDefault="00304364" w:rsidP="003F105B">
      <w:pPr>
        <w:widowControl/>
        <w:rPr>
          <w:iCs/>
        </w:rPr>
      </w:pPr>
      <w:r>
        <w:t xml:space="preserve">There is no conflict between the Criteria and the school’s mission and accountability plan. </w:t>
      </w:r>
      <w:r w:rsidR="00CD1815">
        <w:t>In fact, the Criteria state</w:t>
      </w:r>
      <w:r w:rsidR="001F358A">
        <w:t xml:space="preserve"> that the</w:t>
      </w:r>
      <w:r w:rsidR="00CD1815">
        <w:t xml:space="preserve"> </w:t>
      </w:r>
      <w:r w:rsidR="001F358A">
        <w:t>“</w:t>
      </w:r>
      <w:r w:rsidR="00CD1815">
        <w:t>Department must ensure that the Criteria protect the autonomies that allow charter schools to determine the means by which they achieve student outcomes. Nothing in these Criteria shall be interpreted to require a charter school to adopt a particular model, mission, or program.”</w:t>
      </w:r>
      <w:r w:rsidR="00CD1815">
        <w:rPr>
          <w:vertAlign w:val="superscript"/>
        </w:rPr>
        <w:footnoteReference w:id="7"/>
      </w:r>
      <w:r w:rsidR="00CD1815">
        <w:t xml:space="preserve"> </w:t>
      </w:r>
      <w:r w:rsidR="004C3EF8">
        <w:t xml:space="preserve">The school can focus on </w:t>
      </w:r>
      <w:r w:rsidR="004C3EF8" w:rsidRPr="004C3EF8">
        <w:t>“selected core virtues and the fundamental ideals of our American Culture, which are embodied in the Declaration of Independence and the United States Constitution”</w:t>
      </w:r>
      <w:r w:rsidR="004C3EF8">
        <w:t xml:space="preserve"> and also be culturally responsive and proficient. The school can </w:t>
      </w:r>
      <w:r w:rsidR="00AE58FE">
        <w:t>“</w:t>
      </w:r>
      <w:r w:rsidR="00AE58FE" w:rsidRPr="00AE58FE">
        <w:rPr>
          <w:iCs/>
        </w:rPr>
        <w:t>maintain a thoroughly American identity</w:t>
      </w:r>
      <w:r w:rsidR="00AE58FE">
        <w:rPr>
          <w:iCs/>
        </w:rPr>
        <w:t xml:space="preserve">” and </w:t>
      </w:r>
      <w:r w:rsidR="00AE58FE" w:rsidRPr="00AE58FE">
        <w:rPr>
          <w:iCs/>
        </w:rPr>
        <w:t xml:space="preserve">view culture and identity as assets, including students’ race, ethnicity, </w:t>
      </w:r>
      <w:r w:rsidR="00AE58FE">
        <w:rPr>
          <w:iCs/>
        </w:rPr>
        <w:t>and</w:t>
      </w:r>
      <w:r w:rsidR="00AE58FE" w:rsidRPr="00AE58FE">
        <w:rPr>
          <w:iCs/>
        </w:rPr>
        <w:t xml:space="preserve"> linguistic </w:t>
      </w:r>
      <w:r w:rsidR="00AE58FE">
        <w:rPr>
          <w:iCs/>
        </w:rPr>
        <w:t xml:space="preserve">characteristics. </w:t>
      </w:r>
      <w:r w:rsidR="004038A5">
        <w:rPr>
          <w:iCs/>
        </w:rPr>
        <w:t xml:space="preserve">The school can </w:t>
      </w:r>
      <w:r w:rsidR="00567D2E">
        <w:rPr>
          <w:iCs/>
        </w:rPr>
        <w:t>“</w:t>
      </w:r>
      <w:r w:rsidR="00567D2E" w:rsidRPr="00567D2E">
        <w:rPr>
          <w:iCs/>
        </w:rPr>
        <w:t>celebrate American Exceptionalism and will embrace the melting pot theory by highlighting our citizens’ and students’ comm</w:t>
      </w:r>
      <w:r w:rsidR="00567D2E">
        <w:rPr>
          <w:iCs/>
        </w:rPr>
        <w:t>onality, not their differences”</w:t>
      </w:r>
      <w:r w:rsidR="004038A5">
        <w:rPr>
          <w:iCs/>
        </w:rPr>
        <w:t xml:space="preserve"> while acknowledging</w:t>
      </w:r>
      <w:r w:rsidR="004038A5" w:rsidRPr="004038A5">
        <w:rPr>
          <w:iCs/>
        </w:rPr>
        <w:t xml:space="preserve"> and actively draw</w:t>
      </w:r>
      <w:r w:rsidR="004038A5">
        <w:rPr>
          <w:iCs/>
        </w:rPr>
        <w:t>ing</w:t>
      </w:r>
      <w:r w:rsidR="004038A5" w:rsidRPr="004038A5">
        <w:rPr>
          <w:iCs/>
        </w:rPr>
        <w:t xml:space="preserve"> upon diverse backgrounds, identities, </w:t>
      </w:r>
      <w:r w:rsidR="004038A5">
        <w:rPr>
          <w:iCs/>
        </w:rPr>
        <w:t xml:space="preserve">and </w:t>
      </w:r>
      <w:r w:rsidR="004038A5" w:rsidRPr="004038A5">
        <w:rPr>
          <w:iCs/>
        </w:rPr>
        <w:t>strengths</w:t>
      </w:r>
      <w:r w:rsidR="004038A5">
        <w:rPr>
          <w:iCs/>
        </w:rPr>
        <w:t>.</w:t>
      </w:r>
      <w:r w:rsidR="00567D2E">
        <w:rPr>
          <w:iCs/>
        </w:rPr>
        <w:t xml:space="preserve"> Indeed, </w:t>
      </w:r>
      <w:r w:rsidR="0086043C" w:rsidRPr="0086043C">
        <w:rPr>
          <w:iCs/>
        </w:rPr>
        <w:t>during the most recent site visit</w:t>
      </w:r>
      <w:r w:rsidR="00890D5A">
        <w:rPr>
          <w:iCs/>
        </w:rPr>
        <w:t>,</w:t>
      </w:r>
      <w:r w:rsidR="0086043C" w:rsidRPr="0086043C">
        <w:rPr>
          <w:iCs/>
        </w:rPr>
        <w:t xml:space="preserve"> </w:t>
      </w:r>
      <w:r w:rsidR="00AE3ADF">
        <w:rPr>
          <w:iCs/>
        </w:rPr>
        <w:t xml:space="preserve">stakeholders at </w:t>
      </w:r>
      <w:r w:rsidR="00567D2E">
        <w:rPr>
          <w:iCs/>
        </w:rPr>
        <w:t xml:space="preserve">the school </w:t>
      </w:r>
      <w:r w:rsidR="00AE3ADF">
        <w:rPr>
          <w:iCs/>
        </w:rPr>
        <w:t xml:space="preserve">described some examples of instruction </w:t>
      </w:r>
      <w:r w:rsidR="0086043C">
        <w:rPr>
          <w:iCs/>
        </w:rPr>
        <w:t>that reflect</w:t>
      </w:r>
      <w:r w:rsidR="00AE3ADF">
        <w:rPr>
          <w:iCs/>
        </w:rPr>
        <w:t xml:space="preserve"> cultural proficiency</w:t>
      </w:r>
      <w:r w:rsidR="00567D2E">
        <w:rPr>
          <w:iCs/>
        </w:rPr>
        <w:t>.</w:t>
      </w:r>
    </w:p>
    <w:p w14:paraId="21BC766E" w14:textId="686A6C7A" w:rsidR="00567D2E" w:rsidRDefault="00567D2E" w:rsidP="003F105B">
      <w:pPr>
        <w:widowControl/>
        <w:rPr>
          <w:iCs/>
        </w:rPr>
      </w:pPr>
    </w:p>
    <w:p w14:paraId="55D063C7" w14:textId="5457C0A0" w:rsidR="00567D2E" w:rsidRDefault="00567D2E" w:rsidP="003F105B">
      <w:pPr>
        <w:widowControl/>
        <w:rPr>
          <w:iCs/>
        </w:rPr>
      </w:pPr>
      <w:r>
        <w:rPr>
          <w:iCs/>
        </w:rPr>
        <w:t xml:space="preserve">There is no need for the Board to waive 603 CMR 1.11(2) requiring </w:t>
      </w:r>
      <w:r w:rsidR="000D35AF" w:rsidRPr="000D35AF">
        <w:rPr>
          <w:iCs/>
        </w:rPr>
        <w:t>evaluation of all charter schools based on “the same performance criteria as provided in the guidelines, provided, however, that the criteria will take into account each school's charter and accountability plan.”</w:t>
      </w:r>
      <w:r w:rsidR="000D35AF">
        <w:rPr>
          <w:iCs/>
        </w:rPr>
        <w:t xml:space="preserve"> By its very terms, this regulation requires the Department to consider a charter school’s mission and accountability plan when evaluating a school. </w:t>
      </w:r>
      <w:r w:rsidR="00CD1815">
        <w:rPr>
          <w:iCs/>
        </w:rPr>
        <w:t>As noted above, the Criteria do not dictate a particular educational model</w:t>
      </w:r>
      <w:r w:rsidR="00F325A1">
        <w:rPr>
          <w:iCs/>
        </w:rPr>
        <w:t>. The Criteria, and other charter school authorizing practices, were crafted in a way to enable diverse models and different educational philosophies to meet Department expectations for performance</w:t>
      </w:r>
      <w:r w:rsidR="000D35AF">
        <w:rPr>
          <w:iCs/>
        </w:rPr>
        <w:t>.</w:t>
      </w:r>
    </w:p>
    <w:p w14:paraId="0F835650" w14:textId="0232268A" w:rsidR="000D35AF" w:rsidRDefault="000D35AF" w:rsidP="003F105B">
      <w:pPr>
        <w:widowControl/>
        <w:rPr>
          <w:iCs/>
        </w:rPr>
      </w:pPr>
    </w:p>
    <w:p w14:paraId="58FD33CE" w14:textId="5B4CEC3C" w:rsidR="000D35AF" w:rsidRDefault="000D35AF" w:rsidP="003F105B">
      <w:pPr>
        <w:widowControl/>
      </w:pPr>
      <w:r>
        <w:rPr>
          <w:iCs/>
        </w:rPr>
        <w:t xml:space="preserve">Moreover, waiving this regulation </w:t>
      </w:r>
      <w:r w:rsidR="001271CC" w:rsidRPr="001271CC">
        <w:rPr>
          <w:iCs/>
        </w:rPr>
        <w:t>would require evaluation of this school on a basis different from every other charter school in Massachusetts</w:t>
      </w:r>
      <w:r w:rsidR="001271CC">
        <w:rPr>
          <w:iCs/>
        </w:rPr>
        <w:t>, a basis that is far from clear. Charter schools are not private schools</w:t>
      </w:r>
      <w:r w:rsidR="00890D5A">
        <w:rPr>
          <w:iCs/>
        </w:rPr>
        <w:t xml:space="preserve">; they </w:t>
      </w:r>
      <w:r w:rsidR="001271CC">
        <w:rPr>
          <w:iCs/>
        </w:rPr>
        <w:t xml:space="preserve">are </w:t>
      </w:r>
      <w:r w:rsidR="00890D5A">
        <w:rPr>
          <w:iCs/>
        </w:rPr>
        <w:t xml:space="preserve">public entities </w:t>
      </w:r>
      <w:r w:rsidR="001271CC">
        <w:rPr>
          <w:iCs/>
        </w:rPr>
        <w:t>accountable to the Commonwealth. Charter schools are subject to the authority and oversight of the Board, Commissioner, and Department.</w:t>
      </w:r>
    </w:p>
    <w:p w14:paraId="28A9F416" w14:textId="310FA2D9" w:rsidR="00D40EF1" w:rsidRPr="00D40EF1" w:rsidRDefault="001271CC" w:rsidP="00567D2E">
      <w:pPr>
        <w:pStyle w:val="NormalWeb"/>
        <w:shd w:val="clear" w:color="auto" w:fill="FFFFFF"/>
        <w:rPr>
          <w:color w:val="000000"/>
        </w:rPr>
      </w:pPr>
      <w:r>
        <w:rPr>
          <w:color w:val="000000"/>
        </w:rPr>
        <w:t xml:space="preserve">For these reasons, I </w:t>
      </w:r>
      <w:r w:rsidR="00D40EF1" w:rsidRPr="00D40EF1">
        <w:rPr>
          <w:color w:val="000000"/>
        </w:rPr>
        <w:t xml:space="preserve">recommend that the Board </w:t>
      </w:r>
      <w:r>
        <w:rPr>
          <w:color w:val="000000"/>
        </w:rPr>
        <w:t>deny the</w:t>
      </w:r>
      <w:r w:rsidR="00D40EF1" w:rsidRPr="00D40EF1">
        <w:rPr>
          <w:color w:val="000000"/>
        </w:rPr>
        <w:t xml:space="preserve"> </w:t>
      </w:r>
      <w:r>
        <w:rPr>
          <w:color w:val="000000"/>
        </w:rPr>
        <w:t xml:space="preserve">request of </w:t>
      </w:r>
      <w:r w:rsidR="009111AB">
        <w:rPr>
          <w:color w:val="000000"/>
        </w:rPr>
        <w:t>MVRCS</w:t>
      </w:r>
      <w:r w:rsidR="00D40EF1" w:rsidRPr="00D40EF1">
        <w:rPr>
          <w:color w:val="000000"/>
        </w:rPr>
        <w:t xml:space="preserve"> </w:t>
      </w:r>
      <w:r>
        <w:rPr>
          <w:color w:val="000000"/>
        </w:rPr>
        <w:t xml:space="preserve">to waive 603 CMR 1.11(2). </w:t>
      </w:r>
      <w:r w:rsidR="00D40EF1" w:rsidRPr="00D40EF1">
        <w:rPr>
          <w:color w:val="000000"/>
        </w:rPr>
        <w:t>A motion is attached.</w:t>
      </w:r>
    </w:p>
    <w:p w14:paraId="1B05BDC6" w14:textId="77777777" w:rsidR="00D40EF1" w:rsidRPr="00D40EF1" w:rsidRDefault="00D40EF1" w:rsidP="00567D2E">
      <w:pPr>
        <w:pStyle w:val="NormalWeb"/>
        <w:shd w:val="clear" w:color="auto" w:fill="FFFFFF"/>
        <w:rPr>
          <w:color w:val="000000"/>
        </w:rPr>
      </w:pPr>
      <w:r w:rsidRPr="00D40EF1">
        <w:rPr>
          <w:color w:val="000000"/>
        </w:rPr>
        <w:t>If you have any questions regarding this matter or require additional information, please contact Alison Bagg, Director (781-338-3218); Cliff Chuang, Senior Associate Commissioner (781-338-3222); or me.</w:t>
      </w:r>
    </w:p>
    <w:p w14:paraId="1FA174EB" w14:textId="1F04CB89" w:rsidR="0039533A" w:rsidRDefault="001271CC">
      <w:pPr>
        <w:rPr>
          <w:szCs w:val="24"/>
        </w:rPr>
      </w:pPr>
      <w:r>
        <w:rPr>
          <w:szCs w:val="24"/>
        </w:rPr>
        <w:t>Enclosures:</w:t>
      </w:r>
    </w:p>
    <w:p w14:paraId="1601130D" w14:textId="055B5DA6" w:rsidR="001271CC" w:rsidRDefault="001271CC">
      <w:pPr>
        <w:rPr>
          <w:szCs w:val="24"/>
        </w:rPr>
      </w:pPr>
    </w:p>
    <w:p w14:paraId="1D24578A" w14:textId="6730D6C6" w:rsidR="001271CC" w:rsidRDefault="001271CC" w:rsidP="003F105B">
      <w:pPr>
        <w:ind w:left="720"/>
        <w:rPr>
          <w:szCs w:val="24"/>
        </w:rPr>
      </w:pPr>
      <w:r>
        <w:rPr>
          <w:szCs w:val="24"/>
        </w:rPr>
        <w:t>Waiver Request of MVRCS, with Attachments</w:t>
      </w:r>
    </w:p>
    <w:p w14:paraId="57AC6ABB" w14:textId="061A1339" w:rsidR="001271CC" w:rsidRDefault="001271CC" w:rsidP="003F105B">
      <w:pPr>
        <w:ind w:left="720"/>
        <w:rPr>
          <w:szCs w:val="24"/>
        </w:rPr>
      </w:pPr>
    </w:p>
    <w:p w14:paraId="316023E9" w14:textId="3B28CC85" w:rsidR="001271CC" w:rsidRPr="00D40EF1" w:rsidRDefault="001271CC" w:rsidP="003F105B">
      <w:pPr>
        <w:ind w:left="720"/>
        <w:rPr>
          <w:szCs w:val="24"/>
        </w:rPr>
      </w:pPr>
      <w:r>
        <w:rPr>
          <w:szCs w:val="24"/>
        </w:rPr>
        <w:t>Motion</w:t>
      </w:r>
    </w:p>
    <w:sectPr w:rsidR="001271CC" w:rsidRPr="00D40EF1" w:rsidSect="007B3EE1">
      <w:footerReference w:type="default" r:id="rId20"/>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FE564" w14:textId="77777777" w:rsidR="00D10EF8" w:rsidRDefault="00D10EF8">
      <w:r>
        <w:separator/>
      </w:r>
    </w:p>
  </w:endnote>
  <w:endnote w:type="continuationSeparator" w:id="0">
    <w:p w14:paraId="0D50466C" w14:textId="77777777" w:rsidR="00D10EF8" w:rsidRDefault="00D10EF8">
      <w:r>
        <w:continuationSeparator/>
      </w:r>
    </w:p>
  </w:endnote>
  <w:endnote w:type="continuationNotice" w:id="1">
    <w:p w14:paraId="3367FF71" w14:textId="77777777" w:rsidR="00D10EF8" w:rsidRDefault="00D10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5851B876" w:rsidR="001F1BC3" w:rsidRDefault="00BC0B4A" w:rsidP="00F71DB4">
        <w:pPr>
          <w:pStyle w:val="Footer"/>
          <w:jc w:val="right"/>
        </w:pPr>
        <w:r>
          <w:fldChar w:fldCharType="begin"/>
        </w:r>
        <w:r>
          <w:instrText xml:space="preserve"> PAGE   \* MERGEFORMAT </w:instrText>
        </w:r>
        <w:r>
          <w:fldChar w:fldCharType="separate"/>
        </w:r>
        <w:r w:rsidR="007A6853">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4EEA5" w14:textId="77777777" w:rsidR="00D10EF8" w:rsidRDefault="00D10EF8">
      <w:r>
        <w:separator/>
      </w:r>
    </w:p>
  </w:footnote>
  <w:footnote w:type="continuationSeparator" w:id="0">
    <w:p w14:paraId="6ADB2F96" w14:textId="77777777" w:rsidR="00D10EF8" w:rsidRDefault="00D10EF8">
      <w:r>
        <w:continuationSeparator/>
      </w:r>
    </w:p>
  </w:footnote>
  <w:footnote w:type="continuationNotice" w:id="1">
    <w:p w14:paraId="02792848" w14:textId="77777777" w:rsidR="00D10EF8" w:rsidRDefault="00D10EF8"/>
  </w:footnote>
  <w:footnote w:id="2">
    <w:p w14:paraId="3A5FC39E" w14:textId="77777777" w:rsidR="00795189" w:rsidRDefault="00795189" w:rsidP="00795189">
      <w:pPr>
        <w:pStyle w:val="NormalWeb"/>
        <w:shd w:val="clear" w:color="auto" w:fill="FFFFFF"/>
        <w:spacing w:before="0" w:beforeAutospacing="0" w:after="0" w:afterAutospacing="0"/>
        <w:rPr>
          <w:color w:val="222222"/>
          <w:sz w:val="18"/>
          <w:szCs w:val="18"/>
        </w:rPr>
      </w:pPr>
      <w:r w:rsidRPr="002E6FA4">
        <w:rPr>
          <w:rStyle w:val="FootnoteReference"/>
          <w:sz w:val="18"/>
          <w:szCs w:val="18"/>
          <w:vertAlign w:val="superscript"/>
        </w:rPr>
        <w:footnoteRef/>
      </w:r>
      <w:r w:rsidRPr="002E6FA4">
        <w:rPr>
          <w:sz w:val="18"/>
          <w:szCs w:val="18"/>
        </w:rPr>
        <w:t xml:space="preserve"> </w:t>
      </w:r>
      <w:r>
        <w:rPr>
          <w:sz w:val="18"/>
          <w:szCs w:val="18"/>
        </w:rPr>
        <w:t>603 CMR 1.03</w:t>
      </w:r>
      <w:r w:rsidRPr="002E6FA4">
        <w:rPr>
          <w:color w:val="222222"/>
          <w:sz w:val="18"/>
          <w:szCs w:val="18"/>
        </w:rPr>
        <w:t>(2)</w:t>
      </w:r>
      <w:r>
        <w:rPr>
          <w:color w:val="222222"/>
          <w:sz w:val="18"/>
          <w:szCs w:val="18"/>
        </w:rPr>
        <w:t xml:space="preserve"> provides as follows.</w:t>
      </w:r>
    </w:p>
    <w:p w14:paraId="06E05972" w14:textId="77777777" w:rsidR="00795189" w:rsidRPr="002E6FA4" w:rsidRDefault="00795189" w:rsidP="00795189">
      <w:pPr>
        <w:pStyle w:val="NormalWeb"/>
        <w:shd w:val="clear" w:color="auto" w:fill="FFFFFF"/>
        <w:spacing w:before="0" w:beforeAutospacing="0" w:after="0" w:afterAutospacing="0"/>
        <w:ind w:left="720"/>
        <w:rPr>
          <w:color w:val="222222"/>
          <w:sz w:val="18"/>
          <w:szCs w:val="18"/>
        </w:rPr>
      </w:pPr>
      <w:r w:rsidRPr="002E6FA4">
        <w:rPr>
          <w:b/>
          <w:bCs/>
          <w:color w:val="222222"/>
          <w:sz w:val="18"/>
          <w:szCs w:val="18"/>
        </w:rPr>
        <w:t>Waivers:</w:t>
      </w:r>
      <w:r w:rsidRPr="002E6FA4">
        <w:rPr>
          <w:color w:val="222222"/>
          <w:sz w:val="18"/>
          <w:szCs w:val="18"/>
        </w:rPr>
        <w:t> The Board may waive provisions of 603 CMR 1.00 for good cause. If a charter applicant or charter school board of trustees makes a written request for a waiver, the Board may waive the applicability of one or more provisions of 603 CMR 1.00. These waivers shall be granted only under circumstances the Board deems exceptional and such waivers shall be granted only to the extent allowed by law. All such requests from the charter applicant or a board of trustees must:</w:t>
      </w:r>
    </w:p>
    <w:p w14:paraId="67D4241B" w14:textId="77777777" w:rsidR="00795189" w:rsidRPr="002E6FA4" w:rsidRDefault="00795189" w:rsidP="00795189">
      <w:pPr>
        <w:widowControl/>
        <w:shd w:val="clear" w:color="auto" w:fill="FFFFFF"/>
        <w:ind w:left="1440"/>
        <w:rPr>
          <w:snapToGrid/>
          <w:color w:val="212529"/>
          <w:sz w:val="18"/>
          <w:szCs w:val="18"/>
        </w:rPr>
      </w:pPr>
      <w:r w:rsidRPr="002E6FA4">
        <w:rPr>
          <w:snapToGrid/>
          <w:color w:val="212529"/>
          <w:sz w:val="18"/>
          <w:szCs w:val="18"/>
        </w:rPr>
        <w:t>(a) be in writing, signed by the waiver applicant;</w:t>
      </w:r>
    </w:p>
    <w:p w14:paraId="507A1AC4" w14:textId="77777777" w:rsidR="00795189" w:rsidRPr="002E6FA4" w:rsidRDefault="00795189" w:rsidP="00795189">
      <w:pPr>
        <w:widowControl/>
        <w:shd w:val="clear" w:color="auto" w:fill="FFFFFF"/>
        <w:ind w:left="1440"/>
        <w:rPr>
          <w:snapToGrid/>
          <w:color w:val="212529"/>
          <w:sz w:val="18"/>
          <w:szCs w:val="18"/>
        </w:rPr>
      </w:pPr>
      <w:r w:rsidRPr="002E6FA4">
        <w:rPr>
          <w:snapToGrid/>
          <w:color w:val="212529"/>
          <w:sz w:val="18"/>
          <w:szCs w:val="18"/>
        </w:rPr>
        <w:t>(b) specify the provisions of 603 CMR 1.00 to be waived, the duration of the waiver, and the circumstances to which the waiver applies and the specific reason why a waiver is sought;</w:t>
      </w:r>
    </w:p>
    <w:p w14:paraId="7761ADD0" w14:textId="77777777" w:rsidR="00795189" w:rsidRPr="002E6FA4" w:rsidRDefault="00795189" w:rsidP="00795189">
      <w:pPr>
        <w:widowControl/>
        <w:shd w:val="clear" w:color="auto" w:fill="FFFFFF"/>
        <w:ind w:left="1440"/>
        <w:rPr>
          <w:snapToGrid/>
          <w:color w:val="212529"/>
          <w:sz w:val="18"/>
          <w:szCs w:val="18"/>
        </w:rPr>
      </w:pPr>
      <w:r w:rsidRPr="002E6FA4">
        <w:rPr>
          <w:snapToGrid/>
          <w:color w:val="212529"/>
          <w:sz w:val="18"/>
          <w:szCs w:val="18"/>
        </w:rPr>
        <w:t>(c) include a certification that the waiver applicant has made a good faith effort to comply with said provisions; and</w:t>
      </w:r>
    </w:p>
    <w:p w14:paraId="7955F1E1" w14:textId="77777777" w:rsidR="00795189" w:rsidRPr="002E6FA4" w:rsidRDefault="00795189" w:rsidP="00795189">
      <w:pPr>
        <w:widowControl/>
        <w:shd w:val="clear" w:color="auto" w:fill="FFFFFF"/>
        <w:ind w:left="1440"/>
        <w:rPr>
          <w:snapToGrid/>
          <w:color w:val="212529"/>
          <w:sz w:val="18"/>
          <w:szCs w:val="18"/>
        </w:rPr>
      </w:pPr>
      <w:r w:rsidRPr="002E6FA4">
        <w:rPr>
          <w:snapToGrid/>
          <w:color w:val="212529"/>
          <w:sz w:val="18"/>
          <w:szCs w:val="18"/>
        </w:rPr>
        <w:t>(d) be accompanied by supporting documentation considered sufficient by the Board to support the special circumstances or the need for relief.</w:t>
      </w:r>
    </w:p>
    <w:p w14:paraId="712D458A" w14:textId="77777777" w:rsidR="00795189" w:rsidRPr="002E6FA4" w:rsidRDefault="00795189" w:rsidP="00795189">
      <w:pPr>
        <w:widowControl/>
        <w:shd w:val="clear" w:color="auto" w:fill="FFFFFF"/>
        <w:spacing w:after="100" w:afterAutospacing="1"/>
        <w:ind w:left="720"/>
        <w:rPr>
          <w:snapToGrid/>
          <w:color w:val="222222"/>
          <w:sz w:val="18"/>
          <w:szCs w:val="18"/>
        </w:rPr>
      </w:pPr>
      <w:r w:rsidRPr="002E6FA4">
        <w:rPr>
          <w:snapToGrid/>
          <w:color w:val="222222"/>
          <w:sz w:val="18"/>
          <w:szCs w:val="18"/>
        </w:rPr>
        <w:t>If the granting of a waiver would have an impact on sending districts or the district of the town or city in which the charter school is located, the Commissioner shall provide the superintendent of each district notice and an opportunity to comment.</w:t>
      </w:r>
    </w:p>
    <w:p w14:paraId="70D1A243" w14:textId="77777777" w:rsidR="00795189" w:rsidRDefault="00795189" w:rsidP="00795189">
      <w:pPr>
        <w:pStyle w:val="FootnoteText"/>
      </w:pPr>
    </w:p>
  </w:footnote>
  <w:footnote w:id="3">
    <w:p w14:paraId="1796FB8B" w14:textId="77777777" w:rsidR="00920162" w:rsidRPr="00F5346C" w:rsidRDefault="00920162" w:rsidP="00920162">
      <w:pPr>
        <w:pStyle w:val="FootnoteText"/>
      </w:pPr>
      <w:r w:rsidRPr="003F105B">
        <w:rPr>
          <w:rStyle w:val="FootnoteReference"/>
          <w:vertAlign w:val="superscript"/>
        </w:rPr>
        <w:footnoteRef/>
      </w:r>
      <w:r w:rsidRPr="00F5346C">
        <w:t xml:space="preserve"> This is </w:t>
      </w:r>
      <w:r>
        <w:t>the number as of October 1, 2020</w:t>
      </w:r>
      <w:r w:rsidRPr="00F5346C">
        <w:t xml:space="preserve">. Source: </w:t>
      </w:r>
      <w:hyperlink r:id="rId1" w:history="1">
        <w:r w:rsidRPr="00E72D7C">
          <w:rPr>
            <w:rStyle w:val="Hyperlink"/>
          </w:rPr>
          <w:t>Profiles</w:t>
        </w:r>
      </w:hyperlink>
      <w:r>
        <w:t xml:space="preserve"> </w:t>
      </w:r>
    </w:p>
  </w:footnote>
  <w:footnote w:id="4">
    <w:p w14:paraId="163CB34E" w14:textId="204AB083" w:rsidR="00920162" w:rsidRDefault="00920162" w:rsidP="00920162">
      <w:pPr>
        <w:pStyle w:val="FootnoteText"/>
      </w:pPr>
      <w:r w:rsidRPr="003F105B">
        <w:rPr>
          <w:rStyle w:val="FootnoteReference"/>
          <w:vertAlign w:val="superscript"/>
        </w:rPr>
        <w:footnoteRef/>
      </w:r>
      <w:r>
        <w:t xml:space="preserve"> This is the number as of </w:t>
      </w:r>
      <w:r w:rsidR="00803C71">
        <w:t>June 2021</w:t>
      </w:r>
      <w:r>
        <w:t xml:space="preserve">. Source: </w:t>
      </w:r>
      <w:hyperlink r:id="rId2" w:history="1">
        <w:r w:rsidRPr="00803C71">
          <w:rPr>
            <w:rStyle w:val="Hyperlink"/>
          </w:rPr>
          <w:t xml:space="preserve">Massachusetts Charter School Waitlist </w:t>
        </w:r>
        <w:r w:rsidR="00803C71" w:rsidRPr="00803C71">
          <w:rPr>
            <w:rStyle w:val="Hyperlink"/>
          </w:rPr>
          <w:t>Initial</w:t>
        </w:r>
        <w:r w:rsidRPr="00803C71">
          <w:rPr>
            <w:rStyle w:val="Hyperlink"/>
          </w:rPr>
          <w:t xml:space="preserve"> Report for 202</w:t>
        </w:r>
        <w:r w:rsidR="00803C71" w:rsidRPr="00803C71">
          <w:rPr>
            <w:rStyle w:val="Hyperlink"/>
          </w:rPr>
          <w:t>1</w:t>
        </w:r>
        <w:r w:rsidRPr="00803C71">
          <w:rPr>
            <w:rStyle w:val="Hyperlink"/>
          </w:rPr>
          <w:t>-2</w:t>
        </w:r>
        <w:r w:rsidR="00803C71" w:rsidRPr="00803C71">
          <w:rPr>
            <w:rStyle w:val="Hyperlink"/>
          </w:rPr>
          <w:t>2</w:t>
        </w:r>
      </w:hyperlink>
    </w:p>
  </w:footnote>
  <w:footnote w:id="5">
    <w:p w14:paraId="043975E5" w14:textId="77777777" w:rsidR="00CA2561" w:rsidRDefault="00CA2561" w:rsidP="00CA2561">
      <w:pPr>
        <w:pStyle w:val="FootnoteText"/>
      </w:pPr>
      <w:r w:rsidRPr="005332E2">
        <w:rPr>
          <w:rStyle w:val="FootnoteReference"/>
          <w:vertAlign w:val="superscript"/>
        </w:rPr>
        <w:footnoteRef/>
      </w:r>
      <w:r>
        <w:t xml:space="preserve"> 603 CMR 1.11(2) provides as follows.</w:t>
      </w:r>
    </w:p>
    <w:p w14:paraId="7B065D2C" w14:textId="20869884" w:rsidR="00CA2561" w:rsidRDefault="00CA2561" w:rsidP="00CA2561">
      <w:pPr>
        <w:pStyle w:val="FootnoteText"/>
        <w:ind w:left="720"/>
      </w:pPr>
      <w:r w:rsidRPr="00A3251C">
        <w:rPr>
          <w:b/>
          <w:bCs/>
        </w:rPr>
        <w:t>Renewal Guidelines:</w:t>
      </w:r>
      <w:r>
        <w:t xml:space="preserve"> </w:t>
      </w:r>
      <w:r w:rsidRPr="00A3251C">
        <w:t>The Department shall issue guidelines describing the evaluation process to be followed in reviewing applications for charter renewal, including protocols for renewal inspections and performance criteria. The decision by the Board to renew a charter shall be based upon the presentation of affirmative evidence regarding the faithfulness of the school to the terms of its charter, including the extent to which the school has followed its recruitment and retention plan and has disseminated best practices in accordance with M.G.L. c. 71, § 89(dd); the success of the school's academic program; and the viability of the school as an organization. The Department will gather evidence regarding these issues from the renewal application and from other information, including but not limited to, a school's annual reports, financial audits, test results, site visit reports, and the renewal inspection report. All charter schools will be evaluated on the same performance criteria as provided in the guidelines, provided, however, that the criteria will take into account each school's charter and accountability plan. Evidence of academic success for all students is essential for charter renewal.</w:t>
      </w:r>
    </w:p>
  </w:footnote>
  <w:footnote w:id="6">
    <w:p w14:paraId="7F2A12D0" w14:textId="2166F31B" w:rsidR="003B7170" w:rsidRDefault="003B7170">
      <w:pPr>
        <w:pStyle w:val="FootnoteText"/>
      </w:pPr>
      <w:r w:rsidRPr="003F105B">
        <w:rPr>
          <w:rStyle w:val="FootnoteReference"/>
          <w:vertAlign w:val="superscript"/>
        </w:rPr>
        <w:footnoteRef/>
      </w:r>
      <w:r w:rsidRPr="003F105B">
        <w:rPr>
          <w:vertAlign w:val="superscript"/>
        </w:rPr>
        <w:t xml:space="preserve"> </w:t>
      </w:r>
      <w:r w:rsidR="001061AB">
        <w:t xml:space="preserve">While MVRCS also requests waiver of “the requirement that the [s]chool undergo a Core Criteria Review” and “all aspects of the Performance Criteria as revised in 2018 and thereafter that conflict with the [s]chool’s [c]harter,” these requests are not a request for a waiver of regulatory provisions. </w:t>
      </w:r>
      <w:r w:rsidR="008607F2">
        <w:t xml:space="preserve">These issues are in fact the subject of the lawsuit recently filed by MVRCS. </w:t>
      </w:r>
      <w:r w:rsidR="001061AB">
        <w:t>Therefore, these requests are not before the Board.</w:t>
      </w:r>
    </w:p>
  </w:footnote>
  <w:footnote w:id="7">
    <w:p w14:paraId="1BAFEACC" w14:textId="1829D10F" w:rsidR="00CD1815" w:rsidRDefault="00CD1815" w:rsidP="00CD1815">
      <w:pPr>
        <w:pStyle w:val="FootnoteText"/>
        <w:rPr>
          <w:rFonts w:ascii="Calibri" w:hAnsi="Calibri"/>
          <w:sz w:val="18"/>
        </w:rPr>
      </w:pPr>
      <w:r w:rsidRPr="00123D3D">
        <w:rPr>
          <w:rStyle w:val="FootnoteReference"/>
          <w:vertAlign w:val="superscript"/>
        </w:rPr>
        <w:footnoteRef/>
      </w:r>
      <w:r>
        <w:t xml:space="preserve"> The Criteria were developed to ensure that key purposes of charter schools</w:t>
      </w:r>
      <w:r w:rsidR="00A63DA6">
        <w:t>,</w:t>
      </w:r>
      <w:r>
        <w:t xml:space="preserve"> “to stimulate the development of innovative programs within public education; … to provide teachers with a vehicle for establishing schools with alternative, innovative methods of educational instruction and school structure and management</w:t>
      </w:r>
      <w:r w:rsidR="00A63DA6">
        <w:t>,</w:t>
      </w:r>
      <w:r>
        <w:t>” are preserved</w:t>
      </w:r>
      <w:r w:rsidR="00A63DA6">
        <w:t xml:space="preserve">. </w:t>
      </w:r>
      <w:r w:rsidR="00A63DA6" w:rsidRPr="00A63DA6">
        <w:rPr>
          <w:i/>
        </w:rPr>
        <w:t>See</w:t>
      </w:r>
      <w:r w:rsidR="00A63DA6" w:rsidRPr="00A63DA6">
        <w:t xml:space="preserve"> G.L. c. 71, § 89(b)(i) and (iv)</w:t>
      </w:r>
      <w:r w:rsidR="00A63DA6">
        <w:t xml:space="preserve">. The Criteria are also designed to enable </w:t>
      </w:r>
      <w:r>
        <w:t>a variety of educational models</w:t>
      </w:r>
      <w:r w:rsidR="00A63DA6">
        <w:t xml:space="preserve">, such as </w:t>
      </w:r>
      <w:r>
        <w:t>Montessori, competency-based, dual language-immersion</w:t>
      </w:r>
      <w:r w:rsidR="00A63DA6">
        <w:t xml:space="preserve"> programs, </w:t>
      </w:r>
      <w:r w:rsidR="00B433E2">
        <w:t>to</w:t>
      </w:r>
      <w:r>
        <w:t xml:space="preserve"> </w:t>
      </w:r>
      <w:r w:rsidR="00A63DA6">
        <w:t>provide</w:t>
      </w:r>
      <w:r>
        <w:t xml:space="preserve"> affirmative evidence of success for academic and non-academic outcomes.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021A07"/>
    <w:multiLevelType w:val="hybridMultilevel"/>
    <w:tmpl w:val="5B92C79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5CD964"/>
    <w:multiLevelType w:val="hybridMultilevel"/>
    <w:tmpl w:val="B38CF6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73B7A7"/>
    <w:multiLevelType w:val="hybridMultilevel"/>
    <w:tmpl w:val="69D2AA1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5"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9"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B873B08"/>
    <w:multiLevelType w:val="multilevel"/>
    <w:tmpl w:val="A3DC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7905920"/>
    <w:multiLevelType w:val="hybridMultilevel"/>
    <w:tmpl w:val="E85804B4"/>
    <w:lvl w:ilvl="0" w:tplc="B9EAF8D0">
      <w:start w:val="1"/>
      <w:numFmt w:val="decimal"/>
      <w:lvlText w:val="%1."/>
      <w:lvlJc w:val="left"/>
      <w:pPr>
        <w:tabs>
          <w:tab w:val="num" w:pos="720"/>
        </w:tabs>
        <w:ind w:left="720" w:hanging="360"/>
      </w:pPr>
    </w:lvl>
    <w:lvl w:ilvl="1" w:tplc="E39A3F0C">
      <w:start w:val="1"/>
      <w:numFmt w:val="decimal"/>
      <w:lvlText w:val="%2."/>
      <w:lvlJc w:val="left"/>
      <w:pPr>
        <w:tabs>
          <w:tab w:val="num" w:pos="1440"/>
        </w:tabs>
        <w:ind w:left="1440" w:hanging="360"/>
      </w:pPr>
    </w:lvl>
    <w:lvl w:ilvl="2" w:tplc="17DC92C2">
      <w:start w:val="1"/>
      <w:numFmt w:val="decimal"/>
      <w:lvlText w:val="%3."/>
      <w:lvlJc w:val="left"/>
      <w:pPr>
        <w:tabs>
          <w:tab w:val="num" w:pos="2160"/>
        </w:tabs>
        <w:ind w:left="2160" w:hanging="360"/>
      </w:pPr>
    </w:lvl>
    <w:lvl w:ilvl="3" w:tplc="9F24A52A">
      <w:start w:val="1"/>
      <w:numFmt w:val="decimal"/>
      <w:lvlText w:val="%4."/>
      <w:lvlJc w:val="left"/>
      <w:pPr>
        <w:tabs>
          <w:tab w:val="num" w:pos="2880"/>
        </w:tabs>
        <w:ind w:left="2880" w:hanging="360"/>
      </w:pPr>
    </w:lvl>
    <w:lvl w:ilvl="4" w:tplc="BFFC9DB6">
      <w:start w:val="1"/>
      <w:numFmt w:val="decimal"/>
      <w:lvlText w:val="%5."/>
      <w:lvlJc w:val="left"/>
      <w:pPr>
        <w:tabs>
          <w:tab w:val="num" w:pos="3600"/>
        </w:tabs>
        <w:ind w:left="3600" w:hanging="360"/>
      </w:pPr>
    </w:lvl>
    <w:lvl w:ilvl="5" w:tplc="DE2E3F34">
      <w:start w:val="1"/>
      <w:numFmt w:val="decimal"/>
      <w:lvlText w:val="%6."/>
      <w:lvlJc w:val="left"/>
      <w:pPr>
        <w:tabs>
          <w:tab w:val="num" w:pos="4320"/>
        </w:tabs>
        <w:ind w:left="4320" w:hanging="360"/>
      </w:pPr>
    </w:lvl>
    <w:lvl w:ilvl="6" w:tplc="39386F8A">
      <w:start w:val="1"/>
      <w:numFmt w:val="decimal"/>
      <w:lvlText w:val="%7."/>
      <w:lvlJc w:val="left"/>
      <w:pPr>
        <w:tabs>
          <w:tab w:val="num" w:pos="5040"/>
        </w:tabs>
        <w:ind w:left="5040" w:hanging="360"/>
      </w:pPr>
    </w:lvl>
    <w:lvl w:ilvl="7" w:tplc="848EC6D0">
      <w:start w:val="1"/>
      <w:numFmt w:val="decimal"/>
      <w:lvlText w:val="%8."/>
      <w:lvlJc w:val="left"/>
      <w:pPr>
        <w:tabs>
          <w:tab w:val="num" w:pos="5760"/>
        </w:tabs>
        <w:ind w:left="5760" w:hanging="360"/>
      </w:pPr>
    </w:lvl>
    <w:lvl w:ilvl="8" w:tplc="B142CE70">
      <w:start w:val="1"/>
      <w:numFmt w:val="decimal"/>
      <w:lvlText w:val="%9."/>
      <w:lvlJc w:val="left"/>
      <w:pPr>
        <w:tabs>
          <w:tab w:val="num" w:pos="6480"/>
        </w:tabs>
        <w:ind w:left="6480" w:hanging="360"/>
      </w:pPr>
    </w:lvl>
  </w:abstractNum>
  <w:abstractNum w:abstractNumId="22"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3"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266F0F"/>
    <w:multiLevelType w:val="hybridMultilevel"/>
    <w:tmpl w:val="6E4EC3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6"/>
  </w:num>
  <w:num w:numId="4">
    <w:abstractNumId w:val="19"/>
  </w:num>
  <w:num w:numId="5">
    <w:abstractNumId w:val="9"/>
  </w:num>
  <w:num w:numId="6">
    <w:abstractNumId w:val="16"/>
  </w:num>
  <w:num w:numId="7">
    <w:abstractNumId w:val="11"/>
  </w:num>
  <w:num w:numId="8">
    <w:abstractNumId w:val="5"/>
  </w:num>
  <w:num w:numId="9">
    <w:abstractNumId w:val="4"/>
  </w:num>
  <w:num w:numId="10">
    <w:abstractNumId w:val="3"/>
  </w:num>
  <w:num w:numId="11">
    <w:abstractNumId w:val="20"/>
  </w:num>
  <w:num w:numId="12">
    <w:abstractNumId w:val="12"/>
  </w:num>
  <w:num w:numId="13">
    <w:abstractNumId w:val="23"/>
  </w:num>
  <w:num w:numId="14">
    <w:abstractNumId w:val="15"/>
  </w:num>
  <w:num w:numId="15">
    <w:abstractNumId w:val="7"/>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0"/>
  </w:num>
  <w:num w:numId="19">
    <w:abstractNumId w:val="18"/>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4"/>
  </w:num>
  <w:num w:numId="23">
    <w:abstractNumId w:val="25"/>
  </w:num>
  <w:num w:numId="24">
    <w:abstractNumId w:val="1"/>
  </w:num>
  <w:num w:numId="25">
    <w:abstractNumId w:val="17"/>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12C7"/>
    <w:rsid w:val="00001C6F"/>
    <w:rsid w:val="000022A8"/>
    <w:rsid w:val="00002AE4"/>
    <w:rsid w:val="00005D37"/>
    <w:rsid w:val="00006E03"/>
    <w:rsid w:val="00012F0E"/>
    <w:rsid w:val="00017F78"/>
    <w:rsid w:val="00021821"/>
    <w:rsid w:val="00022207"/>
    <w:rsid w:val="00025507"/>
    <w:rsid w:val="0004066E"/>
    <w:rsid w:val="00041CA1"/>
    <w:rsid w:val="00043ADE"/>
    <w:rsid w:val="000457B9"/>
    <w:rsid w:val="00046685"/>
    <w:rsid w:val="000475B1"/>
    <w:rsid w:val="00052EFE"/>
    <w:rsid w:val="000556C1"/>
    <w:rsid w:val="000576C5"/>
    <w:rsid w:val="00062FA8"/>
    <w:rsid w:val="00064857"/>
    <w:rsid w:val="00085950"/>
    <w:rsid w:val="00092C82"/>
    <w:rsid w:val="000A065E"/>
    <w:rsid w:val="000A0D6A"/>
    <w:rsid w:val="000A0F1D"/>
    <w:rsid w:val="000A29A0"/>
    <w:rsid w:val="000A3930"/>
    <w:rsid w:val="000A59A0"/>
    <w:rsid w:val="000B1C0A"/>
    <w:rsid w:val="000B726B"/>
    <w:rsid w:val="000C2726"/>
    <w:rsid w:val="000C2BCD"/>
    <w:rsid w:val="000D0DB3"/>
    <w:rsid w:val="000D1D52"/>
    <w:rsid w:val="000D23B5"/>
    <w:rsid w:val="000D35AF"/>
    <w:rsid w:val="000D5107"/>
    <w:rsid w:val="000E0994"/>
    <w:rsid w:val="000E1549"/>
    <w:rsid w:val="000E49AC"/>
    <w:rsid w:val="000E5B88"/>
    <w:rsid w:val="000E5E95"/>
    <w:rsid w:val="000F4D5B"/>
    <w:rsid w:val="000F5443"/>
    <w:rsid w:val="000F6300"/>
    <w:rsid w:val="0010052A"/>
    <w:rsid w:val="0010114E"/>
    <w:rsid w:val="00102369"/>
    <w:rsid w:val="001061AB"/>
    <w:rsid w:val="001072DC"/>
    <w:rsid w:val="00110739"/>
    <w:rsid w:val="0011409B"/>
    <w:rsid w:val="001144C3"/>
    <w:rsid w:val="00123D3D"/>
    <w:rsid w:val="001258EC"/>
    <w:rsid w:val="001271CC"/>
    <w:rsid w:val="00134901"/>
    <w:rsid w:val="00136904"/>
    <w:rsid w:val="001372D7"/>
    <w:rsid w:val="00143E84"/>
    <w:rsid w:val="001449CB"/>
    <w:rsid w:val="001511A4"/>
    <w:rsid w:val="0015328C"/>
    <w:rsid w:val="001579CF"/>
    <w:rsid w:val="00164507"/>
    <w:rsid w:val="001652E5"/>
    <w:rsid w:val="00167E8F"/>
    <w:rsid w:val="00170340"/>
    <w:rsid w:val="001710B3"/>
    <w:rsid w:val="00185E02"/>
    <w:rsid w:val="00185E9E"/>
    <w:rsid w:val="00187E98"/>
    <w:rsid w:val="00190AEB"/>
    <w:rsid w:val="00196311"/>
    <w:rsid w:val="001A3384"/>
    <w:rsid w:val="001B7041"/>
    <w:rsid w:val="001C0E08"/>
    <w:rsid w:val="001C34A0"/>
    <w:rsid w:val="001D2934"/>
    <w:rsid w:val="001D4709"/>
    <w:rsid w:val="001D4F6E"/>
    <w:rsid w:val="001D5074"/>
    <w:rsid w:val="001D5AC8"/>
    <w:rsid w:val="001E2033"/>
    <w:rsid w:val="001E57B5"/>
    <w:rsid w:val="001F1BC3"/>
    <w:rsid w:val="001F358A"/>
    <w:rsid w:val="001F5005"/>
    <w:rsid w:val="001F56D8"/>
    <w:rsid w:val="001F5825"/>
    <w:rsid w:val="00200F90"/>
    <w:rsid w:val="00201172"/>
    <w:rsid w:val="00210C78"/>
    <w:rsid w:val="002111CB"/>
    <w:rsid w:val="00213AD5"/>
    <w:rsid w:val="00215FA9"/>
    <w:rsid w:val="00216036"/>
    <w:rsid w:val="002163A1"/>
    <w:rsid w:val="00224A59"/>
    <w:rsid w:val="002308C1"/>
    <w:rsid w:val="002416E7"/>
    <w:rsid w:val="00241A1F"/>
    <w:rsid w:val="002438EE"/>
    <w:rsid w:val="00243A55"/>
    <w:rsid w:val="002502CB"/>
    <w:rsid w:val="002503D1"/>
    <w:rsid w:val="00261BFC"/>
    <w:rsid w:val="002654B4"/>
    <w:rsid w:val="00271228"/>
    <w:rsid w:val="002713FC"/>
    <w:rsid w:val="00273152"/>
    <w:rsid w:val="002813B0"/>
    <w:rsid w:val="00281BF2"/>
    <w:rsid w:val="00286E2D"/>
    <w:rsid w:val="00291F01"/>
    <w:rsid w:val="00293847"/>
    <w:rsid w:val="002A0EF6"/>
    <w:rsid w:val="002A3E22"/>
    <w:rsid w:val="002A68B5"/>
    <w:rsid w:val="002B030B"/>
    <w:rsid w:val="002B09A2"/>
    <w:rsid w:val="002B1689"/>
    <w:rsid w:val="002B48F5"/>
    <w:rsid w:val="002B4B10"/>
    <w:rsid w:val="002B4B2F"/>
    <w:rsid w:val="002C0CF9"/>
    <w:rsid w:val="002C2CDF"/>
    <w:rsid w:val="002C56BD"/>
    <w:rsid w:val="002C622E"/>
    <w:rsid w:val="002D4EB8"/>
    <w:rsid w:val="002D6DA3"/>
    <w:rsid w:val="002E6FA4"/>
    <w:rsid w:val="002F3534"/>
    <w:rsid w:val="002F5424"/>
    <w:rsid w:val="00304364"/>
    <w:rsid w:val="00306095"/>
    <w:rsid w:val="00306240"/>
    <w:rsid w:val="00307FDD"/>
    <w:rsid w:val="0031437F"/>
    <w:rsid w:val="00315230"/>
    <w:rsid w:val="003166C8"/>
    <w:rsid w:val="00316F05"/>
    <w:rsid w:val="00329642"/>
    <w:rsid w:val="003300A8"/>
    <w:rsid w:val="00330D15"/>
    <w:rsid w:val="00341984"/>
    <w:rsid w:val="00347711"/>
    <w:rsid w:val="0035445A"/>
    <w:rsid w:val="00354C15"/>
    <w:rsid w:val="003550DC"/>
    <w:rsid w:val="00360559"/>
    <w:rsid w:val="00361467"/>
    <w:rsid w:val="00363A77"/>
    <w:rsid w:val="00363EC5"/>
    <w:rsid w:val="00365F2F"/>
    <w:rsid w:val="003838AF"/>
    <w:rsid w:val="00390AA2"/>
    <w:rsid w:val="00391575"/>
    <w:rsid w:val="0039194F"/>
    <w:rsid w:val="0039394A"/>
    <w:rsid w:val="0039533A"/>
    <w:rsid w:val="003953C8"/>
    <w:rsid w:val="003A2F60"/>
    <w:rsid w:val="003B43E3"/>
    <w:rsid w:val="003B5CC5"/>
    <w:rsid w:val="003B7170"/>
    <w:rsid w:val="003C4139"/>
    <w:rsid w:val="003C4D6C"/>
    <w:rsid w:val="003C54A5"/>
    <w:rsid w:val="003D0F91"/>
    <w:rsid w:val="003D25FA"/>
    <w:rsid w:val="003D335F"/>
    <w:rsid w:val="003F105B"/>
    <w:rsid w:val="003F4849"/>
    <w:rsid w:val="003F7CE7"/>
    <w:rsid w:val="0040359F"/>
    <w:rsid w:val="004038A5"/>
    <w:rsid w:val="00404B36"/>
    <w:rsid w:val="00405677"/>
    <w:rsid w:val="0040659C"/>
    <w:rsid w:val="0041210C"/>
    <w:rsid w:val="004159AD"/>
    <w:rsid w:val="004173F3"/>
    <w:rsid w:val="004202BA"/>
    <w:rsid w:val="00421725"/>
    <w:rsid w:val="004233C3"/>
    <w:rsid w:val="004242A3"/>
    <w:rsid w:val="00424360"/>
    <w:rsid w:val="00435E8F"/>
    <w:rsid w:val="00442409"/>
    <w:rsid w:val="00442F66"/>
    <w:rsid w:val="0044385C"/>
    <w:rsid w:val="00447654"/>
    <w:rsid w:val="004621DF"/>
    <w:rsid w:val="004655BF"/>
    <w:rsid w:val="00466D00"/>
    <w:rsid w:val="00471607"/>
    <w:rsid w:val="004721D5"/>
    <w:rsid w:val="00473F1D"/>
    <w:rsid w:val="00481D9E"/>
    <w:rsid w:val="00484D70"/>
    <w:rsid w:val="00485687"/>
    <w:rsid w:val="00487EF3"/>
    <w:rsid w:val="00491500"/>
    <w:rsid w:val="0049325F"/>
    <w:rsid w:val="00493CB7"/>
    <w:rsid w:val="00495409"/>
    <w:rsid w:val="004A2C36"/>
    <w:rsid w:val="004A2E32"/>
    <w:rsid w:val="004A33E4"/>
    <w:rsid w:val="004A4B97"/>
    <w:rsid w:val="004A51B1"/>
    <w:rsid w:val="004A669E"/>
    <w:rsid w:val="004A7C2E"/>
    <w:rsid w:val="004B2D72"/>
    <w:rsid w:val="004B3C8A"/>
    <w:rsid w:val="004B48DA"/>
    <w:rsid w:val="004B7F68"/>
    <w:rsid w:val="004C3EF8"/>
    <w:rsid w:val="004C4ADA"/>
    <w:rsid w:val="004C523A"/>
    <w:rsid w:val="004C545D"/>
    <w:rsid w:val="004D040A"/>
    <w:rsid w:val="004D2264"/>
    <w:rsid w:val="004D4CF2"/>
    <w:rsid w:val="004E060F"/>
    <w:rsid w:val="004E370C"/>
    <w:rsid w:val="004E5697"/>
    <w:rsid w:val="004E5DB5"/>
    <w:rsid w:val="004F2ACF"/>
    <w:rsid w:val="005002A8"/>
    <w:rsid w:val="00501082"/>
    <w:rsid w:val="00507BF7"/>
    <w:rsid w:val="00511E41"/>
    <w:rsid w:val="00513056"/>
    <w:rsid w:val="005135B4"/>
    <w:rsid w:val="00516A0F"/>
    <w:rsid w:val="005217FC"/>
    <w:rsid w:val="00524EC4"/>
    <w:rsid w:val="00527D1C"/>
    <w:rsid w:val="00534FF2"/>
    <w:rsid w:val="00536648"/>
    <w:rsid w:val="005430E2"/>
    <w:rsid w:val="00545502"/>
    <w:rsid w:val="005463E4"/>
    <w:rsid w:val="0055308F"/>
    <w:rsid w:val="00554B85"/>
    <w:rsid w:val="00554F3B"/>
    <w:rsid w:val="00555019"/>
    <w:rsid w:val="00567D2E"/>
    <w:rsid w:val="0057048E"/>
    <w:rsid w:val="00571660"/>
    <w:rsid w:val="00571666"/>
    <w:rsid w:val="00575159"/>
    <w:rsid w:val="00577A64"/>
    <w:rsid w:val="00580DFA"/>
    <w:rsid w:val="0058702A"/>
    <w:rsid w:val="0059178C"/>
    <w:rsid w:val="00595D74"/>
    <w:rsid w:val="00596375"/>
    <w:rsid w:val="005A254C"/>
    <w:rsid w:val="005A3DFB"/>
    <w:rsid w:val="005A412D"/>
    <w:rsid w:val="005A4C11"/>
    <w:rsid w:val="005B0DAB"/>
    <w:rsid w:val="005B41B9"/>
    <w:rsid w:val="005C1013"/>
    <w:rsid w:val="005D013E"/>
    <w:rsid w:val="005D1011"/>
    <w:rsid w:val="005E2CCD"/>
    <w:rsid w:val="005E3535"/>
    <w:rsid w:val="005E4C60"/>
    <w:rsid w:val="005E5C82"/>
    <w:rsid w:val="005F2DD8"/>
    <w:rsid w:val="005F4333"/>
    <w:rsid w:val="00603C4D"/>
    <w:rsid w:val="00603CA0"/>
    <w:rsid w:val="00607C24"/>
    <w:rsid w:val="00615D54"/>
    <w:rsid w:val="00616E24"/>
    <w:rsid w:val="00620208"/>
    <w:rsid w:val="00622645"/>
    <w:rsid w:val="00623231"/>
    <w:rsid w:val="00630B70"/>
    <w:rsid w:val="00634EB6"/>
    <w:rsid w:val="00635070"/>
    <w:rsid w:val="006375F6"/>
    <w:rsid w:val="0064770F"/>
    <w:rsid w:val="00653DA3"/>
    <w:rsid w:val="00656E10"/>
    <w:rsid w:val="0066458A"/>
    <w:rsid w:val="006646C8"/>
    <w:rsid w:val="00666136"/>
    <w:rsid w:val="006667C0"/>
    <w:rsid w:val="00667369"/>
    <w:rsid w:val="0066789B"/>
    <w:rsid w:val="00673309"/>
    <w:rsid w:val="00680CCF"/>
    <w:rsid w:val="00681C2D"/>
    <w:rsid w:val="00684D3C"/>
    <w:rsid w:val="00690E8A"/>
    <w:rsid w:val="00691197"/>
    <w:rsid w:val="006925C9"/>
    <w:rsid w:val="006A0F24"/>
    <w:rsid w:val="006A3D35"/>
    <w:rsid w:val="006A4D09"/>
    <w:rsid w:val="006A5EC7"/>
    <w:rsid w:val="006A73ED"/>
    <w:rsid w:val="006C0F45"/>
    <w:rsid w:val="006C32D4"/>
    <w:rsid w:val="006D4E62"/>
    <w:rsid w:val="006D6B9A"/>
    <w:rsid w:val="006F339C"/>
    <w:rsid w:val="006F5210"/>
    <w:rsid w:val="006F57AE"/>
    <w:rsid w:val="006F6B3E"/>
    <w:rsid w:val="006F7D3B"/>
    <w:rsid w:val="0070548F"/>
    <w:rsid w:val="00705980"/>
    <w:rsid w:val="007072FB"/>
    <w:rsid w:val="00711AB6"/>
    <w:rsid w:val="00713DC9"/>
    <w:rsid w:val="00714801"/>
    <w:rsid w:val="007155C0"/>
    <w:rsid w:val="007256AB"/>
    <w:rsid w:val="00731859"/>
    <w:rsid w:val="007374CB"/>
    <w:rsid w:val="00741038"/>
    <w:rsid w:val="0074422E"/>
    <w:rsid w:val="00750959"/>
    <w:rsid w:val="00750D49"/>
    <w:rsid w:val="00755C81"/>
    <w:rsid w:val="007569B3"/>
    <w:rsid w:val="00761FD8"/>
    <w:rsid w:val="00763B5B"/>
    <w:rsid w:val="00763C00"/>
    <w:rsid w:val="007665E9"/>
    <w:rsid w:val="0077043F"/>
    <w:rsid w:val="007732FB"/>
    <w:rsid w:val="00773E7A"/>
    <w:rsid w:val="00774BD3"/>
    <w:rsid w:val="00776BBC"/>
    <w:rsid w:val="00782F5E"/>
    <w:rsid w:val="00784ACC"/>
    <w:rsid w:val="007852C4"/>
    <w:rsid w:val="00785F0D"/>
    <w:rsid w:val="00787E2D"/>
    <w:rsid w:val="00791578"/>
    <w:rsid w:val="00792D04"/>
    <w:rsid w:val="00793595"/>
    <w:rsid w:val="00795189"/>
    <w:rsid w:val="007A6853"/>
    <w:rsid w:val="007B1013"/>
    <w:rsid w:val="007B3EE1"/>
    <w:rsid w:val="007B4803"/>
    <w:rsid w:val="007B5827"/>
    <w:rsid w:val="007C6735"/>
    <w:rsid w:val="007D2CAF"/>
    <w:rsid w:val="007D5F4E"/>
    <w:rsid w:val="007E2623"/>
    <w:rsid w:val="007E2E1E"/>
    <w:rsid w:val="007E62A6"/>
    <w:rsid w:val="007F6E38"/>
    <w:rsid w:val="008021E0"/>
    <w:rsid w:val="00803008"/>
    <w:rsid w:val="00803C71"/>
    <w:rsid w:val="00807EBF"/>
    <w:rsid w:val="0081129D"/>
    <w:rsid w:val="008126E8"/>
    <w:rsid w:val="00813D6A"/>
    <w:rsid w:val="008140C5"/>
    <w:rsid w:val="008153FD"/>
    <w:rsid w:val="008163FF"/>
    <w:rsid w:val="008206B5"/>
    <w:rsid w:val="00824A61"/>
    <w:rsid w:val="0083108B"/>
    <w:rsid w:val="00831CE9"/>
    <w:rsid w:val="00832A24"/>
    <w:rsid w:val="0083611B"/>
    <w:rsid w:val="00836887"/>
    <w:rsid w:val="00841589"/>
    <w:rsid w:val="00843308"/>
    <w:rsid w:val="00844114"/>
    <w:rsid w:val="00844CFE"/>
    <w:rsid w:val="00844D0E"/>
    <w:rsid w:val="008475E5"/>
    <w:rsid w:val="008551A3"/>
    <w:rsid w:val="00856EA1"/>
    <w:rsid w:val="0086043C"/>
    <w:rsid w:val="008607F2"/>
    <w:rsid w:val="00865C47"/>
    <w:rsid w:val="00867C54"/>
    <w:rsid w:val="00884216"/>
    <w:rsid w:val="008862AD"/>
    <w:rsid w:val="00886840"/>
    <w:rsid w:val="00890D5A"/>
    <w:rsid w:val="0089434C"/>
    <w:rsid w:val="00895F4F"/>
    <w:rsid w:val="00896E27"/>
    <w:rsid w:val="008A07BF"/>
    <w:rsid w:val="008A0B1B"/>
    <w:rsid w:val="008A5685"/>
    <w:rsid w:val="008A6FE5"/>
    <w:rsid w:val="008B14B1"/>
    <w:rsid w:val="008B6676"/>
    <w:rsid w:val="008C238A"/>
    <w:rsid w:val="008C5534"/>
    <w:rsid w:val="008C6578"/>
    <w:rsid w:val="008C6F0E"/>
    <w:rsid w:val="008D0443"/>
    <w:rsid w:val="008D1C58"/>
    <w:rsid w:val="008D470F"/>
    <w:rsid w:val="008D5853"/>
    <w:rsid w:val="008D5AE8"/>
    <w:rsid w:val="008E09BD"/>
    <w:rsid w:val="008E53BD"/>
    <w:rsid w:val="008E70FE"/>
    <w:rsid w:val="008E732C"/>
    <w:rsid w:val="008F18E7"/>
    <w:rsid w:val="008F57DA"/>
    <w:rsid w:val="008F6994"/>
    <w:rsid w:val="008FD222"/>
    <w:rsid w:val="009005EB"/>
    <w:rsid w:val="00901C88"/>
    <w:rsid w:val="009048AD"/>
    <w:rsid w:val="0090729C"/>
    <w:rsid w:val="009111AB"/>
    <w:rsid w:val="00911628"/>
    <w:rsid w:val="009160FA"/>
    <w:rsid w:val="00917F9D"/>
    <w:rsid w:val="00917FC7"/>
    <w:rsid w:val="00920162"/>
    <w:rsid w:val="00932810"/>
    <w:rsid w:val="00932C66"/>
    <w:rsid w:val="00936C4C"/>
    <w:rsid w:val="00936F13"/>
    <w:rsid w:val="00937BC3"/>
    <w:rsid w:val="009451F7"/>
    <w:rsid w:val="00946156"/>
    <w:rsid w:val="009468E4"/>
    <w:rsid w:val="00947C0C"/>
    <w:rsid w:val="009514DC"/>
    <w:rsid w:val="009516D8"/>
    <w:rsid w:val="00952895"/>
    <w:rsid w:val="00955888"/>
    <w:rsid w:val="0096377A"/>
    <w:rsid w:val="0097067C"/>
    <w:rsid w:val="00972AD9"/>
    <w:rsid w:val="009733CB"/>
    <w:rsid w:val="00976F4C"/>
    <w:rsid w:val="009778D0"/>
    <w:rsid w:val="00980B84"/>
    <w:rsid w:val="00986649"/>
    <w:rsid w:val="009948D1"/>
    <w:rsid w:val="009966EA"/>
    <w:rsid w:val="00996805"/>
    <w:rsid w:val="009A3213"/>
    <w:rsid w:val="009A3F37"/>
    <w:rsid w:val="009A76CD"/>
    <w:rsid w:val="009B3502"/>
    <w:rsid w:val="009B4B18"/>
    <w:rsid w:val="009C1350"/>
    <w:rsid w:val="009C2093"/>
    <w:rsid w:val="009D11E3"/>
    <w:rsid w:val="009D638D"/>
    <w:rsid w:val="009E48AC"/>
    <w:rsid w:val="009E5DE8"/>
    <w:rsid w:val="009F5663"/>
    <w:rsid w:val="009F7A16"/>
    <w:rsid w:val="00A02608"/>
    <w:rsid w:val="00A20194"/>
    <w:rsid w:val="00A26505"/>
    <w:rsid w:val="00A3132A"/>
    <w:rsid w:val="00A3251C"/>
    <w:rsid w:val="00A327E4"/>
    <w:rsid w:val="00A37BA6"/>
    <w:rsid w:val="00A37CC3"/>
    <w:rsid w:val="00A41574"/>
    <w:rsid w:val="00A4251A"/>
    <w:rsid w:val="00A4297E"/>
    <w:rsid w:val="00A464FB"/>
    <w:rsid w:val="00A47479"/>
    <w:rsid w:val="00A555FD"/>
    <w:rsid w:val="00A63DA6"/>
    <w:rsid w:val="00A64182"/>
    <w:rsid w:val="00A669F1"/>
    <w:rsid w:val="00A70FE3"/>
    <w:rsid w:val="00A73C30"/>
    <w:rsid w:val="00A76105"/>
    <w:rsid w:val="00A7681B"/>
    <w:rsid w:val="00A9121F"/>
    <w:rsid w:val="00A91FF8"/>
    <w:rsid w:val="00A925C1"/>
    <w:rsid w:val="00A93A5E"/>
    <w:rsid w:val="00A94F83"/>
    <w:rsid w:val="00A954F1"/>
    <w:rsid w:val="00AA2C45"/>
    <w:rsid w:val="00AA46CF"/>
    <w:rsid w:val="00AA4D66"/>
    <w:rsid w:val="00AA53EA"/>
    <w:rsid w:val="00AB401F"/>
    <w:rsid w:val="00AB5330"/>
    <w:rsid w:val="00AB5D4F"/>
    <w:rsid w:val="00AC1A57"/>
    <w:rsid w:val="00AC1C82"/>
    <w:rsid w:val="00AC355B"/>
    <w:rsid w:val="00AD3989"/>
    <w:rsid w:val="00AD4106"/>
    <w:rsid w:val="00AD461E"/>
    <w:rsid w:val="00AD56ED"/>
    <w:rsid w:val="00AD58F2"/>
    <w:rsid w:val="00AD5A6C"/>
    <w:rsid w:val="00AE3ADF"/>
    <w:rsid w:val="00AE40B7"/>
    <w:rsid w:val="00AE58FE"/>
    <w:rsid w:val="00AF0A91"/>
    <w:rsid w:val="00AF1AE4"/>
    <w:rsid w:val="00AF2E1F"/>
    <w:rsid w:val="00AF406C"/>
    <w:rsid w:val="00AF6352"/>
    <w:rsid w:val="00B0351F"/>
    <w:rsid w:val="00B10B56"/>
    <w:rsid w:val="00B13D27"/>
    <w:rsid w:val="00B15E7C"/>
    <w:rsid w:val="00B20D7F"/>
    <w:rsid w:val="00B23AD1"/>
    <w:rsid w:val="00B26E87"/>
    <w:rsid w:val="00B34968"/>
    <w:rsid w:val="00B3741A"/>
    <w:rsid w:val="00B37922"/>
    <w:rsid w:val="00B406F4"/>
    <w:rsid w:val="00B413C0"/>
    <w:rsid w:val="00B433E2"/>
    <w:rsid w:val="00B46222"/>
    <w:rsid w:val="00B6230A"/>
    <w:rsid w:val="00B7623C"/>
    <w:rsid w:val="00B7786B"/>
    <w:rsid w:val="00B81971"/>
    <w:rsid w:val="00B836AF"/>
    <w:rsid w:val="00B83F08"/>
    <w:rsid w:val="00B84176"/>
    <w:rsid w:val="00B94993"/>
    <w:rsid w:val="00B96F75"/>
    <w:rsid w:val="00B9714D"/>
    <w:rsid w:val="00BA1BA6"/>
    <w:rsid w:val="00BA3348"/>
    <w:rsid w:val="00BA6910"/>
    <w:rsid w:val="00BA7399"/>
    <w:rsid w:val="00BB208C"/>
    <w:rsid w:val="00BB31FB"/>
    <w:rsid w:val="00BB5D8F"/>
    <w:rsid w:val="00BB7BB2"/>
    <w:rsid w:val="00BC0B4A"/>
    <w:rsid w:val="00BD2885"/>
    <w:rsid w:val="00BD7402"/>
    <w:rsid w:val="00BE2178"/>
    <w:rsid w:val="00BF4ECA"/>
    <w:rsid w:val="00BF65B8"/>
    <w:rsid w:val="00C003E1"/>
    <w:rsid w:val="00C0268E"/>
    <w:rsid w:val="00C20A80"/>
    <w:rsid w:val="00C24857"/>
    <w:rsid w:val="00C24BF0"/>
    <w:rsid w:val="00C34091"/>
    <w:rsid w:val="00C35831"/>
    <w:rsid w:val="00C37E40"/>
    <w:rsid w:val="00C41BE1"/>
    <w:rsid w:val="00C42E79"/>
    <w:rsid w:val="00C46D5F"/>
    <w:rsid w:val="00C47D72"/>
    <w:rsid w:val="00C57023"/>
    <w:rsid w:val="00C632A0"/>
    <w:rsid w:val="00C65880"/>
    <w:rsid w:val="00C67032"/>
    <w:rsid w:val="00C7397D"/>
    <w:rsid w:val="00C750B5"/>
    <w:rsid w:val="00C771C8"/>
    <w:rsid w:val="00C81340"/>
    <w:rsid w:val="00C85EDD"/>
    <w:rsid w:val="00C87116"/>
    <w:rsid w:val="00C8776E"/>
    <w:rsid w:val="00C94FA9"/>
    <w:rsid w:val="00C974A6"/>
    <w:rsid w:val="00CA1F60"/>
    <w:rsid w:val="00CA2561"/>
    <w:rsid w:val="00CA3A1E"/>
    <w:rsid w:val="00CB0D38"/>
    <w:rsid w:val="00CB10F3"/>
    <w:rsid w:val="00CB3E17"/>
    <w:rsid w:val="00CB55A3"/>
    <w:rsid w:val="00CB70FF"/>
    <w:rsid w:val="00CB7300"/>
    <w:rsid w:val="00CC0D5A"/>
    <w:rsid w:val="00CC5F06"/>
    <w:rsid w:val="00CC62B2"/>
    <w:rsid w:val="00CC66FF"/>
    <w:rsid w:val="00CC6C12"/>
    <w:rsid w:val="00CC756F"/>
    <w:rsid w:val="00CD1815"/>
    <w:rsid w:val="00CD6BD9"/>
    <w:rsid w:val="00CE5315"/>
    <w:rsid w:val="00CE5854"/>
    <w:rsid w:val="00CF66F0"/>
    <w:rsid w:val="00D0058D"/>
    <w:rsid w:val="00D00F0A"/>
    <w:rsid w:val="00D0526F"/>
    <w:rsid w:val="00D10EF8"/>
    <w:rsid w:val="00D135F0"/>
    <w:rsid w:val="00D1782C"/>
    <w:rsid w:val="00D21283"/>
    <w:rsid w:val="00D215A6"/>
    <w:rsid w:val="00D21D82"/>
    <w:rsid w:val="00D2509D"/>
    <w:rsid w:val="00D40EF1"/>
    <w:rsid w:val="00D42CFE"/>
    <w:rsid w:val="00D456B8"/>
    <w:rsid w:val="00D457AE"/>
    <w:rsid w:val="00D46D80"/>
    <w:rsid w:val="00D54AED"/>
    <w:rsid w:val="00D73B50"/>
    <w:rsid w:val="00D73C51"/>
    <w:rsid w:val="00D744BC"/>
    <w:rsid w:val="00D76116"/>
    <w:rsid w:val="00D854CB"/>
    <w:rsid w:val="00D875E3"/>
    <w:rsid w:val="00D87AA2"/>
    <w:rsid w:val="00D93DB6"/>
    <w:rsid w:val="00D9488D"/>
    <w:rsid w:val="00D94AA6"/>
    <w:rsid w:val="00D950A9"/>
    <w:rsid w:val="00DA1757"/>
    <w:rsid w:val="00DA1886"/>
    <w:rsid w:val="00DA6385"/>
    <w:rsid w:val="00DA67AB"/>
    <w:rsid w:val="00DB04AB"/>
    <w:rsid w:val="00DB4613"/>
    <w:rsid w:val="00DB5DFB"/>
    <w:rsid w:val="00DC10F4"/>
    <w:rsid w:val="00DD1603"/>
    <w:rsid w:val="00DD1E7A"/>
    <w:rsid w:val="00DD34B7"/>
    <w:rsid w:val="00DD6E4A"/>
    <w:rsid w:val="00DE50DF"/>
    <w:rsid w:val="00DE73A8"/>
    <w:rsid w:val="00DF544F"/>
    <w:rsid w:val="00E00E93"/>
    <w:rsid w:val="00E01297"/>
    <w:rsid w:val="00E01ED6"/>
    <w:rsid w:val="00E03D02"/>
    <w:rsid w:val="00E04F76"/>
    <w:rsid w:val="00E06DAC"/>
    <w:rsid w:val="00E11954"/>
    <w:rsid w:val="00E13823"/>
    <w:rsid w:val="00E25398"/>
    <w:rsid w:val="00E27732"/>
    <w:rsid w:val="00E3387C"/>
    <w:rsid w:val="00E359AD"/>
    <w:rsid w:val="00E429C8"/>
    <w:rsid w:val="00E43496"/>
    <w:rsid w:val="00E43720"/>
    <w:rsid w:val="00E466AE"/>
    <w:rsid w:val="00E47D6B"/>
    <w:rsid w:val="00E520CA"/>
    <w:rsid w:val="00E543C7"/>
    <w:rsid w:val="00E555C3"/>
    <w:rsid w:val="00E60647"/>
    <w:rsid w:val="00E609E5"/>
    <w:rsid w:val="00E62093"/>
    <w:rsid w:val="00E650C6"/>
    <w:rsid w:val="00E66C85"/>
    <w:rsid w:val="00E6757A"/>
    <w:rsid w:val="00E730C5"/>
    <w:rsid w:val="00E76581"/>
    <w:rsid w:val="00E77FAD"/>
    <w:rsid w:val="00E83B51"/>
    <w:rsid w:val="00E91B1E"/>
    <w:rsid w:val="00E93CFB"/>
    <w:rsid w:val="00E95F74"/>
    <w:rsid w:val="00E960DC"/>
    <w:rsid w:val="00E961C6"/>
    <w:rsid w:val="00EA1367"/>
    <w:rsid w:val="00EB17D8"/>
    <w:rsid w:val="00EB7BF1"/>
    <w:rsid w:val="00EC112C"/>
    <w:rsid w:val="00EC2F8B"/>
    <w:rsid w:val="00EC3C27"/>
    <w:rsid w:val="00EC6991"/>
    <w:rsid w:val="00EC7A18"/>
    <w:rsid w:val="00ED1D53"/>
    <w:rsid w:val="00ED7240"/>
    <w:rsid w:val="00ED7872"/>
    <w:rsid w:val="00EE0A55"/>
    <w:rsid w:val="00EE24FC"/>
    <w:rsid w:val="00EE3970"/>
    <w:rsid w:val="00EF3C80"/>
    <w:rsid w:val="00EF5E00"/>
    <w:rsid w:val="00F01D55"/>
    <w:rsid w:val="00F04445"/>
    <w:rsid w:val="00F071C7"/>
    <w:rsid w:val="00F0731E"/>
    <w:rsid w:val="00F0768F"/>
    <w:rsid w:val="00F078D7"/>
    <w:rsid w:val="00F11429"/>
    <w:rsid w:val="00F12B42"/>
    <w:rsid w:val="00F1469B"/>
    <w:rsid w:val="00F15128"/>
    <w:rsid w:val="00F15A05"/>
    <w:rsid w:val="00F2396B"/>
    <w:rsid w:val="00F25840"/>
    <w:rsid w:val="00F259BE"/>
    <w:rsid w:val="00F26989"/>
    <w:rsid w:val="00F27884"/>
    <w:rsid w:val="00F27F99"/>
    <w:rsid w:val="00F30A81"/>
    <w:rsid w:val="00F3196D"/>
    <w:rsid w:val="00F321E4"/>
    <w:rsid w:val="00F325A1"/>
    <w:rsid w:val="00F47B52"/>
    <w:rsid w:val="00F55CDD"/>
    <w:rsid w:val="00F56B5C"/>
    <w:rsid w:val="00F56BD3"/>
    <w:rsid w:val="00F635EF"/>
    <w:rsid w:val="00F64018"/>
    <w:rsid w:val="00F66B73"/>
    <w:rsid w:val="00F71DB4"/>
    <w:rsid w:val="00F72762"/>
    <w:rsid w:val="00F74AEF"/>
    <w:rsid w:val="00F7557C"/>
    <w:rsid w:val="00F76E32"/>
    <w:rsid w:val="00F83020"/>
    <w:rsid w:val="00F878C5"/>
    <w:rsid w:val="00F96220"/>
    <w:rsid w:val="00F96C9B"/>
    <w:rsid w:val="00FA4B46"/>
    <w:rsid w:val="00FB0D18"/>
    <w:rsid w:val="00FB1F4A"/>
    <w:rsid w:val="00FB46CC"/>
    <w:rsid w:val="00FB640A"/>
    <w:rsid w:val="00FB7A44"/>
    <w:rsid w:val="00FC2A03"/>
    <w:rsid w:val="00FC4C0A"/>
    <w:rsid w:val="00FC54AA"/>
    <w:rsid w:val="00FD1436"/>
    <w:rsid w:val="00FD5A0C"/>
    <w:rsid w:val="00FD691A"/>
    <w:rsid w:val="00FF111F"/>
    <w:rsid w:val="00FF543C"/>
    <w:rsid w:val="00FF7398"/>
    <w:rsid w:val="01EC8A0A"/>
    <w:rsid w:val="02C016FF"/>
    <w:rsid w:val="02F28CA2"/>
    <w:rsid w:val="03AE2B7E"/>
    <w:rsid w:val="050F613C"/>
    <w:rsid w:val="082127B9"/>
    <w:rsid w:val="0E7F6FF3"/>
    <w:rsid w:val="0EF1877E"/>
    <w:rsid w:val="0FD1FE34"/>
    <w:rsid w:val="10A7A5FB"/>
    <w:rsid w:val="1132B30F"/>
    <w:rsid w:val="182EFA2E"/>
    <w:rsid w:val="18706EF6"/>
    <w:rsid w:val="18E1FE6F"/>
    <w:rsid w:val="1C1BB75C"/>
    <w:rsid w:val="1C4EAFF4"/>
    <w:rsid w:val="1CD4F7E2"/>
    <w:rsid w:val="201228C8"/>
    <w:rsid w:val="21891B03"/>
    <w:rsid w:val="2398721C"/>
    <w:rsid w:val="24307993"/>
    <w:rsid w:val="24B76A14"/>
    <w:rsid w:val="2CE303D2"/>
    <w:rsid w:val="2E3D2DBC"/>
    <w:rsid w:val="2EBA04B8"/>
    <w:rsid w:val="328A067C"/>
    <w:rsid w:val="34161E5B"/>
    <w:rsid w:val="36EB56B1"/>
    <w:rsid w:val="3D5D5370"/>
    <w:rsid w:val="3DD8A1C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640D2FB"/>
    <w:rsid w:val="66DB3849"/>
    <w:rsid w:val="67AD1EFD"/>
    <w:rsid w:val="6A39229A"/>
    <w:rsid w:val="6D7E2725"/>
    <w:rsid w:val="6FDE6E8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32E440A1-34AB-4907-A9A8-89C5DF0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customStyle="1" w:styleId="UnresolvedMention1">
    <w:name w:val="Unresolved Mention1"/>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rsid w:val="000B726B"/>
    <w:pPr>
      <w:widowControl/>
    </w:pPr>
    <w:rPr>
      <w:snapToGrid/>
      <w:sz w:val="20"/>
    </w:rPr>
  </w:style>
  <w:style w:type="character" w:customStyle="1" w:styleId="FootnoteTextChar">
    <w:name w:val="Footnote Text Char"/>
    <w:basedOn w:val="DefaultParagraphFont"/>
    <w:link w:val="FootnoteText"/>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 w:type="paragraph" w:customStyle="1" w:styleId="Table">
    <w:name w:val="Table"/>
    <w:basedOn w:val="Normal"/>
    <w:qFormat/>
    <w:rsid w:val="00920162"/>
    <w:pPr>
      <w:widowControl/>
      <w:spacing w:before="80" w:after="80"/>
    </w:pPr>
    <w:rPr>
      <w:rFonts w:asciiTheme="minorHAnsi" w:eastAsiaTheme="minorEastAsia" w:hAnsiTheme="minorHAnsi" w:cstheme="minorBidi"/>
      <w:snapToGrid/>
      <w:sz w:val="20"/>
      <w:lang w:bidi="en-US"/>
    </w:rPr>
  </w:style>
  <w:style w:type="paragraph" w:customStyle="1" w:styleId="TableHeading">
    <w:name w:val="Table Heading"/>
    <w:basedOn w:val="Table"/>
    <w:qFormat/>
    <w:rsid w:val="00920162"/>
    <w:pPr>
      <w:spacing w:line="276" w:lineRule="auto"/>
    </w:pPr>
    <w:rPr>
      <w:b/>
      <w:sz w:val="22"/>
    </w:rPr>
  </w:style>
  <w:style w:type="paragraph" w:styleId="Revision">
    <w:name w:val="Revision"/>
    <w:hidden/>
    <w:uiPriority w:val="99"/>
    <w:semiHidden/>
    <w:rsid w:val="00524EC4"/>
    <w:rPr>
      <w:snapToGrid w:val="0"/>
      <w:sz w:val="24"/>
    </w:rPr>
  </w:style>
  <w:style w:type="paragraph" w:styleId="Subtitle">
    <w:name w:val="Subtitle"/>
    <w:basedOn w:val="Normal"/>
    <w:next w:val="Normal"/>
    <w:link w:val="SubtitleChar"/>
    <w:uiPriority w:val="11"/>
    <w:qFormat/>
    <w:rsid w:val="00390AA2"/>
    <w:pPr>
      <w:widowControl/>
      <w:spacing w:after="1000"/>
    </w:pPr>
    <w:rPr>
      <w:rFonts w:asciiTheme="minorHAnsi" w:eastAsiaTheme="minorEastAsia" w:hAnsiTheme="minorHAnsi" w:cstheme="minorBidi"/>
      <w:caps/>
      <w:snapToGrid/>
      <w:color w:val="000000" w:themeColor="text1"/>
      <w:spacing w:val="10"/>
      <w:szCs w:val="24"/>
      <w:lang w:bidi="en-US"/>
    </w:rPr>
  </w:style>
  <w:style w:type="character" w:customStyle="1" w:styleId="SubtitleChar">
    <w:name w:val="Subtitle Char"/>
    <w:basedOn w:val="DefaultParagraphFont"/>
    <w:link w:val="Subtitle"/>
    <w:uiPriority w:val="11"/>
    <w:rsid w:val="00390AA2"/>
    <w:rPr>
      <w:rFonts w:asciiTheme="minorHAnsi" w:eastAsiaTheme="minorEastAsia" w:hAnsiTheme="minorHAnsi" w:cstheme="minorBidi"/>
      <w:caps/>
      <w:color w:val="000000" w:themeColor="text1"/>
      <w:spacing w:val="10"/>
      <w:sz w:val="24"/>
      <w:szCs w:val="24"/>
      <w:lang w:bidi="en-US"/>
    </w:rPr>
  </w:style>
  <w:style w:type="character" w:customStyle="1" w:styleId="UnresolvedMention2">
    <w:name w:val="Unresolved Mention2"/>
    <w:basedOn w:val="DefaultParagraphFont"/>
    <w:uiPriority w:val="99"/>
    <w:semiHidden/>
    <w:unhideWhenUsed/>
    <w:rsid w:val="00513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1974747158">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211622277">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sChild>
    </w:div>
    <w:div w:id="670523623">
      <w:bodyDiv w:val="1"/>
      <w:marLeft w:val="0"/>
      <w:marRight w:val="0"/>
      <w:marTop w:val="0"/>
      <w:marBottom w:val="0"/>
      <w:divBdr>
        <w:top w:val="none" w:sz="0" w:space="0" w:color="auto"/>
        <w:left w:val="none" w:sz="0" w:space="0" w:color="auto"/>
        <w:bottom w:val="none" w:sz="0" w:space="0" w:color="auto"/>
        <w:right w:val="none" w:sz="0" w:space="0" w:color="auto"/>
      </w:divBdr>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670058933">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97054563">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657804798">
                  <w:marLeft w:val="0"/>
                  <w:marRight w:val="0"/>
                  <w:marTop w:val="0"/>
                  <w:marBottom w:val="0"/>
                  <w:divBdr>
                    <w:top w:val="none" w:sz="0" w:space="0" w:color="auto"/>
                    <w:left w:val="none" w:sz="0" w:space="0" w:color="auto"/>
                    <w:bottom w:val="none" w:sz="0" w:space="0" w:color="auto"/>
                    <w:right w:val="none" w:sz="0" w:space="0" w:color="auto"/>
                  </w:divBdr>
                </w:div>
                <w:div w:id="423964315">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955">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1918441477">
                  <w:marLeft w:val="0"/>
                  <w:marRight w:val="0"/>
                  <w:marTop w:val="0"/>
                  <w:marBottom w:val="0"/>
                  <w:divBdr>
                    <w:top w:val="none" w:sz="0" w:space="0" w:color="auto"/>
                    <w:left w:val="none" w:sz="0" w:space="0" w:color="auto"/>
                    <w:bottom w:val="none" w:sz="0" w:space="0" w:color="auto"/>
                    <w:right w:val="none" w:sz="0" w:space="0" w:color="auto"/>
                  </w:divBdr>
                </w:div>
                <w:div w:id="281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433013479">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392">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715007784">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152113999">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sChild>
    </w:div>
    <w:div w:id="886405914">
      <w:bodyDiv w:val="1"/>
      <w:marLeft w:val="0"/>
      <w:marRight w:val="0"/>
      <w:marTop w:val="0"/>
      <w:marBottom w:val="0"/>
      <w:divBdr>
        <w:top w:val="none" w:sz="0" w:space="0" w:color="auto"/>
        <w:left w:val="none" w:sz="0" w:space="0" w:color="auto"/>
        <w:bottom w:val="none" w:sz="0" w:space="0" w:color="auto"/>
        <w:right w:val="none" w:sz="0" w:space="0" w:color="auto"/>
      </w:divBdr>
      <w:divsChild>
        <w:div w:id="741678280">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935409337">
      <w:bodyDiv w:val="1"/>
      <w:marLeft w:val="0"/>
      <w:marRight w:val="0"/>
      <w:marTop w:val="0"/>
      <w:marBottom w:val="0"/>
      <w:divBdr>
        <w:top w:val="none" w:sz="0" w:space="0" w:color="auto"/>
        <w:left w:val="none" w:sz="0" w:space="0" w:color="auto"/>
        <w:bottom w:val="none" w:sz="0" w:space="0" w:color="auto"/>
        <w:right w:val="none" w:sz="0" w:space="0" w:color="auto"/>
      </w:divBdr>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42949787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doe.mass.edu/frameworks/hss/2018-12.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lawsregs/603cmr35.html?section=03" TargetMode="External"/><Relationship Id="rId2" Type="http://schemas.openxmlformats.org/officeDocument/2006/relationships/customXml" Target="../customXml/item2.xml"/><Relationship Id="rId16" Type="http://schemas.openxmlformats.org/officeDocument/2006/relationships/hyperlink" Target="https://www.doe.mass.edu/accountability/district-review/district-standards-indicator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charter/acct.html?section=criteria" TargetMode="External"/><Relationship Id="rId10" Type="http://schemas.openxmlformats.org/officeDocument/2006/relationships/footnotes" Target="footnotes.xml"/><Relationship Id="rId19" Type="http://schemas.openxmlformats.org/officeDocument/2006/relationships/hyperlink" Target="https://www.doe.mass.edu/frameworks/hss/faq.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charter/acct.html?section=criteri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oe.mass.edu/charter/enrollment/fy2022/waitlist.html" TargetMode="External"/><Relationship Id="rId1" Type="http://schemas.openxmlformats.org/officeDocument/2006/relationships/hyperlink" Target="https://profiles.doe.mass.edu/profiles/student.aspx?orgcode=04700105&amp;orgtypecode=6&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DESE-231-74349</_dlc_DocId>
    <_dlc_DocIdUrl xmlns="733efe1c-5bbe-4968-87dc-d400e65c879f">
      <Url>https://sharepoint.doemass.org/ese/webteam/cps/_layouts/DocIdRedir.aspx?ID=DESE-231-74349</Url>
      <Description>DESE-231-74349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BA62DBD-2B39-450D-8FE2-03D7011D63BF}">
  <ds:schemaRefs>
    <ds:schemaRef ds:uri="http://schemas.openxmlformats.org/officeDocument/2006/bibliography"/>
  </ds:schemaRefs>
</ds:datastoreItem>
</file>

<file path=customXml/itemProps3.xml><?xml version="1.0" encoding="utf-8"?>
<ds:datastoreItem xmlns:ds="http://schemas.openxmlformats.org/officeDocument/2006/customXml" ds:itemID="{FC833DC7-EF98-42D6-A15F-19AA50001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9583E8-0C14-4E59-A5A6-E9D674A527E0}">
  <ds:schemaRefs>
    <ds:schemaRef ds:uri="http://schemas.microsoft.com/sharepoint/events"/>
  </ds:schemaRefs>
</ds:datastoreItem>
</file>

<file path=customXml/itemProps5.xml><?xml version="1.0" encoding="utf-8"?>
<ds:datastoreItem xmlns:ds="http://schemas.openxmlformats.org/officeDocument/2006/customXml" ds:itemID="{E7BD2367-FB00-4C35-BC53-D54B2FDFAE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BESE October 2021 Item 6. BESE Memo MVRCS waiver request 10.4.21</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October 19, 2021 Item 6: Mystic Valley Regional Charter School Request for Waiver</dc:title>
  <dc:subject/>
  <dc:creator>DESE</dc:creator>
  <cp:keywords/>
  <cp:lastModifiedBy>Zou, Dong (EOE)</cp:lastModifiedBy>
  <cp:revision>6</cp:revision>
  <cp:lastPrinted>2021-09-23T22:51:00Z</cp:lastPrinted>
  <dcterms:created xsi:type="dcterms:W3CDTF">2021-10-05T14:11:00Z</dcterms:created>
  <dcterms:modified xsi:type="dcterms:W3CDTF">2021-10-12T15:34:00Z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12 2021</vt:lpwstr>
  </property>
</Properties>
</file>