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B915C43"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204019E7" w:rsidR="000E5E95" w:rsidRDefault="000577C7" w:rsidP="000E5E95">
            <w:pPr>
              <w:pStyle w:val="Footer"/>
              <w:widowControl w:val="0"/>
              <w:tabs>
                <w:tab w:val="clear" w:pos="4320"/>
                <w:tab w:val="clear" w:pos="8640"/>
              </w:tabs>
            </w:pPr>
            <w:r>
              <w:t xml:space="preserve">October </w:t>
            </w:r>
            <w:r w:rsidR="009B7921">
              <w:t>8</w:t>
            </w:r>
            <w:r>
              <w:t>,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100757D" w:rsidR="000E5E95" w:rsidRPr="007A22FF" w:rsidRDefault="00214718" w:rsidP="54415296">
            <w:pPr>
              <w:pStyle w:val="Footer"/>
              <w:widowControl w:val="0"/>
              <w:tabs>
                <w:tab w:val="clear" w:pos="4320"/>
                <w:tab w:val="clear" w:pos="8640"/>
              </w:tabs>
              <w:rPr>
                <w:snapToGrid w:val="0"/>
              </w:rPr>
            </w:pPr>
            <w:r w:rsidRPr="00214718">
              <w:rPr>
                <w:bCs/>
                <w:snapToGrid w:val="0"/>
              </w:rPr>
              <w:t xml:space="preserve">Annual Update </w:t>
            </w:r>
            <w:r w:rsidR="009B7921">
              <w:rPr>
                <w:bCs/>
                <w:snapToGrid w:val="0"/>
              </w:rPr>
              <w:t xml:space="preserve">on </w:t>
            </w:r>
            <w:r w:rsidRPr="00214718">
              <w:rPr>
                <w:bCs/>
                <w:snapToGrid w:val="0"/>
              </w:rPr>
              <w:t xml:space="preserve">Pilot Alternative Assessments for </w:t>
            </w:r>
            <w:r w:rsidR="009B7921">
              <w:rPr>
                <w:bCs/>
                <w:snapToGrid w:val="0"/>
              </w:rPr>
              <w:t xml:space="preserve">Educator </w:t>
            </w:r>
            <w:r w:rsidRPr="00214718">
              <w:rPr>
                <w:bCs/>
                <w:snapToGrid w:val="0"/>
              </w:rPr>
              <w:t>Licensure</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51897D2" w14:textId="5E33D26A" w:rsidR="006A7692" w:rsidRPr="006A7692" w:rsidRDefault="006A7692" w:rsidP="006A7692">
      <w:pPr>
        <w:widowControl/>
        <w:autoSpaceDE w:val="0"/>
        <w:autoSpaceDN w:val="0"/>
        <w:adjustRightInd w:val="0"/>
        <w:rPr>
          <w:szCs w:val="24"/>
        </w:rPr>
      </w:pPr>
      <w:r w:rsidRPr="006A7692">
        <w:rPr>
          <w:szCs w:val="24"/>
        </w:rPr>
        <w:t xml:space="preserve">This </w:t>
      </w:r>
      <w:r w:rsidR="009B7921">
        <w:rPr>
          <w:szCs w:val="24"/>
        </w:rPr>
        <w:t xml:space="preserve">memorandum to the </w:t>
      </w:r>
      <w:r w:rsidRPr="006A7692">
        <w:rPr>
          <w:szCs w:val="24"/>
        </w:rPr>
        <w:t xml:space="preserve">Board of Elementary and Secondary Education (Board) </w:t>
      </w:r>
      <w:r w:rsidR="009B7921">
        <w:rPr>
          <w:szCs w:val="24"/>
        </w:rPr>
        <w:t xml:space="preserve">is </w:t>
      </w:r>
      <w:r w:rsidRPr="006A7692">
        <w:rPr>
          <w:szCs w:val="24"/>
        </w:rPr>
        <w:t xml:space="preserve">the first annual progress update on the </w:t>
      </w:r>
      <w:bookmarkStart w:id="5" w:name="_Hlk82437045"/>
      <w:r w:rsidR="009B7921" w:rsidRPr="006A7692">
        <w:rPr>
          <w:szCs w:val="24"/>
        </w:rPr>
        <w:t xml:space="preserve">Pilot Alternative Assessments for </w:t>
      </w:r>
      <w:r w:rsidR="009B7921">
        <w:rPr>
          <w:szCs w:val="24"/>
        </w:rPr>
        <w:t xml:space="preserve">Educator </w:t>
      </w:r>
      <w:r w:rsidR="009B7921" w:rsidRPr="006A7692">
        <w:rPr>
          <w:szCs w:val="24"/>
        </w:rPr>
        <w:t xml:space="preserve">Licensure </w:t>
      </w:r>
      <w:r w:rsidR="009B7921">
        <w:rPr>
          <w:szCs w:val="24"/>
        </w:rPr>
        <w:t>that the Board authorized in October 2020 through an a</w:t>
      </w:r>
      <w:r w:rsidRPr="006A7692">
        <w:rPr>
          <w:szCs w:val="24"/>
        </w:rPr>
        <w:t xml:space="preserve">mendment to </w:t>
      </w:r>
      <w:r w:rsidR="009B7921">
        <w:rPr>
          <w:szCs w:val="24"/>
        </w:rPr>
        <w:t xml:space="preserve">the </w:t>
      </w:r>
      <w:r w:rsidRPr="006A7692">
        <w:rPr>
          <w:szCs w:val="24"/>
        </w:rPr>
        <w:t xml:space="preserve">Educator Licensure Regulations, 603 CMR 7.00. </w:t>
      </w:r>
      <w:bookmarkEnd w:id="5"/>
      <w:r w:rsidRPr="006A7692">
        <w:rPr>
          <w:szCs w:val="24"/>
        </w:rPr>
        <w:t xml:space="preserve">As of October 2021, the Department </w:t>
      </w:r>
      <w:r w:rsidR="009B7921" w:rsidRPr="006A7692">
        <w:rPr>
          <w:szCs w:val="24"/>
        </w:rPr>
        <w:t xml:space="preserve">of Elementary and Secondary Education </w:t>
      </w:r>
      <w:r w:rsidR="009B7921">
        <w:rPr>
          <w:szCs w:val="24"/>
        </w:rPr>
        <w:t xml:space="preserve">(Department) </w:t>
      </w:r>
      <w:r w:rsidRPr="006A7692">
        <w:rPr>
          <w:szCs w:val="24"/>
        </w:rPr>
        <w:t xml:space="preserve">has approved nine and begun implementation of </w:t>
      </w:r>
      <w:r w:rsidR="00C931B3">
        <w:rPr>
          <w:szCs w:val="24"/>
        </w:rPr>
        <w:t>seven</w:t>
      </w:r>
      <w:r w:rsidRPr="006A7692">
        <w:rPr>
          <w:szCs w:val="24"/>
        </w:rPr>
        <w:t xml:space="preserve"> alternative assessments for </w:t>
      </w:r>
      <w:r w:rsidR="001C3DDA">
        <w:rPr>
          <w:szCs w:val="24"/>
        </w:rPr>
        <w:t xml:space="preserve">educator </w:t>
      </w:r>
      <w:r w:rsidRPr="006A7692">
        <w:rPr>
          <w:szCs w:val="24"/>
        </w:rPr>
        <w:t xml:space="preserve">licensure. These alternative assessments and the associated evaluation are described below. Future </w:t>
      </w:r>
      <w:r w:rsidR="001C351D">
        <w:rPr>
          <w:szCs w:val="24"/>
        </w:rPr>
        <w:t>annual</w:t>
      </w:r>
      <w:r w:rsidRPr="006A7692">
        <w:rPr>
          <w:szCs w:val="24"/>
        </w:rPr>
        <w:t xml:space="preserve"> updates will be submitted in October 2022, October 2023, and after the pilot period ends on June 30, 2024. </w:t>
      </w:r>
    </w:p>
    <w:p w14:paraId="6B85044A" w14:textId="77777777" w:rsidR="006A7692" w:rsidRPr="006A7692" w:rsidRDefault="006A7692" w:rsidP="006A7692">
      <w:pPr>
        <w:widowControl/>
        <w:autoSpaceDE w:val="0"/>
        <w:autoSpaceDN w:val="0"/>
        <w:adjustRightInd w:val="0"/>
        <w:rPr>
          <w:szCs w:val="24"/>
        </w:rPr>
      </w:pPr>
      <w:bookmarkStart w:id="6" w:name="_Background"/>
      <w:bookmarkEnd w:id="6"/>
    </w:p>
    <w:p w14:paraId="69028324" w14:textId="77777777" w:rsidR="006A7692" w:rsidRPr="006A7692" w:rsidRDefault="006A7692" w:rsidP="00126F23">
      <w:pPr>
        <w:widowControl/>
        <w:spacing w:after="240"/>
        <w:outlineLvl w:val="1"/>
        <w:rPr>
          <w:b/>
          <w:bCs/>
          <w:szCs w:val="24"/>
        </w:rPr>
      </w:pPr>
      <w:r w:rsidRPr="006A7692">
        <w:rPr>
          <w:b/>
          <w:bCs/>
          <w:szCs w:val="24"/>
        </w:rPr>
        <w:t>Background</w:t>
      </w:r>
    </w:p>
    <w:p w14:paraId="5515F838" w14:textId="4EA761D9" w:rsidR="0036248F" w:rsidRPr="0036248F" w:rsidRDefault="0036248F" w:rsidP="0036248F">
      <w:pPr>
        <w:widowControl/>
        <w:rPr>
          <w:snapToGrid/>
          <w:szCs w:val="24"/>
        </w:rPr>
      </w:pPr>
      <w:r>
        <w:rPr>
          <w:szCs w:val="24"/>
        </w:rPr>
        <w:t xml:space="preserve">The Massachusetts Tests for Educator Licensure (MTEL) are grounded in the state statute on educator licensure (certification). </w:t>
      </w:r>
      <w:r w:rsidR="00683F34">
        <w:rPr>
          <w:szCs w:val="24"/>
        </w:rPr>
        <w:t>The statute</w:t>
      </w:r>
      <w:r>
        <w:rPr>
          <w:szCs w:val="24"/>
        </w:rPr>
        <w:t xml:space="preserve"> requires </w:t>
      </w:r>
      <w:r w:rsidR="00683F34">
        <w:rPr>
          <w:szCs w:val="24"/>
        </w:rPr>
        <w:t xml:space="preserve">candidates for educator licensure to pass </w:t>
      </w:r>
      <w:r w:rsidRPr="003D42BB">
        <w:rPr>
          <w:snapToGrid/>
          <w:color w:val="333333"/>
          <w:szCs w:val="24"/>
          <w:shd w:val="clear" w:color="auto" w:fill="FFFFFF"/>
        </w:rPr>
        <w:t>a</w:t>
      </w:r>
      <w:r w:rsidR="00683F34">
        <w:rPr>
          <w:snapToGrid/>
          <w:color w:val="333333"/>
          <w:szCs w:val="24"/>
          <w:shd w:val="clear" w:color="auto" w:fill="FFFFFF"/>
        </w:rPr>
        <w:t>n assessment “</w:t>
      </w:r>
      <w:r w:rsidRPr="003D42BB">
        <w:rPr>
          <w:snapToGrid/>
          <w:color w:val="333333"/>
          <w:szCs w:val="24"/>
          <w:shd w:val="clear" w:color="auto" w:fill="FFFFFF"/>
        </w:rPr>
        <w:t xml:space="preserve">established by the </w:t>
      </w:r>
      <w:r w:rsidR="00683F34">
        <w:rPr>
          <w:snapToGrid/>
          <w:color w:val="333333"/>
          <w:szCs w:val="24"/>
          <w:shd w:val="clear" w:color="auto" w:fill="FFFFFF"/>
        </w:rPr>
        <w:t>B</w:t>
      </w:r>
      <w:r w:rsidRPr="003D42BB">
        <w:rPr>
          <w:snapToGrid/>
          <w:color w:val="333333"/>
          <w:szCs w:val="24"/>
          <w:shd w:val="clear" w:color="auto" w:fill="FFFFFF"/>
        </w:rPr>
        <w:t>oard which shall consist of two parts: (A) a writing section which shall demonstrate the communication and literacy skills necessary for effective instruction and improved communication between school and parents; and (B) the subject matter knowledge for the certificate</w:t>
      </w:r>
      <w:r w:rsidR="00683F34">
        <w:rPr>
          <w:snapToGrid/>
          <w:color w:val="333333"/>
          <w:szCs w:val="24"/>
          <w:shd w:val="clear" w:color="auto" w:fill="FFFFFF"/>
        </w:rPr>
        <w:t xml:space="preserve">.” </w:t>
      </w:r>
      <w:hyperlink r:id="rId13" w:history="1">
        <w:r w:rsidR="00683F34" w:rsidRPr="00683F34">
          <w:rPr>
            <w:rStyle w:val="Hyperlink"/>
            <w:szCs w:val="24"/>
          </w:rPr>
          <w:t>Mass. General Laws chapter 71, section 38G</w:t>
        </w:r>
      </w:hyperlink>
      <w:r w:rsidR="00683F34">
        <w:rPr>
          <w:szCs w:val="24"/>
        </w:rPr>
        <w:t>.</w:t>
      </w:r>
      <w:r w:rsidRPr="003D42BB">
        <w:rPr>
          <w:snapToGrid/>
          <w:color w:val="333333"/>
          <w:szCs w:val="24"/>
          <w:shd w:val="clear" w:color="auto" w:fill="FFFFFF"/>
        </w:rPr>
        <w:t> </w:t>
      </w:r>
    </w:p>
    <w:p w14:paraId="206DEA73" w14:textId="575A3B16" w:rsidR="006A7692" w:rsidRPr="006A7692" w:rsidRDefault="006A7692" w:rsidP="001878DD">
      <w:pPr>
        <w:widowControl/>
        <w:autoSpaceDE w:val="0"/>
        <w:autoSpaceDN w:val="0"/>
        <w:adjustRightInd w:val="0"/>
        <w:spacing w:before="120"/>
        <w:rPr>
          <w:szCs w:val="24"/>
        </w:rPr>
      </w:pPr>
      <w:r w:rsidRPr="006A7692">
        <w:rPr>
          <w:szCs w:val="24"/>
        </w:rPr>
        <w:t>In October 2020, the Board approved the following regulatory amendment to allow for the piloting of alternative assessments for licensure:</w:t>
      </w:r>
    </w:p>
    <w:p w14:paraId="610FA50B" w14:textId="77777777" w:rsidR="00683F34" w:rsidRDefault="00683F34" w:rsidP="006A7692">
      <w:pPr>
        <w:ind w:left="720"/>
        <w:rPr>
          <w:i/>
          <w:color w:val="000000" w:themeColor="text1"/>
          <w:szCs w:val="24"/>
        </w:rPr>
      </w:pPr>
    </w:p>
    <w:p w14:paraId="23D0D8C0" w14:textId="68D67358" w:rsidR="006A7692" w:rsidRDefault="006A7692" w:rsidP="006A7692">
      <w:pPr>
        <w:ind w:left="720"/>
        <w:rPr>
          <w:iCs/>
          <w:color w:val="000000" w:themeColor="text1"/>
          <w:szCs w:val="24"/>
        </w:rPr>
      </w:pPr>
      <w:r w:rsidRPr="001878DD">
        <w:rPr>
          <w:color w:val="000000" w:themeColor="text1"/>
          <w:szCs w:val="24"/>
        </w:rPr>
        <w:t xml:space="preserve">The Department may conduct a pilot of alternative assessments identified or developed to satisfy the requirements of 603 CMR 7.04 (2) (a) (2) and (3), and 603 CMR 7.04 (2) (b) (2) and (3), and 603 CMR 1.06 (4) (a). Any alternative assessment identified or developed for this purpose shall be determined by the Commissioner to be comparable to the MTEL Communication and Literacy Skills test or subject matter knowledge test. The alternative assessment pilot period shall continue </w:t>
      </w:r>
      <w:r w:rsidRPr="001878DD">
        <w:rPr>
          <w:szCs w:val="24"/>
        </w:rPr>
        <w:t>through June 30, 2024</w:t>
      </w:r>
      <w:r w:rsidRPr="001878DD">
        <w:rPr>
          <w:color w:val="000000" w:themeColor="text1"/>
          <w:szCs w:val="24"/>
        </w:rPr>
        <w:t xml:space="preserve">. Any candidate who passes an alternative assessment during that period will be deemed to have satisfied the requirements of 603 CMR 7.04 (2) (a) (2), or (a) (3), or 603 CMR 7.04 (2) (b) (2) or (b) (3), or 603 CMR 1.06 (4) (a), as </w:t>
      </w:r>
      <w:r w:rsidRPr="001878DD">
        <w:rPr>
          <w:szCs w:val="24"/>
        </w:rPr>
        <w:t xml:space="preserve">applicable. During the period of the alternative assessment pilot, the Commissioner will report to the Board at least annually on any </w:t>
      </w:r>
      <w:r w:rsidRPr="001878DD">
        <w:rPr>
          <w:szCs w:val="24"/>
        </w:rPr>
        <w:lastRenderedPageBreak/>
        <w:t xml:space="preserve">alternative assessments, including the number of candidates taking the alternative assessments, any evaluative information regarding these candidates, patterns of employment, and feedback from school districts and educator preparation programs. Prior to making any recommendations </w:t>
      </w:r>
      <w:r w:rsidRPr="001878DD">
        <w:rPr>
          <w:color w:val="000000" w:themeColor="text1"/>
          <w:szCs w:val="24"/>
        </w:rPr>
        <w:t>following the conclusion of the pilot, the Commissioner shall conduct or contract for an evaluation of the alternative assessment pilot.</w:t>
      </w:r>
    </w:p>
    <w:p w14:paraId="2D1A3FB9" w14:textId="124D8B97" w:rsidR="00683F34" w:rsidRPr="00F2459A" w:rsidRDefault="00683F34" w:rsidP="00B14361">
      <w:pPr>
        <w:spacing w:before="120"/>
        <w:ind w:firstLine="720"/>
        <w:rPr>
          <w:b/>
          <w:iCs/>
          <w:szCs w:val="24"/>
          <w:u w:val="single"/>
        </w:rPr>
      </w:pPr>
      <w:r w:rsidRPr="00F2459A">
        <w:rPr>
          <w:bCs/>
          <w:szCs w:val="24"/>
        </w:rPr>
        <w:t xml:space="preserve">603 CMR 7.04(2)(e) </w:t>
      </w:r>
    </w:p>
    <w:p w14:paraId="1E1803A9" w14:textId="77777777" w:rsidR="006A7692" w:rsidRPr="006A7692" w:rsidRDefault="006A7692" w:rsidP="006A7692">
      <w:pPr>
        <w:widowControl/>
        <w:autoSpaceDE w:val="0"/>
        <w:autoSpaceDN w:val="0"/>
        <w:adjustRightInd w:val="0"/>
        <w:rPr>
          <w:szCs w:val="24"/>
        </w:rPr>
      </w:pPr>
    </w:p>
    <w:p w14:paraId="573D539D" w14:textId="77777777" w:rsidR="006A7692" w:rsidRPr="006A7692" w:rsidRDefault="006A7692" w:rsidP="006A7692">
      <w:pPr>
        <w:widowControl/>
        <w:outlineLvl w:val="1"/>
        <w:rPr>
          <w:b/>
          <w:bCs/>
          <w:szCs w:val="24"/>
        </w:rPr>
      </w:pPr>
      <w:bookmarkStart w:id="7" w:name="_Approved_Alternative_Assessments"/>
      <w:bookmarkEnd w:id="7"/>
      <w:r w:rsidRPr="006A7692">
        <w:rPr>
          <w:b/>
          <w:bCs/>
          <w:szCs w:val="24"/>
        </w:rPr>
        <w:t>Currently Approved Alternative Assessments</w:t>
      </w:r>
    </w:p>
    <w:p w14:paraId="66BD89D2" w14:textId="707F5756" w:rsidR="006A7692" w:rsidRPr="006A7692" w:rsidRDefault="006A7692" w:rsidP="006A7692">
      <w:pPr>
        <w:widowControl/>
        <w:autoSpaceDE w:val="0"/>
        <w:autoSpaceDN w:val="0"/>
        <w:adjustRightInd w:val="0"/>
        <w:spacing w:before="120"/>
        <w:rPr>
          <w:szCs w:val="24"/>
        </w:rPr>
      </w:pPr>
      <w:r w:rsidRPr="006A7692">
        <w:rPr>
          <w:szCs w:val="24"/>
        </w:rPr>
        <w:t xml:space="preserve">As of October 2021, the Department has approved nine and begun implementation of </w:t>
      </w:r>
      <w:r w:rsidR="004F5B67">
        <w:rPr>
          <w:szCs w:val="24"/>
        </w:rPr>
        <w:t>seven</w:t>
      </w:r>
      <w:r w:rsidRPr="006A7692">
        <w:rPr>
          <w:szCs w:val="24"/>
        </w:rPr>
        <w:t xml:space="preserve"> alternative assessments for licensure:</w:t>
      </w:r>
    </w:p>
    <w:p w14:paraId="105D2AB0" w14:textId="77777777" w:rsidR="006A7692" w:rsidRPr="006A7692" w:rsidRDefault="006A7692" w:rsidP="006A7692">
      <w:pPr>
        <w:widowControl/>
        <w:numPr>
          <w:ilvl w:val="0"/>
          <w:numId w:val="26"/>
        </w:numPr>
        <w:autoSpaceDE w:val="0"/>
        <w:autoSpaceDN w:val="0"/>
        <w:adjustRightInd w:val="0"/>
        <w:spacing w:before="120"/>
        <w:contextualSpacing/>
        <w:rPr>
          <w:szCs w:val="24"/>
        </w:rPr>
      </w:pPr>
      <w:r w:rsidRPr="006A7692">
        <w:rPr>
          <w:i/>
          <w:szCs w:val="24"/>
        </w:rPr>
        <w:t>Communication and Literacy Skills MTEL Alternative Assessment</w:t>
      </w:r>
    </w:p>
    <w:p w14:paraId="613B5CE8" w14:textId="329C9372" w:rsidR="006A7692" w:rsidRPr="006A7692" w:rsidRDefault="0036248F" w:rsidP="006A7692">
      <w:pPr>
        <w:widowControl/>
        <w:autoSpaceDE w:val="0"/>
        <w:autoSpaceDN w:val="0"/>
        <w:adjustRightInd w:val="0"/>
        <w:ind w:firstLine="900"/>
        <w:rPr>
          <w:szCs w:val="24"/>
        </w:rPr>
      </w:pPr>
      <w:r>
        <w:rPr>
          <w:szCs w:val="24"/>
        </w:rPr>
        <w:t>S</w:t>
      </w:r>
      <w:r w:rsidR="006A7692" w:rsidRPr="006A7692">
        <w:rPr>
          <w:szCs w:val="24"/>
        </w:rPr>
        <w:t>ix approved; four have begun implementation</w:t>
      </w:r>
    </w:p>
    <w:p w14:paraId="3D68083F" w14:textId="77777777" w:rsidR="006A7692" w:rsidRPr="006A7692" w:rsidRDefault="006A7692" w:rsidP="006A7692">
      <w:pPr>
        <w:widowControl/>
        <w:numPr>
          <w:ilvl w:val="0"/>
          <w:numId w:val="25"/>
        </w:numPr>
        <w:autoSpaceDE w:val="0"/>
        <w:autoSpaceDN w:val="0"/>
        <w:adjustRightInd w:val="0"/>
        <w:spacing w:before="120"/>
        <w:contextualSpacing/>
        <w:rPr>
          <w:szCs w:val="24"/>
        </w:rPr>
      </w:pPr>
      <w:r w:rsidRPr="006A7692">
        <w:rPr>
          <w:i/>
          <w:szCs w:val="24"/>
        </w:rPr>
        <w:t>Subject Matter Knowledge Alternative Assessment (SMK-Alt</w:t>
      </w:r>
      <w:r w:rsidRPr="006A7692">
        <w:rPr>
          <w:i/>
          <w:iCs/>
          <w:szCs w:val="24"/>
        </w:rPr>
        <w:t>)</w:t>
      </w:r>
    </w:p>
    <w:p w14:paraId="3F3E0AF3" w14:textId="3BD15116" w:rsidR="006A7692" w:rsidRPr="006A7692" w:rsidRDefault="0036248F" w:rsidP="00B65E6C">
      <w:pPr>
        <w:widowControl/>
        <w:autoSpaceDE w:val="0"/>
        <w:autoSpaceDN w:val="0"/>
        <w:adjustRightInd w:val="0"/>
        <w:ind w:left="360" w:firstLine="540"/>
        <w:rPr>
          <w:i/>
          <w:iCs/>
          <w:szCs w:val="24"/>
        </w:rPr>
      </w:pPr>
      <w:r>
        <w:rPr>
          <w:szCs w:val="24"/>
        </w:rPr>
        <w:t>T</w:t>
      </w:r>
      <w:r w:rsidR="006A7692" w:rsidRPr="006A7692">
        <w:rPr>
          <w:szCs w:val="24"/>
        </w:rPr>
        <w:t>hree approved; all have begun implementation</w:t>
      </w:r>
    </w:p>
    <w:p w14:paraId="4A36D123" w14:textId="77777777" w:rsidR="006A7692" w:rsidRPr="006A7692" w:rsidRDefault="006A7692" w:rsidP="006A7692">
      <w:pPr>
        <w:widowControl/>
        <w:autoSpaceDE w:val="0"/>
        <w:autoSpaceDN w:val="0"/>
        <w:adjustRightInd w:val="0"/>
        <w:rPr>
          <w:i/>
          <w:iCs/>
          <w:szCs w:val="24"/>
        </w:rPr>
      </w:pPr>
    </w:p>
    <w:p w14:paraId="340202C8" w14:textId="77777777" w:rsidR="006A7692" w:rsidRPr="006A7692" w:rsidRDefault="006A7692" w:rsidP="006A7692">
      <w:pPr>
        <w:widowControl/>
        <w:autoSpaceDE w:val="0"/>
        <w:autoSpaceDN w:val="0"/>
        <w:adjustRightInd w:val="0"/>
        <w:outlineLvl w:val="2"/>
        <w:rPr>
          <w:i/>
          <w:iCs/>
          <w:szCs w:val="24"/>
        </w:rPr>
      </w:pPr>
      <w:r w:rsidRPr="006A7692">
        <w:rPr>
          <w:i/>
          <w:iCs/>
          <w:szCs w:val="24"/>
        </w:rPr>
        <w:t>Communication and Literacy Skills MTEL Alternative Assessment</w:t>
      </w:r>
    </w:p>
    <w:p w14:paraId="4C318F0B" w14:textId="6227144C" w:rsidR="006A7692" w:rsidRPr="006A7692" w:rsidRDefault="006A7692" w:rsidP="006A7692">
      <w:pPr>
        <w:widowControl/>
        <w:autoSpaceDE w:val="0"/>
        <w:autoSpaceDN w:val="0"/>
        <w:adjustRightInd w:val="0"/>
        <w:spacing w:before="120" w:after="120"/>
        <w:ind w:left="720"/>
        <w:rPr>
          <w:szCs w:val="24"/>
        </w:rPr>
      </w:pPr>
      <w:r w:rsidRPr="006A7692">
        <w:rPr>
          <w:szCs w:val="24"/>
        </w:rPr>
        <w:t>Prior to the pilot, all educator licensure candidates (teachers, specialist teachers, administrators, and professional support personnel) had to pass the Communication and Literacy Skills Test (CLST)</w:t>
      </w:r>
      <w:r w:rsidR="00683F34">
        <w:rPr>
          <w:szCs w:val="24"/>
        </w:rPr>
        <w:t>, to satisfy part (A) of the statutory requirement quoted</w:t>
      </w:r>
      <w:r w:rsidR="00EA2FC3">
        <w:rPr>
          <w:szCs w:val="24"/>
        </w:rPr>
        <w:t xml:space="preserve"> on page 1</w:t>
      </w:r>
      <w:r w:rsidRPr="006A7692">
        <w:rPr>
          <w:szCs w:val="24"/>
        </w:rPr>
        <w:t>.</w:t>
      </w:r>
      <w:r w:rsidRPr="006A7692" w:rsidDel="00683F34">
        <w:rPr>
          <w:szCs w:val="24"/>
        </w:rPr>
        <w:t xml:space="preserve"> </w:t>
      </w:r>
      <w:r w:rsidR="00683F34">
        <w:rPr>
          <w:szCs w:val="24"/>
        </w:rPr>
        <w:t>Alternatives to the CLST are now available.</w:t>
      </w:r>
    </w:p>
    <w:p w14:paraId="3090AFDF" w14:textId="668DEDBB" w:rsidR="006A7692" w:rsidRPr="006A7692" w:rsidRDefault="006A7692" w:rsidP="00B65E6C">
      <w:pPr>
        <w:widowControl/>
        <w:autoSpaceDE w:val="0"/>
        <w:autoSpaceDN w:val="0"/>
        <w:adjustRightInd w:val="0"/>
        <w:spacing w:before="120" w:after="120"/>
        <w:ind w:left="720"/>
        <w:rPr>
          <w:b/>
          <w:bCs/>
          <w:snapToGrid/>
          <w:color w:val="222222"/>
          <w:szCs w:val="24"/>
        </w:rPr>
      </w:pPr>
      <w:r w:rsidRPr="006A7692">
        <w:rPr>
          <w:szCs w:val="24"/>
        </w:rPr>
        <w:t xml:space="preserve">Information about the requirements for the CLST Alternative Assessments can be found through </w:t>
      </w:r>
      <w:r w:rsidR="00EA2FC3">
        <w:rPr>
          <w:szCs w:val="24"/>
        </w:rPr>
        <w:t xml:space="preserve">the Department’s </w:t>
      </w:r>
      <w:r w:rsidRPr="006A7692">
        <w:rPr>
          <w:szCs w:val="24"/>
        </w:rPr>
        <w:t xml:space="preserve">associated </w:t>
      </w:r>
      <w:hyperlink r:id="rId14">
        <w:r w:rsidRPr="006A7692">
          <w:rPr>
            <w:color w:val="0000FF" w:themeColor="hyperlink"/>
            <w:szCs w:val="24"/>
            <w:u w:val="single"/>
          </w:rPr>
          <w:t>Request for Responses</w:t>
        </w:r>
      </w:hyperlink>
      <w:r w:rsidRPr="006A7692">
        <w:rPr>
          <w:szCs w:val="24"/>
        </w:rPr>
        <w:t xml:space="preserve">. </w:t>
      </w:r>
      <w:r w:rsidRPr="006A7692">
        <w:rPr>
          <w:snapToGrid/>
          <w:color w:val="222222"/>
          <w:szCs w:val="24"/>
        </w:rPr>
        <w:t xml:space="preserve">Two vendors, Educational Testing Service (ETS) and Evaluations Systems Group (ES) of Pearson, are currently approved to provide six alternative assessments: </w:t>
      </w:r>
    </w:p>
    <w:p w14:paraId="39B7D8FA" w14:textId="77777777" w:rsidR="006A7692" w:rsidRPr="006A7692" w:rsidRDefault="006A7692" w:rsidP="00B65E6C">
      <w:pPr>
        <w:widowControl/>
        <w:shd w:val="clear" w:color="auto" w:fill="FFFFFF"/>
        <w:spacing w:after="120"/>
        <w:ind w:left="720"/>
        <w:rPr>
          <w:b/>
          <w:bCs/>
          <w:snapToGrid/>
          <w:color w:val="222222"/>
          <w:szCs w:val="24"/>
        </w:rPr>
      </w:pPr>
      <w:r w:rsidRPr="006A7692">
        <w:rPr>
          <w:b/>
          <w:bCs/>
          <w:snapToGrid/>
          <w:color w:val="222222"/>
          <w:szCs w:val="24"/>
        </w:rPr>
        <w:t>ETS</w:t>
      </w:r>
    </w:p>
    <w:p w14:paraId="5D0BB5ED" w14:textId="77777777" w:rsidR="006A7692" w:rsidRPr="006A7692" w:rsidRDefault="00A179A2" w:rsidP="00B325AE">
      <w:pPr>
        <w:widowControl/>
        <w:numPr>
          <w:ilvl w:val="0"/>
          <w:numId w:val="24"/>
        </w:numPr>
        <w:shd w:val="clear" w:color="auto" w:fill="FFFFFF"/>
        <w:rPr>
          <w:snapToGrid/>
          <w:color w:val="222222"/>
          <w:szCs w:val="24"/>
        </w:rPr>
      </w:pPr>
      <w:hyperlink r:id="rId15" w:history="1">
        <w:r w:rsidR="006A7692" w:rsidRPr="006A7692">
          <w:rPr>
            <w:snapToGrid/>
            <w:color w:val="0000FF" w:themeColor="hyperlink"/>
            <w:szCs w:val="24"/>
            <w:u w:val="single"/>
          </w:rPr>
          <w:t>Praxis Core (Massachusetts Communication and Literacy Praxis Test)</w:t>
        </w:r>
      </w:hyperlink>
    </w:p>
    <w:p w14:paraId="254F2D66" w14:textId="424FD8F8" w:rsidR="006A7692" w:rsidRPr="006A7692" w:rsidRDefault="006A7692" w:rsidP="00B65E6C">
      <w:pPr>
        <w:widowControl/>
        <w:shd w:val="clear" w:color="auto" w:fill="FFFFFF" w:themeFill="background1"/>
        <w:spacing w:after="120"/>
        <w:ind w:left="1526"/>
        <w:rPr>
          <w:snapToGrid/>
          <w:color w:val="212529"/>
          <w:szCs w:val="24"/>
        </w:rPr>
      </w:pPr>
      <w:r w:rsidRPr="006A7692">
        <w:rPr>
          <w:snapToGrid/>
          <w:color w:val="212529"/>
          <w:szCs w:val="24"/>
        </w:rPr>
        <w:t xml:space="preserve">The two required subtests are </w:t>
      </w:r>
      <w:r w:rsidRPr="006A7692">
        <w:rPr>
          <w:i/>
          <w:snapToGrid/>
          <w:color w:val="212529"/>
          <w:szCs w:val="24"/>
        </w:rPr>
        <w:t>Massachusetts Communication and Literacy Praxis Test: Reading</w:t>
      </w:r>
      <w:r w:rsidRPr="006A7692">
        <w:rPr>
          <w:snapToGrid/>
          <w:color w:val="212529"/>
          <w:szCs w:val="24"/>
        </w:rPr>
        <w:t xml:space="preserve"> and </w:t>
      </w:r>
      <w:r w:rsidRPr="006A7692">
        <w:rPr>
          <w:i/>
          <w:snapToGrid/>
          <w:color w:val="212529"/>
          <w:szCs w:val="24"/>
        </w:rPr>
        <w:t>Massachusetts Communication and Literacy Praxis Test: Writing</w:t>
      </w:r>
      <w:r w:rsidRPr="006A7692">
        <w:rPr>
          <w:snapToGrid/>
          <w:color w:val="212529"/>
          <w:szCs w:val="24"/>
        </w:rPr>
        <w:t xml:space="preserve">. The Praxis Core Mathematics subtest is not required. </w:t>
      </w:r>
      <w:r w:rsidRPr="006A7692">
        <w:rPr>
          <w:snapToGrid/>
          <w:color w:val="212529"/>
          <w:szCs w:val="24"/>
        </w:rPr>
        <w:br/>
        <w:t xml:space="preserve">Candidates were able to </w:t>
      </w:r>
      <w:hyperlink r:id="rId16">
        <w:r w:rsidRPr="006A7692">
          <w:rPr>
            <w:color w:val="0000FF" w:themeColor="hyperlink"/>
            <w:szCs w:val="24"/>
            <w:u w:val="single"/>
          </w:rPr>
          <w:t>register</w:t>
        </w:r>
      </w:hyperlink>
      <w:r w:rsidRPr="006A7692">
        <w:rPr>
          <w:snapToGrid/>
          <w:color w:val="212529"/>
          <w:szCs w:val="24"/>
        </w:rPr>
        <w:t xml:space="preserve"> for this test beginning on July 19, 2021. </w:t>
      </w:r>
    </w:p>
    <w:p w14:paraId="72F0DC35" w14:textId="77777777" w:rsidR="006A7692" w:rsidRPr="006A7692" w:rsidRDefault="006A7692" w:rsidP="00B65E6C">
      <w:pPr>
        <w:widowControl/>
        <w:shd w:val="clear" w:color="auto" w:fill="FFFFFF"/>
        <w:spacing w:after="120"/>
        <w:ind w:firstLine="720"/>
        <w:rPr>
          <w:snapToGrid/>
          <w:color w:val="0000FF" w:themeColor="hyperlink"/>
          <w:szCs w:val="24"/>
          <w:u w:val="single"/>
        </w:rPr>
      </w:pPr>
      <w:r w:rsidRPr="006A7692">
        <w:rPr>
          <w:b/>
          <w:bCs/>
          <w:snapToGrid/>
          <w:color w:val="222222"/>
          <w:szCs w:val="24"/>
        </w:rPr>
        <w:t>ES-Pearson</w:t>
      </w:r>
      <w:r w:rsidRPr="006A7692">
        <w:rPr>
          <w:snapToGrid/>
          <w:color w:val="222222"/>
          <w:szCs w:val="24"/>
        </w:rPr>
        <w:t> </w:t>
      </w:r>
    </w:p>
    <w:p w14:paraId="1D3CCD6D" w14:textId="77777777" w:rsidR="006A7692" w:rsidRPr="006A7692" w:rsidRDefault="006A7692" w:rsidP="00663BDC">
      <w:pPr>
        <w:widowControl/>
        <w:numPr>
          <w:ilvl w:val="0"/>
          <w:numId w:val="24"/>
        </w:numPr>
        <w:shd w:val="clear" w:color="auto" w:fill="FFFFFF"/>
        <w:rPr>
          <w:snapToGrid/>
          <w:color w:val="0000FF" w:themeColor="hyperlink"/>
          <w:szCs w:val="24"/>
          <w:u w:val="single"/>
        </w:rPr>
      </w:pPr>
      <w:r w:rsidRPr="006A7692">
        <w:rPr>
          <w:snapToGrid/>
          <w:color w:val="0060C7"/>
          <w:szCs w:val="24"/>
          <w:u w:val="single"/>
        </w:rPr>
        <w:fldChar w:fldCharType="begin"/>
      </w:r>
      <w:r w:rsidRPr="006A7692">
        <w:rPr>
          <w:snapToGrid/>
          <w:color w:val="0060C7"/>
          <w:szCs w:val="24"/>
          <w:u w:val="single"/>
        </w:rPr>
        <w:instrText xml:space="preserve"> HYPERLINK "http://www.mtel.nesinc.com/TestView.aspx?f=HTML_FRAG/NT001_TestPage.html" \o "External Link, Opens in New Window" \t "_blank" </w:instrText>
      </w:r>
      <w:r w:rsidRPr="006A7692">
        <w:rPr>
          <w:snapToGrid/>
          <w:color w:val="0060C7"/>
          <w:szCs w:val="24"/>
          <w:u w:val="single"/>
        </w:rPr>
        <w:fldChar w:fldCharType="separate"/>
      </w:r>
      <w:r w:rsidRPr="006A7692">
        <w:rPr>
          <w:snapToGrid/>
          <w:color w:val="0000FF" w:themeColor="hyperlink"/>
          <w:szCs w:val="24"/>
          <w:u w:val="single"/>
        </w:rPr>
        <w:t>National Evaluation Series — Essential Academic Skills (NES-EAS).</w:t>
      </w:r>
    </w:p>
    <w:p w14:paraId="40A17EED" w14:textId="77777777" w:rsidR="006A7692" w:rsidRPr="006A7692" w:rsidRDefault="006A7692" w:rsidP="00B65E6C">
      <w:pPr>
        <w:widowControl/>
        <w:shd w:val="clear" w:color="auto" w:fill="FFFFFF" w:themeFill="background1"/>
        <w:tabs>
          <w:tab w:val="left" w:pos="1710"/>
        </w:tabs>
        <w:spacing w:after="120"/>
        <w:ind w:left="1530"/>
        <w:rPr>
          <w:snapToGrid/>
          <w:color w:val="212529"/>
          <w:szCs w:val="24"/>
        </w:rPr>
      </w:pPr>
      <w:r w:rsidRPr="006A7692">
        <w:rPr>
          <w:snapToGrid/>
          <w:color w:val="0060C7"/>
          <w:szCs w:val="24"/>
          <w:u w:val="single"/>
        </w:rPr>
        <w:fldChar w:fldCharType="end"/>
      </w:r>
      <w:r w:rsidRPr="006A7692">
        <w:rPr>
          <w:snapToGrid/>
          <w:color w:val="212529"/>
          <w:szCs w:val="24"/>
        </w:rPr>
        <w:t xml:space="preserve">The two required subtests are </w:t>
      </w:r>
      <w:r w:rsidRPr="006A7692">
        <w:rPr>
          <w:i/>
          <w:snapToGrid/>
          <w:color w:val="212529"/>
          <w:szCs w:val="24"/>
        </w:rPr>
        <w:t>NES-EAS: Reading</w:t>
      </w:r>
      <w:r w:rsidRPr="006A7692">
        <w:rPr>
          <w:snapToGrid/>
          <w:color w:val="212529"/>
          <w:szCs w:val="24"/>
        </w:rPr>
        <w:t xml:space="preserve"> and </w:t>
      </w:r>
      <w:r w:rsidRPr="006A7692">
        <w:rPr>
          <w:i/>
          <w:snapToGrid/>
          <w:color w:val="212529"/>
          <w:szCs w:val="24"/>
        </w:rPr>
        <w:t>NES-EAS: Writing</w:t>
      </w:r>
      <w:r w:rsidRPr="006A7692">
        <w:rPr>
          <w:snapToGrid/>
          <w:color w:val="212529"/>
          <w:szCs w:val="24"/>
        </w:rPr>
        <w:t xml:space="preserve">. Candidates were able to </w:t>
      </w:r>
      <w:hyperlink r:id="rId17" w:history="1">
        <w:r w:rsidRPr="006A7692">
          <w:rPr>
            <w:snapToGrid/>
            <w:color w:val="0000FF" w:themeColor="hyperlink"/>
            <w:szCs w:val="24"/>
            <w:u w:val="single"/>
          </w:rPr>
          <w:t>register</w:t>
        </w:r>
      </w:hyperlink>
      <w:r w:rsidRPr="006A7692">
        <w:rPr>
          <w:snapToGrid/>
          <w:color w:val="212529"/>
          <w:szCs w:val="24"/>
        </w:rPr>
        <w:t xml:space="preserve"> for this test beginning on July 20, 2021. </w:t>
      </w:r>
    </w:p>
    <w:p w14:paraId="254B5563" w14:textId="77777777" w:rsidR="006A7692" w:rsidRPr="006A7692" w:rsidRDefault="00A179A2" w:rsidP="00663BDC">
      <w:pPr>
        <w:widowControl/>
        <w:numPr>
          <w:ilvl w:val="0"/>
          <w:numId w:val="24"/>
        </w:numPr>
        <w:rPr>
          <w:snapToGrid/>
          <w:color w:val="212529"/>
          <w:szCs w:val="24"/>
        </w:rPr>
      </w:pPr>
      <w:hyperlink r:id="rId18" w:history="1">
        <w:r w:rsidR="006A7692" w:rsidRPr="006A7692">
          <w:rPr>
            <w:snapToGrid/>
            <w:color w:val="0000FF" w:themeColor="hyperlink"/>
            <w:szCs w:val="24"/>
            <w:u w:val="single"/>
          </w:rPr>
          <w:t>Missouri General Education Assessment (</w:t>
        </w:r>
        <w:proofErr w:type="spellStart"/>
        <w:r w:rsidR="006A7692" w:rsidRPr="006A7692">
          <w:rPr>
            <w:snapToGrid/>
            <w:color w:val="0000FF" w:themeColor="hyperlink"/>
            <w:szCs w:val="24"/>
            <w:u w:val="single"/>
          </w:rPr>
          <w:t>MoGEA</w:t>
        </w:r>
        <w:proofErr w:type="spellEnd"/>
        <w:r w:rsidR="006A7692" w:rsidRPr="006A7692">
          <w:rPr>
            <w:snapToGrid/>
            <w:color w:val="0000FF" w:themeColor="hyperlink"/>
            <w:szCs w:val="24"/>
            <w:u w:val="single"/>
          </w:rPr>
          <w:t>)</w:t>
        </w:r>
      </w:hyperlink>
    </w:p>
    <w:p w14:paraId="56177574" w14:textId="77777777" w:rsidR="006A7692" w:rsidRPr="006A7692" w:rsidRDefault="006A7692" w:rsidP="00B65E6C">
      <w:pPr>
        <w:widowControl/>
        <w:spacing w:after="120"/>
        <w:ind w:left="1530"/>
        <w:textAlignment w:val="baseline"/>
        <w:rPr>
          <w:snapToGrid/>
          <w:color w:val="212529"/>
          <w:szCs w:val="24"/>
        </w:rPr>
      </w:pPr>
      <w:r w:rsidRPr="006A7692">
        <w:rPr>
          <w:snapToGrid/>
          <w:color w:val="212529"/>
          <w:szCs w:val="24"/>
        </w:rPr>
        <w:t xml:space="preserve">The two required subtests are </w:t>
      </w:r>
      <w:proofErr w:type="spellStart"/>
      <w:r w:rsidRPr="006A7692">
        <w:rPr>
          <w:i/>
          <w:snapToGrid/>
          <w:color w:val="212529"/>
          <w:szCs w:val="24"/>
        </w:rPr>
        <w:t>MoGEA</w:t>
      </w:r>
      <w:proofErr w:type="spellEnd"/>
      <w:r w:rsidRPr="006A7692">
        <w:rPr>
          <w:i/>
          <w:snapToGrid/>
          <w:color w:val="212529"/>
          <w:szCs w:val="24"/>
        </w:rPr>
        <w:t>: Reading Comprehension and Interpretation</w:t>
      </w:r>
      <w:r w:rsidRPr="006A7692">
        <w:rPr>
          <w:snapToGrid/>
          <w:color w:val="212529"/>
          <w:szCs w:val="24"/>
        </w:rPr>
        <w:t xml:space="preserve"> and </w:t>
      </w:r>
      <w:proofErr w:type="spellStart"/>
      <w:r w:rsidRPr="006A7692">
        <w:rPr>
          <w:i/>
          <w:snapToGrid/>
          <w:color w:val="212529"/>
          <w:szCs w:val="24"/>
        </w:rPr>
        <w:t>MoGEA</w:t>
      </w:r>
      <w:proofErr w:type="spellEnd"/>
      <w:r w:rsidRPr="006A7692">
        <w:rPr>
          <w:i/>
          <w:snapToGrid/>
          <w:color w:val="212529"/>
          <w:szCs w:val="24"/>
        </w:rPr>
        <w:t>: Writing</w:t>
      </w:r>
      <w:r w:rsidRPr="006A7692">
        <w:rPr>
          <w:snapToGrid/>
          <w:color w:val="212529"/>
          <w:szCs w:val="24"/>
        </w:rPr>
        <w:t xml:space="preserve">. Candidates were able to </w:t>
      </w:r>
      <w:hyperlink r:id="rId19" w:history="1">
        <w:r w:rsidRPr="006A7692">
          <w:rPr>
            <w:snapToGrid/>
            <w:color w:val="0000FF" w:themeColor="hyperlink"/>
            <w:szCs w:val="24"/>
            <w:u w:val="single"/>
          </w:rPr>
          <w:t>register</w:t>
        </w:r>
      </w:hyperlink>
      <w:r w:rsidRPr="006A7692">
        <w:rPr>
          <w:snapToGrid/>
          <w:color w:val="212529"/>
          <w:szCs w:val="24"/>
        </w:rPr>
        <w:t xml:space="preserve"> for this test beginning on September 13, 2021. </w:t>
      </w:r>
      <w:proofErr w:type="spellStart"/>
      <w:r w:rsidRPr="006A7692">
        <w:rPr>
          <w:snapToGrid/>
          <w:color w:val="212529"/>
          <w:szCs w:val="24"/>
        </w:rPr>
        <w:t>MoGEA</w:t>
      </w:r>
      <w:proofErr w:type="spellEnd"/>
      <w:r w:rsidRPr="006A7692">
        <w:rPr>
          <w:snapToGrid/>
          <w:color w:val="212529"/>
          <w:szCs w:val="24"/>
        </w:rPr>
        <w:t xml:space="preserve"> is only offered via online proctoring.</w:t>
      </w:r>
    </w:p>
    <w:p w14:paraId="298A5A87" w14:textId="77777777" w:rsidR="006A7692" w:rsidRPr="006A7692" w:rsidRDefault="00A179A2" w:rsidP="00663BDC">
      <w:pPr>
        <w:widowControl/>
        <w:numPr>
          <w:ilvl w:val="0"/>
          <w:numId w:val="24"/>
        </w:numPr>
        <w:rPr>
          <w:snapToGrid/>
          <w:color w:val="212529"/>
          <w:szCs w:val="24"/>
        </w:rPr>
      </w:pPr>
      <w:hyperlink r:id="rId20" w:history="1">
        <w:r w:rsidR="006A7692" w:rsidRPr="006A7692">
          <w:rPr>
            <w:snapToGrid/>
            <w:color w:val="0000FF" w:themeColor="hyperlink"/>
            <w:szCs w:val="24"/>
            <w:u w:val="single"/>
          </w:rPr>
          <w:t>Washington Educator Skills Tests (WEST-B)</w:t>
        </w:r>
      </w:hyperlink>
    </w:p>
    <w:p w14:paraId="3BBFA59D" w14:textId="77777777" w:rsidR="006A7692" w:rsidRPr="006A7692" w:rsidRDefault="006A7692" w:rsidP="00B65E6C">
      <w:pPr>
        <w:widowControl/>
        <w:spacing w:after="120"/>
        <w:ind w:left="1530"/>
        <w:textAlignment w:val="baseline"/>
        <w:rPr>
          <w:snapToGrid/>
          <w:color w:val="212529"/>
          <w:szCs w:val="24"/>
        </w:rPr>
      </w:pPr>
      <w:r w:rsidRPr="006A7692">
        <w:rPr>
          <w:snapToGrid/>
          <w:color w:val="212529"/>
          <w:szCs w:val="24"/>
        </w:rPr>
        <w:t xml:space="preserve">The two required subtests are </w:t>
      </w:r>
      <w:r w:rsidRPr="006A7692">
        <w:rPr>
          <w:i/>
          <w:snapToGrid/>
          <w:color w:val="212529"/>
          <w:szCs w:val="24"/>
        </w:rPr>
        <w:t>WEST-B: Reading</w:t>
      </w:r>
      <w:r w:rsidRPr="006A7692">
        <w:rPr>
          <w:snapToGrid/>
          <w:color w:val="212529"/>
          <w:szCs w:val="24"/>
        </w:rPr>
        <w:t xml:space="preserve"> and </w:t>
      </w:r>
      <w:r w:rsidRPr="006A7692">
        <w:rPr>
          <w:i/>
          <w:snapToGrid/>
          <w:color w:val="212529"/>
          <w:szCs w:val="24"/>
        </w:rPr>
        <w:t>WEST-B: Writing</w:t>
      </w:r>
      <w:r w:rsidRPr="006A7692">
        <w:rPr>
          <w:snapToGrid/>
          <w:color w:val="212529"/>
          <w:szCs w:val="24"/>
        </w:rPr>
        <w:t xml:space="preserve">. </w:t>
      </w:r>
      <w:r w:rsidRPr="006A7692">
        <w:rPr>
          <w:snapToGrid/>
          <w:color w:val="212529"/>
          <w:szCs w:val="24"/>
        </w:rPr>
        <w:br/>
        <w:t xml:space="preserve">Candidates were able to </w:t>
      </w:r>
      <w:hyperlink r:id="rId21" w:history="1">
        <w:r w:rsidRPr="006A7692">
          <w:rPr>
            <w:snapToGrid/>
            <w:color w:val="0000FF" w:themeColor="hyperlink"/>
            <w:szCs w:val="24"/>
            <w:u w:val="single"/>
          </w:rPr>
          <w:t>register</w:t>
        </w:r>
      </w:hyperlink>
      <w:r w:rsidRPr="006A7692">
        <w:rPr>
          <w:snapToGrid/>
          <w:color w:val="212529"/>
          <w:szCs w:val="24"/>
        </w:rPr>
        <w:t xml:space="preserve"> for this test beginning on September 13, 2021. </w:t>
      </w:r>
      <w:r w:rsidRPr="006A7692">
        <w:rPr>
          <w:snapToGrid/>
          <w:color w:val="212529"/>
          <w:szCs w:val="24"/>
        </w:rPr>
        <w:br/>
        <w:t>The WEST-B is offered via online proctoring only. </w:t>
      </w:r>
    </w:p>
    <w:p w14:paraId="5FBAE6DD" w14:textId="77777777" w:rsidR="006A7692" w:rsidRPr="006A7692" w:rsidRDefault="00A179A2" w:rsidP="00663BDC">
      <w:pPr>
        <w:widowControl/>
        <w:numPr>
          <w:ilvl w:val="0"/>
          <w:numId w:val="24"/>
        </w:numPr>
        <w:rPr>
          <w:snapToGrid/>
          <w:szCs w:val="24"/>
        </w:rPr>
      </w:pPr>
      <w:hyperlink r:id="rId22" w:history="1">
        <w:r w:rsidR="006A7692" w:rsidRPr="006A7692">
          <w:rPr>
            <w:snapToGrid/>
            <w:color w:val="0000FF" w:themeColor="hyperlink"/>
            <w:szCs w:val="24"/>
            <w:u w:val="single"/>
          </w:rPr>
          <w:t>Texas Higher Education Assessment (THEA)</w:t>
        </w:r>
      </w:hyperlink>
      <w:r w:rsidR="006A7692" w:rsidRPr="006A7692">
        <w:rPr>
          <w:snapToGrid/>
          <w:szCs w:val="24"/>
        </w:rPr>
        <w:t xml:space="preserve"> </w:t>
      </w:r>
    </w:p>
    <w:p w14:paraId="203793FD" w14:textId="77777777" w:rsidR="006A7692" w:rsidRPr="006A7692" w:rsidRDefault="006A7692" w:rsidP="00B65E6C">
      <w:pPr>
        <w:widowControl/>
        <w:tabs>
          <w:tab w:val="num" w:pos="1530"/>
        </w:tabs>
        <w:spacing w:after="120"/>
        <w:ind w:left="1530"/>
        <w:textAlignment w:val="baseline"/>
        <w:rPr>
          <w:snapToGrid/>
          <w:color w:val="212529"/>
          <w:szCs w:val="24"/>
        </w:rPr>
      </w:pPr>
      <w:r w:rsidRPr="006A7692">
        <w:rPr>
          <w:snapToGrid/>
          <w:color w:val="212529"/>
          <w:szCs w:val="24"/>
        </w:rPr>
        <w:t xml:space="preserve">The two required subtests are </w:t>
      </w:r>
      <w:r w:rsidRPr="006A7692">
        <w:rPr>
          <w:i/>
          <w:snapToGrid/>
          <w:color w:val="212529"/>
          <w:szCs w:val="24"/>
        </w:rPr>
        <w:t>THEA: Reading</w:t>
      </w:r>
      <w:r w:rsidRPr="006A7692">
        <w:rPr>
          <w:snapToGrid/>
          <w:color w:val="212529"/>
          <w:szCs w:val="24"/>
        </w:rPr>
        <w:t xml:space="preserve"> and </w:t>
      </w:r>
      <w:r w:rsidRPr="006A7692">
        <w:rPr>
          <w:i/>
          <w:snapToGrid/>
          <w:color w:val="212529"/>
          <w:szCs w:val="24"/>
        </w:rPr>
        <w:t>THEA: Writing</w:t>
      </w:r>
      <w:r w:rsidRPr="006A7692">
        <w:rPr>
          <w:snapToGrid/>
          <w:color w:val="212529"/>
          <w:szCs w:val="24"/>
        </w:rPr>
        <w:t xml:space="preserve">. </w:t>
      </w:r>
      <w:r w:rsidRPr="006A7692">
        <w:rPr>
          <w:snapToGrid/>
          <w:color w:val="212529"/>
          <w:szCs w:val="24"/>
        </w:rPr>
        <w:br/>
      </w:r>
      <w:r w:rsidRPr="006A7692">
        <w:rPr>
          <w:snapToGrid/>
          <w:szCs w:val="24"/>
        </w:rPr>
        <w:t>Candidates will be notified when registration is available.</w:t>
      </w:r>
    </w:p>
    <w:p w14:paraId="023501C7" w14:textId="77777777" w:rsidR="006A7692" w:rsidRPr="006A7692" w:rsidRDefault="00A179A2" w:rsidP="00663BDC">
      <w:pPr>
        <w:widowControl/>
        <w:numPr>
          <w:ilvl w:val="0"/>
          <w:numId w:val="24"/>
        </w:numPr>
        <w:rPr>
          <w:snapToGrid/>
          <w:color w:val="365F91" w:themeColor="accent1" w:themeShade="BF"/>
          <w:szCs w:val="24"/>
        </w:rPr>
      </w:pPr>
      <w:hyperlink r:id="rId23" w:history="1">
        <w:r w:rsidR="006A7692" w:rsidRPr="006A7692">
          <w:rPr>
            <w:snapToGrid/>
            <w:color w:val="0000FF" w:themeColor="hyperlink"/>
            <w:szCs w:val="24"/>
            <w:u w:val="single"/>
          </w:rPr>
          <w:t>Indiana Core Academic Skills Assessment (CASA)</w:t>
        </w:r>
      </w:hyperlink>
      <w:r w:rsidR="006A7692" w:rsidRPr="006A7692">
        <w:rPr>
          <w:snapToGrid/>
          <w:szCs w:val="24"/>
        </w:rPr>
        <w:t xml:space="preserve"> </w:t>
      </w:r>
    </w:p>
    <w:p w14:paraId="4691CFBD" w14:textId="77777777" w:rsidR="006A7692" w:rsidRPr="006A7692" w:rsidRDefault="006A7692" w:rsidP="00663BDC">
      <w:pPr>
        <w:widowControl/>
        <w:ind w:firstLine="1526"/>
        <w:textAlignment w:val="baseline"/>
        <w:rPr>
          <w:snapToGrid/>
          <w:color w:val="212529"/>
          <w:szCs w:val="24"/>
        </w:rPr>
      </w:pPr>
      <w:r w:rsidRPr="006A7692">
        <w:rPr>
          <w:snapToGrid/>
          <w:color w:val="212529"/>
          <w:szCs w:val="24"/>
        </w:rPr>
        <w:t xml:space="preserve">The two required subtests are </w:t>
      </w:r>
      <w:r w:rsidRPr="006A7692">
        <w:rPr>
          <w:i/>
          <w:snapToGrid/>
          <w:color w:val="212529"/>
          <w:szCs w:val="24"/>
        </w:rPr>
        <w:t>CASA: Reading</w:t>
      </w:r>
      <w:r w:rsidRPr="006A7692">
        <w:rPr>
          <w:snapToGrid/>
          <w:color w:val="212529"/>
          <w:szCs w:val="24"/>
        </w:rPr>
        <w:t xml:space="preserve"> and </w:t>
      </w:r>
      <w:r w:rsidRPr="006A7692">
        <w:rPr>
          <w:i/>
          <w:snapToGrid/>
          <w:color w:val="212529"/>
          <w:szCs w:val="24"/>
        </w:rPr>
        <w:t>CASA: Writing</w:t>
      </w:r>
      <w:r w:rsidRPr="006A7692">
        <w:rPr>
          <w:snapToGrid/>
          <w:color w:val="212529"/>
          <w:szCs w:val="24"/>
        </w:rPr>
        <w:t>.</w:t>
      </w:r>
    </w:p>
    <w:p w14:paraId="62DB5216" w14:textId="77777777" w:rsidR="006A7692" w:rsidRPr="006A7692" w:rsidRDefault="006A7692" w:rsidP="00663BDC">
      <w:pPr>
        <w:widowControl/>
        <w:ind w:left="1530"/>
        <w:textAlignment w:val="baseline"/>
        <w:rPr>
          <w:snapToGrid/>
          <w:color w:val="212529"/>
          <w:szCs w:val="24"/>
        </w:rPr>
      </w:pPr>
      <w:r w:rsidRPr="006A7692">
        <w:rPr>
          <w:snapToGrid/>
          <w:szCs w:val="24"/>
        </w:rPr>
        <w:t>Candidates will be notified when registration is available.</w:t>
      </w:r>
    </w:p>
    <w:p w14:paraId="12E91154" w14:textId="77777777" w:rsidR="006A7692" w:rsidRPr="006A7692" w:rsidRDefault="006A7692" w:rsidP="00B65E6C">
      <w:pPr>
        <w:widowControl/>
        <w:autoSpaceDE w:val="0"/>
        <w:autoSpaceDN w:val="0"/>
        <w:adjustRightInd w:val="0"/>
        <w:spacing w:before="240"/>
        <w:outlineLvl w:val="2"/>
        <w:rPr>
          <w:i/>
          <w:iCs/>
          <w:szCs w:val="24"/>
        </w:rPr>
      </w:pPr>
      <w:r w:rsidRPr="006A7692">
        <w:rPr>
          <w:i/>
          <w:iCs/>
          <w:szCs w:val="24"/>
        </w:rPr>
        <w:t>Subject Matter Knowledge Alternative Assessment (SMK-Alt)</w:t>
      </w:r>
    </w:p>
    <w:p w14:paraId="124A763F" w14:textId="2DA79185" w:rsidR="006A7692" w:rsidRPr="006A7692" w:rsidRDefault="006A7692" w:rsidP="009763A8">
      <w:pPr>
        <w:widowControl/>
        <w:autoSpaceDE w:val="0"/>
        <w:autoSpaceDN w:val="0"/>
        <w:adjustRightInd w:val="0"/>
        <w:spacing w:before="120" w:after="120"/>
        <w:ind w:left="720"/>
        <w:rPr>
          <w:szCs w:val="24"/>
        </w:rPr>
      </w:pPr>
      <w:r w:rsidRPr="006A7692">
        <w:rPr>
          <w:szCs w:val="24"/>
        </w:rPr>
        <w:t>Prior to the pilot, all teacher candidates had to pass the subject matter knowledge (SMK) MTEL(s) that are required for their licensure field</w:t>
      </w:r>
      <w:r w:rsidR="00EA2FC3">
        <w:rPr>
          <w:szCs w:val="24"/>
        </w:rPr>
        <w:t>, to satisfy (B) of the statutory requirement quoted on page 1</w:t>
      </w:r>
      <w:r w:rsidRPr="006A7692">
        <w:rPr>
          <w:szCs w:val="24"/>
        </w:rPr>
        <w:t>. The purpose of the SMK MTELs</w:t>
      </w:r>
      <w:r w:rsidRPr="006A7692" w:rsidDel="002B0736">
        <w:rPr>
          <w:szCs w:val="24"/>
        </w:rPr>
        <w:t xml:space="preserve"> </w:t>
      </w:r>
      <w:r w:rsidRPr="006A7692">
        <w:rPr>
          <w:szCs w:val="24"/>
        </w:rPr>
        <w:t xml:space="preserve">is to </w:t>
      </w:r>
      <w:r w:rsidR="009B7921">
        <w:rPr>
          <w:szCs w:val="24"/>
        </w:rPr>
        <w:t>determine</w:t>
      </w:r>
      <w:r w:rsidRPr="006A7692" w:rsidDel="009B7921">
        <w:rPr>
          <w:szCs w:val="24"/>
        </w:rPr>
        <w:t xml:space="preserve"> </w:t>
      </w:r>
      <w:r w:rsidRPr="006A7692">
        <w:rPr>
          <w:szCs w:val="24"/>
        </w:rPr>
        <w:t xml:space="preserve">that newly licensed educators have the content knowledge necessary to provide effective instruction in their licensure area, aligned to the </w:t>
      </w:r>
      <w:hyperlink r:id="rId24">
        <w:r w:rsidRPr="006A7692">
          <w:rPr>
            <w:color w:val="0000FF" w:themeColor="hyperlink"/>
            <w:szCs w:val="24"/>
            <w:u w:val="single"/>
          </w:rPr>
          <w:t>Subject Matter Knowledge Guidelines</w:t>
        </w:r>
      </w:hyperlink>
      <w:r w:rsidRPr="006A7692">
        <w:rPr>
          <w:szCs w:val="24"/>
        </w:rPr>
        <w:t xml:space="preserve">. All proposed SMK Alternative Assessments must cover the test objectives of the associated SMK MTEL to ensure the continued alignment of state licensure assessments to the </w:t>
      </w:r>
      <w:hyperlink r:id="rId25">
        <w:r w:rsidRPr="006A7692">
          <w:rPr>
            <w:color w:val="0000FF" w:themeColor="hyperlink"/>
            <w:szCs w:val="24"/>
            <w:u w:val="single"/>
          </w:rPr>
          <w:t>Massachusetts Curriculum Frameworks</w:t>
        </w:r>
      </w:hyperlink>
      <w:r w:rsidRPr="006A7692">
        <w:rPr>
          <w:szCs w:val="24"/>
        </w:rPr>
        <w:t xml:space="preserve">. Details about the format and objectives of specific tests can be found using the </w:t>
      </w:r>
      <w:hyperlink r:id="rId26">
        <w:r w:rsidRPr="006A7692">
          <w:rPr>
            <w:color w:val="0000FF" w:themeColor="hyperlink"/>
            <w:szCs w:val="24"/>
            <w:u w:val="single"/>
          </w:rPr>
          <w:t>MTEL Test Information Guides</w:t>
        </w:r>
      </w:hyperlink>
      <w:r w:rsidRPr="006A7692">
        <w:rPr>
          <w:szCs w:val="24"/>
        </w:rPr>
        <w:t xml:space="preserve">, and more information about the requirements for the SMK Alternative Assessment can be found through </w:t>
      </w:r>
      <w:r w:rsidR="00EA2FC3">
        <w:rPr>
          <w:szCs w:val="24"/>
        </w:rPr>
        <w:t xml:space="preserve">the Department’s </w:t>
      </w:r>
      <w:r w:rsidRPr="006A7692">
        <w:rPr>
          <w:szCs w:val="24"/>
        </w:rPr>
        <w:t xml:space="preserve">associated </w:t>
      </w:r>
      <w:hyperlink r:id="rId27">
        <w:r w:rsidRPr="006A7692">
          <w:rPr>
            <w:color w:val="0000FF" w:themeColor="hyperlink"/>
            <w:szCs w:val="24"/>
            <w:u w:val="single"/>
          </w:rPr>
          <w:t>Request for Responses</w:t>
        </w:r>
      </w:hyperlink>
      <w:r w:rsidRPr="006A7692">
        <w:rPr>
          <w:szCs w:val="24"/>
        </w:rPr>
        <w:t xml:space="preserve">. </w:t>
      </w:r>
    </w:p>
    <w:p w14:paraId="4DA7013D" w14:textId="1EE2823C" w:rsidR="006A7692" w:rsidRPr="006A7692" w:rsidRDefault="006A7692" w:rsidP="006A7692">
      <w:pPr>
        <w:widowControl/>
        <w:autoSpaceDE w:val="0"/>
        <w:autoSpaceDN w:val="0"/>
        <w:adjustRightInd w:val="0"/>
        <w:spacing w:before="120"/>
        <w:ind w:left="720"/>
      </w:pPr>
      <w:r>
        <w:t>Three SMK-Alt proposals are under consideration</w:t>
      </w:r>
      <w:r w:rsidR="33A7C559">
        <w:t>,</w:t>
      </w:r>
      <w:r>
        <w:t xml:space="preserve"> but have not </w:t>
      </w:r>
      <w:r w:rsidR="00EA2FC3">
        <w:t xml:space="preserve">yet </w:t>
      </w:r>
      <w:r>
        <w:t xml:space="preserve">been approved at this time. The Department has also released a </w:t>
      </w:r>
      <w:hyperlink r:id="rId28">
        <w:r w:rsidRPr="0FD3A5AB">
          <w:rPr>
            <w:color w:val="0000FF"/>
            <w:u w:val="single"/>
          </w:rPr>
          <w:t>Request for Proposals</w:t>
        </w:r>
      </w:hyperlink>
      <w:r>
        <w:t xml:space="preserve"> to solicit further innovative assessment options via the Performance Review Program for Initial Licensure (PRPIL) route. </w:t>
      </w:r>
    </w:p>
    <w:p w14:paraId="1AE75D66" w14:textId="77777777" w:rsidR="006A7692" w:rsidRPr="006A7692" w:rsidRDefault="006A7692" w:rsidP="006A7692">
      <w:pPr>
        <w:widowControl/>
        <w:autoSpaceDE w:val="0"/>
        <w:autoSpaceDN w:val="0"/>
        <w:adjustRightInd w:val="0"/>
        <w:ind w:firstLine="720"/>
        <w:outlineLvl w:val="2"/>
        <w:rPr>
          <w:b/>
          <w:bCs/>
          <w:szCs w:val="24"/>
        </w:rPr>
      </w:pPr>
    </w:p>
    <w:p w14:paraId="38F6DC89" w14:textId="77777777" w:rsidR="006A7692" w:rsidRPr="006A7692" w:rsidRDefault="006A7692" w:rsidP="006A7692">
      <w:pPr>
        <w:widowControl/>
        <w:autoSpaceDE w:val="0"/>
        <w:autoSpaceDN w:val="0"/>
        <w:adjustRightInd w:val="0"/>
        <w:ind w:firstLine="720"/>
        <w:outlineLvl w:val="2"/>
        <w:rPr>
          <w:b/>
          <w:bCs/>
          <w:szCs w:val="24"/>
        </w:rPr>
      </w:pPr>
      <w:r w:rsidRPr="006A7692">
        <w:rPr>
          <w:b/>
          <w:bCs/>
          <w:szCs w:val="24"/>
        </w:rPr>
        <w:t>Educator Preparation Subject Matter Attestation</w:t>
      </w:r>
    </w:p>
    <w:p w14:paraId="71773C5F" w14:textId="2FC19781" w:rsidR="006A7692" w:rsidRPr="006A7692" w:rsidRDefault="006A7692" w:rsidP="006A7692">
      <w:pPr>
        <w:widowControl/>
        <w:autoSpaceDE w:val="0"/>
        <w:autoSpaceDN w:val="0"/>
        <w:adjustRightInd w:val="0"/>
        <w:spacing w:before="120"/>
        <w:ind w:left="720"/>
        <w:rPr>
          <w:i/>
          <w:iCs/>
          <w:szCs w:val="24"/>
        </w:rPr>
      </w:pPr>
      <w:r w:rsidRPr="006A7692">
        <w:rPr>
          <w:szCs w:val="24"/>
        </w:rPr>
        <w:t xml:space="preserve">Under this pilot, approved educator preparation programs have the option </w:t>
      </w:r>
      <w:r w:rsidR="00241E5A">
        <w:rPr>
          <w:szCs w:val="24"/>
        </w:rPr>
        <w:t xml:space="preserve">to </w:t>
      </w:r>
      <w:r w:rsidRPr="006A7692">
        <w:rPr>
          <w:szCs w:val="24"/>
        </w:rPr>
        <w:t xml:space="preserve">design subject matter attestations aligned to specific SMK MTEL(s) based on Department-issued </w:t>
      </w:r>
      <w:r w:rsidR="007840EF">
        <w:rPr>
          <w:szCs w:val="24"/>
        </w:rPr>
        <w:t>Guidance for Educator Preparation Programs</w:t>
      </w:r>
      <w:r w:rsidRPr="006A7692">
        <w:rPr>
          <w:szCs w:val="24"/>
        </w:rPr>
        <w:t xml:space="preserve">. </w:t>
      </w:r>
    </w:p>
    <w:p w14:paraId="06540918" w14:textId="171E3F75" w:rsidR="006A7692" w:rsidRPr="006A7692" w:rsidRDefault="006A7692" w:rsidP="006A7692">
      <w:pPr>
        <w:widowControl/>
        <w:autoSpaceDE w:val="0"/>
        <w:autoSpaceDN w:val="0"/>
        <w:adjustRightInd w:val="0"/>
        <w:spacing w:before="120"/>
        <w:ind w:left="720"/>
        <w:rPr>
          <w:szCs w:val="24"/>
        </w:rPr>
      </w:pPr>
      <w:r w:rsidRPr="006A7692">
        <w:rPr>
          <w:szCs w:val="24"/>
        </w:rPr>
        <w:t>As of October 2021, four educator preparation programs have submitted proposals, and three have been approved:</w:t>
      </w:r>
    </w:p>
    <w:p w14:paraId="60ED8581" w14:textId="77777777" w:rsidR="006A7692" w:rsidRPr="006A7692" w:rsidRDefault="006A7692" w:rsidP="009763A8">
      <w:pPr>
        <w:widowControl/>
        <w:autoSpaceDE w:val="0"/>
        <w:autoSpaceDN w:val="0"/>
        <w:adjustRightInd w:val="0"/>
        <w:spacing w:before="120" w:after="120"/>
        <w:ind w:left="1440"/>
        <w:rPr>
          <w:szCs w:val="24"/>
        </w:rPr>
      </w:pPr>
      <w:r w:rsidRPr="006A7692">
        <w:rPr>
          <w:b/>
          <w:szCs w:val="24"/>
        </w:rPr>
        <w:t>Westfield State University</w:t>
      </w:r>
      <w:r w:rsidRPr="006A7692">
        <w:rPr>
          <w:szCs w:val="24"/>
        </w:rPr>
        <w:br/>
      </w:r>
      <w:r w:rsidRPr="006A7692">
        <w:rPr>
          <w:i/>
          <w:szCs w:val="24"/>
        </w:rPr>
        <w:t>Foundations of Reading MTEL</w:t>
      </w:r>
      <w:r w:rsidRPr="006A7692">
        <w:rPr>
          <w:szCs w:val="24"/>
        </w:rPr>
        <w:t xml:space="preserve"> for candidates in their Early Childhood, Elementary, and Teacher of Students with Moderate Disabilities preparation programs. </w:t>
      </w:r>
    </w:p>
    <w:p w14:paraId="13279104" w14:textId="77777777" w:rsidR="006A7692" w:rsidRPr="006A7692" w:rsidRDefault="006A7692" w:rsidP="009763A8">
      <w:pPr>
        <w:spacing w:before="120"/>
        <w:ind w:left="1440"/>
        <w:contextualSpacing/>
        <w:rPr>
          <w:b/>
          <w:bCs/>
          <w:szCs w:val="24"/>
        </w:rPr>
      </w:pPr>
      <w:bookmarkStart w:id="8" w:name="_Candidate_Eligibility"/>
      <w:bookmarkEnd w:id="8"/>
      <w:r w:rsidRPr="006A7692">
        <w:rPr>
          <w:b/>
          <w:bCs/>
          <w:szCs w:val="24"/>
        </w:rPr>
        <w:t>Merrimack College</w:t>
      </w:r>
    </w:p>
    <w:p w14:paraId="6FF2F030" w14:textId="510FAE85" w:rsidR="006A7692" w:rsidRPr="006A7692" w:rsidRDefault="006A7692" w:rsidP="009B7921">
      <w:pPr>
        <w:spacing w:after="120"/>
        <w:ind w:left="1440"/>
        <w:rPr>
          <w:szCs w:val="24"/>
        </w:rPr>
      </w:pPr>
      <w:r w:rsidRPr="006A7692">
        <w:rPr>
          <w:i/>
          <w:iCs/>
          <w:szCs w:val="24"/>
        </w:rPr>
        <w:t>Foundations of Reading MTEL</w:t>
      </w:r>
      <w:r w:rsidRPr="006A7692">
        <w:rPr>
          <w:szCs w:val="24"/>
        </w:rPr>
        <w:t xml:space="preserve"> for candidates in their Elementary preparation program</w:t>
      </w:r>
      <w:r w:rsidR="00535443">
        <w:rPr>
          <w:szCs w:val="24"/>
        </w:rPr>
        <w:t>,</w:t>
      </w:r>
      <w:r w:rsidRPr="006A7692">
        <w:rPr>
          <w:szCs w:val="24"/>
        </w:rPr>
        <w:t xml:space="preserve"> and </w:t>
      </w:r>
      <w:r w:rsidRPr="006A7692">
        <w:rPr>
          <w:i/>
          <w:szCs w:val="24"/>
        </w:rPr>
        <w:t>English as a Second Language (ESL) MTEL</w:t>
      </w:r>
      <w:r w:rsidRPr="006A7692">
        <w:rPr>
          <w:szCs w:val="24"/>
        </w:rPr>
        <w:t xml:space="preserve"> for candidates in their ESL</w:t>
      </w:r>
      <w:r w:rsidR="00C24DBD">
        <w:rPr>
          <w:szCs w:val="24"/>
        </w:rPr>
        <w:t xml:space="preserve"> </w:t>
      </w:r>
      <w:r w:rsidRPr="006A7692">
        <w:rPr>
          <w:szCs w:val="24"/>
        </w:rPr>
        <w:t>preparation program.</w:t>
      </w:r>
    </w:p>
    <w:p w14:paraId="55F541F2" w14:textId="77777777" w:rsidR="006A7692" w:rsidRPr="006A7692" w:rsidRDefault="006A7692" w:rsidP="009763A8">
      <w:pPr>
        <w:ind w:left="1440"/>
        <w:contextualSpacing/>
        <w:rPr>
          <w:szCs w:val="24"/>
        </w:rPr>
      </w:pPr>
      <w:r w:rsidRPr="006A7692">
        <w:rPr>
          <w:b/>
          <w:bCs/>
          <w:szCs w:val="24"/>
        </w:rPr>
        <w:t>Bridgewater State University</w:t>
      </w:r>
    </w:p>
    <w:p w14:paraId="3CEFB8F5" w14:textId="7518EB9F" w:rsidR="006A7692" w:rsidRPr="006A7692" w:rsidRDefault="006A7692" w:rsidP="009B7921">
      <w:pPr>
        <w:ind w:left="1440"/>
        <w:rPr>
          <w:szCs w:val="24"/>
        </w:rPr>
      </w:pPr>
      <w:r w:rsidRPr="006A7692">
        <w:rPr>
          <w:i/>
          <w:iCs/>
          <w:szCs w:val="24"/>
        </w:rPr>
        <w:t>Foundations of Reading MTEL</w:t>
      </w:r>
      <w:r w:rsidRPr="006A7692">
        <w:rPr>
          <w:szCs w:val="24"/>
        </w:rPr>
        <w:t xml:space="preserve"> for candidates in their Early Childhood, Elementary</w:t>
      </w:r>
      <w:r w:rsidR="00C521F2">
        <w:rPr>
          <w:szCs w:val="24"/>
        </w:rPr>
        <w:t>,</w:t>
      </w:r>
      <w:r w:rsidRPr="006A7692">
        <w:rPr>
          <w:szCs w:val="24"/>
        </w:rPr>
        <w:t xml:space="preserve"> and Teacher of Students with Moderate Disabilities preparation programs, </w:t>
      </w:r>
      <w:r w:rsidRPr="006A7692">
        <w:rPr>
          <w:i/>
          <w:iCs/>
          <w:szCs w:val="24"/>
        </w:rPr>
        <w:t xml:space="preserve">ESL MTEL </w:t>
      </w:r>
      <w:r w:rsidRPr="006A7692">
        <w:rPr>
          <w:szCs w:val="24"/>
        </w:rPr>
        <w:t xml:space="preserve">for candidates in their ESL preparation program, </w:t>
      </w:r>
      <w:r w:rsidR="00005827">
        <w:rPr>
          <w:szCs w:val="24"/>
        </w:rPr>
        <w:t xml:space="preserve">and </w:t>
      </w:r>
      <w:r w:rsidRPr="006A7692">
        <w:rPr>
          <w:i/>
          <w:iCs/>
          <w:szCs w:val="24"/>
        </w:rPr>
        <w:t xml:space="preserve">Music MTEL </w:t>
      </w:r>
      <w:r w:rsidRPr="006A7692">
        <w:rPr>
          <w:szCs w:val="24"/>
        </w:rPr>
        <w:t>for candidates in their Music preparation program.</w:t>
      </w:r>
    </w:p>
    <w:p w14:paraId="7AAE2480" w14:textId="0972CDF4" w:rsidR="006A7692" w:rsidRPr="006A7692" w:rsidRDefault="006A7692" w:rsidP="00126F23">
      <w:pPr>
        <w:widowControl/>
        <w:spacing w:after="240"/>
        <w:rPr>
          <w:b/>
          <w:bCs/>
          <w:szCs w:val="24"/>
        </w:rPr>
      </w:pPr>
      <w:r w:rsidRPr="006A7692">
        <w:rPr>
          <w:b/>
          <w:bCs/>
          <w:szCs w:val="24"/>
        </w:rPr>
        <w:lastRenderedPageBreak/>
        <w:t>Candidate Eligibility</w:t>
      </w:r>
    </w:p>
    <w:p w14:paraId="7B094FFF" w14:textId="77777777" w:rsidR="006A7692" w:rsidRPr="006A7692" w:rsidRDefault="006A7692" w:rsidP="006A7692">
      <w:pPr>
        <w:widowControl/>
        <w:autoSpaceDE w:val="0"/>
        <w:autoSpaceDN w:val="0"/>
        <w:adjustRightInd w:val="0"/>
        <w:outlineLvl w:val="2"/>
        <w:rPr>
          <w:i/>
          <w:iCs/>
          <w:color w:val="222222"/>
          <w:szCs w:val="24"/>
          <w:shd w:val="clear" w:color="auto" w:fill="FFFFFF"/>
        </w:rPr>
      </w:pPr>
      <w:r w:rsidRPr="006A7692">
        <w:rPr>
          <w:i/>
          <w:iCs/>
          <w:color w:val="222222"/>
          <w:szCs w:val="24"/>
          <w:shd w:val="clear" w:color="auto" w:fill="FFFFFF"/>
        </w:rPr>
        <w:t xml:space="preserve">Candidate Eligibility for </w:t>
      </w:r>
      <w:r w:rsidRPr="006A7692">
        <w:rPr>
          <w:i/>
          <w:iCs/>
          <w:szCs w:val="24"/>
        </w:rPr>
        <w:t>Communication and Literacy Skills (CLST) MTEL Alternative Assessment</w:t>
      </w:r>
      <w:r w:rsidRPr="006A7692">
        <w:rPr>
          <w:i/>
          <w:iCs/>
          <w:color w:val="222222"/>
          <w:szCs w:val="24"/>
          <w:shd w:val="clear" w:color="auto" w:fill="FFFFFF"/>
        </w:rPr>
        <w:t>: </w:t>
      </w:r>
    </w:p>
    <w:p w14:paraId="2F4EF142" w14:textId="67E44D82" w:rsidR="006A7692" w:rsidRPr="006A7692" w:rsidRDefault="006A7692" w:rsidP="006A7692">
      <w:pPr>
        <w:widowControl/>
        <w:autoSpaceDE w:val="0"/>
        <w:autoSpaceDN w:val="0"/>
        <w:adjustRightInd w:val="0"/>
        <w:spacing w:before="120"/>
        <w:ind w:left="720"/>
        <w:rPr>
          <w:i/>
          <w:iCs/>
          <w:szCs w:val="24"/>
        </w:rPr>
      </w:pPr>
      <w:r w:rsidRPr="006A7692">
        <w:rPr>
          <w:color w:val="222222"/>
          <w:szCs w:val="24"/>
          <w:shd w:val="clear" w:color="auto" w:fill="FFFFFF"/>
        </w:rPr>
        <w:t xml:space="preserve">All candidates required to take the CLST MTEL can take one of the Department-approved alternative assessments. Department-approved alternative assessments must </w:t>
      </w:r>
      <w:r w:rsidR="00EA1907">
        <w:rPr>
          <w:color w:val="222222"/>
          <w:szCs w:val="24"/>
          <w:shd w:val="clear" w:color="auto" w:fill="FFFFFF"/>
        </w:rPr>
        <w:t>be</w:t>
      </w:r>
      <w:r w:rsidRPr="006A7692">
        <w:rPr>
          <w:color w:val="222222"/>
          <w:szCs w:val="24"/>
          <w:shd w:val="clear" w:color="auto" w:fill="FFFFFF"/>
        </w:rPr>
        <w:t xml:space="preserve"> completed between pilot </w:t>
      </w:r>
      <w:r w:rsidR="00EA1907">
        <w:rPr>
          <w:color w:val="222222"/>
          <w:szCs w:val="24"/>
          <w:shd w:val="clear" w:color="auto" w:fill="FFFFFF"/>
        </w:rPr>
        <w:t>approval</w:t>
      </w:r>
      <w:r w:rsidRPr="006A7692">
        <w:rPr>
          <w:color w:val="222222"/>
          <w:szCs w:val="24"/>
          <w:shd w:val="clear" w:color="auto" w:fill="FFFFFF"/>
        </w:rPr>
        <w:t xml:space="preserve"> by BESE on October 20, 2020 </w:t>
      </w:r>
      <w:r w:rsidR="00EA1907">
        <w:rPr>
          <w:color w:val="222222"/>
          <w:szCs w:val="24"/>
          <w:shd w:val="clear" w:color="auto" w:fill="FFFFFF"/>
        </w:rPr>
        <w:t>and</w:t>
      </w:r>
      <w:r w:rsidRPr="006A7692">
        <w:rPr>
          <w:color w:val="222222"/>
          <w:szCs w:val="24"/>
          <w:shd w:val="clear" w:color="auto" w:fill="FFFFFF"/>
        </w:rPr>
        <w:t xml:space="preserve"> the end of the pilot on June 30, 2024. </w:t>
      </w:r>
    </w:p>
    <w:p w14:paraId="028A4221" w14:textId="77777777" w:rsidR="006A7692" w:rsidRPr="006A7692" w:rsidRDefault="006A7692" w:rsidP="006A7692">
      <w:pPr>
        <w:widowControl/>
        <w:autoSpaceDE w:val="0"/>
        <w:autoSpaceDN w:val="0"/>
        <w:adjustRightInd w:val="0"/>
        <w:rPr>
          <w:i/>
          <w:iCs/>
          <w:szCs w:val="24"/>
        </w:rPr>
      </w:pPr>
    </w:p>
    <w:p w14:paraId="0D17949A" w14:textId="77777777" w:rsidR="006A7692" w:rsidRPr="006A7692" w:rsidRDefault="006A7692" w:rsidP="006A7692">
      <w:pPr>
        <w:widowControl/>
        <w:autoSpaceDE w:val="0"/>
        <w:autoSpaceDN w:val="0"/>
        <w:adjustRightInd w:val="0"/>
        <w:outlineLvl w:val="2"/>
        <w:rPr>
          <w:i/>
          <w:iCs/>
          <w:szCs w:val="24"/>
        </w:rPr>
      </w:pPr>
      <w:r w:rsidRPr="006A7692">
        <w:rPr>
          <w:i/>
          <w:iCs/>
          <w:szCs w:val="24"/>
        </w:rPr>
        <w:t>Candidate Eligibility for Educator Preparation Subject Matter Attestation: </w:t>
      </w:r>
    </w:p>
    <w:p w14:paraId="5CAC9CA8" w14:textId="77777777" w:rsidR="006A7692" w:rsidRPr="006A7692" w:rsidRDefault="006A7692" w:rsidP="006A7692">
      <w:pPr>
        <w:widowControl/>
        <w:autoSpaceDE w:val="0"/>
        <w:autoSpaceDN w:val="0"/>
        <w:adjustRightInd w:val="0"/>
        <w:spacing w:before="120"/>
        <w:ind w:left="720"/>
        <w:rPr>
          <w:szCs w:val="24"/>
        </w:rPr>
      </w:pPr>
      <w:r w:rsidRPr="006A7692">
        <w:rPr>
          <w:szCs w:val="24"/>
        </w:rPr>
        <w:t xml:space="preserve">Educator preparation programs may only offer alternative assessments approved by the Department. Candidates must be enrolled in an approved initial licensure preparation program offering a Subject Matter Knowledge Attestation and must be in good standing with the program. Educator preparation programs may have additional eligibility requirements. </w:t>
      </w:r>
    </w:p>
    <w:p w14:paraId="6502B927" w14:textId="77777777" w:rsidR="006A7692" w:rsidRPr="006A7692" w:rsidRDefault="006A7692" w:rsidP="006A7692">
      <w:pPr>
        <w:widowControl/>
        <w:autoSpaceDE w:val="0"/>
        <w:autoSpaceDN w:val="0"/>
        <w:adjustRightInd w:val="0"/>
        <w:spacing w:before="120"/>
        <w:ind w:left="720"/>
        <w:rPr>
          <w:szCs w:val="24"/>
        </w:rPr>
      </w:pPr>
      <w:r w:rsidRPr="006A7692">
        <w:rPr>
          <w:szCs w:val="24"/>
        </w:rPr>
        <w:t xml:space="preserve">The following tests are </w:t>
      </w:r>
      <w:r w:rsidRPr="006A7692">
        <w:rPr>
          <w:b/>
          <w:bCs/>
          <w:szCs w:val="24"/>
        </w:rPr>
        <w:t>not currently eligible</w:t>
      </w:r>
      <w:r w:rsidRPr="006A7692">
        <w:rPr>
          <w:szCs w:val="24"/>
        </w:rPr>
        <w:t xml:space="preserve"> for the SMK Attestation:</w:t>
      </w:r>
    </w:p>
    <w:p w14:paraId="3485FFCF"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Adult Basic Education</w:t>
      </w:r>
    </w:p>
    <w:p w14:paraId="13B37E98"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Bilingual Education</w:t>
      </w:r>
    </w:p>
    <w:p w14:paraId="680C5140"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Communication and Literacy Skills Test</w:t>
      </w:r>
    </w:p>
    <w:p w14:paraId="3B9601C1"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Reading Specialist</w:t>
      </w:r>
    </w:p>
    <w:p w14:paraId="04CE2C79"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Sheltered English Immersion</w:t>
      </w:r>
    </w:p>
    <w:p w14:paraId="748CCBE3" w14:textId="77777777" w:rsidR="006A7692" w:rsidRPr="006A7692" w:rsidRDefault="006A7692" w:rsidP="006A7692">
      <w:pPr>
        <w:widowControl/>
        <w:numPr>
          <w:ilvl w:val="0"/>
          <w:numId w:val="23"/>
        </w:numPr>
        <w:tabs>
          <w:tab w:val="num" w:pos="1440"/>
        </w:tabs>
        <w:autoSpaceDE w:val="0"/>
        <w:autoSpaceDN w:val="0"/>
        <w:adjustRightInd w:val="0"/>
        <w:ind w:left="1440"/>
        <w:rPr>
          <w:szCs w:val="24"/>
        </w:rPr>
      </w:pPr>
      <w:r w:rsidRPr="006A7692">
        <w:rPr>
          <w:szCs w:val="24"/>
        </w:rPr>
        <w:t>Vocational Technical Literacy Skills Test</w:t>
      </w:r>
    </w:p>
    <w:p w14:paraId="5B7A541E" w14:textId="77777777" w:rsidR="006A7692" w:rsidRPr="006A7692" w:rsidRDefault="006A7692" w:rsidP="006A7692">
      <w:pPr>
        <w:rPr>
          <w:b/>
          <w:szCs w:val="24"/>
        </w:rPr>
      </w:pPr>
    </w:p>
    <w:p w14:paraId="7EF9DBC3" w14:textId="77777777" w:rsidR="006A7692" w:rsidRPr="006A7692" w:rsidRDefault="006A7692" w:rsidP="00D46EE8">
      <w:pPr>
        <w:spacing w:after="120"/>
        <w:rPr>
          <w:b/>
          <w:szCs w:val="24"/>
        </w:rPr>
      </w:pPr>
      <w:bookmarkStart w:id="9" w:name="_Evaluation"/>
      <w:bookmarkEnd w:id="9"/>
      <w:r w:rsidRPr="006A7692">
        <w:rPr>
          <w:b/>
          <w:szCs w:val="24"/>
        </w:rPr>
        <w:t>Pilot Evaluation Overview</w:t>
      </w:r>
    </w:p>
    <w:p w14:paraId="486A05C4" w14:textId="050E681B" w:rsidR="006A7692" w:rsidRPr="006A7692" w:rsidRDefault="006A7692" w:rsidP="00D46EE8">
      <w:pPr>
        <w:spacing w:after="120"/>
        <w:ind w:left="720"/>
        <w:rPr>
          <w:szCs w:val="24"/>
        </w:rPr>
      </w:pPr>
      <w:r w:rsidRPr="006A7692">
        <w:rPr>
          <w:szCs w:val="24"/>
        </w:rPr>
        <w:t xml:space="preserve">The Department has selected the </w:t>
      </w:r>
      <w:hyperlink r:id="rId29" w:history="1">
        <w:r w:rsidRPr="006A7692">
          <w:rPr>
            <w:color w:val="0000FF" w:themeColor="hyperlink"/>
            <w:szCs w:val="24"/>
            <w:u w:val="single"/>
          </w:rPr>
          <w:t>National Center for Analysis of Longitudinal Data in Education Research (CALDER)</w:t>
        </w:r>
      </w:hyperlink>
      <w:r w:rsidRPr="006A7692">
        <w:rPr>
          <w:szCs w:val="24"/>
        </w:rPr>
        <w:t xml:space="preserve"> at American Institutes for Research (AIR) as the external evaluator</w:t>
      </w:r>
      <w:r w:rsidR="00B05D76">
        <w:rPr>
          <w:szCs w:val="24"/>
        </w:rPr>
        <w:t xml:space="preserve"> for this pilot</w:t>
      </w:r>
      <w:r w:rsidRPr="006A7692">
        <w:rPr>
          <w:szCs w:val="24"/>
        </w:rPr>
        <w:t>. The evaluation team includes Dan Goldhaber, James Cowan, Roddy Theobald, and Bingjie Chen. The Department has partnered with these researchers in the past to evaluate licensure assessments and the impacts on our educator workforce</w:t>
      </w:r>
      <w:r w:rsidR="009B7921">
        <w:rPr>
          <w:szCs w:val="24"/>
        </w:rPr>
        <w:t>.</w:t>
      </w:r>
      <w:r w:rsidRPr="006A7692">
        <w:rPr>
          <w:szCs w:val="24"/>
          <w:vertAlign w:val="superscript"/>
        </w:rPr>
        <w:footnoteReference w:id="2"/>
      </w:r>
      <w:r w:rsidRPr="006A7692">
        <w:rPr>
          <w:szCs w:val="24"/>
        </w:rPr>
        <w:t xml:space="preserve"> The timeline for this evaluation mirrors the timeline of the pilot and will be completed by June 30, 2024. </w:t>
      </w:r>
    </w:p>
    <w:p w14:paraId="185D0A18" w14:textId="77777777" w:rsidR="006A7692" w:rsidRPr="006A7692" w:rsidRDefault="006A7692" w:rsidP="00D46EE8">
      <w:pPr>
        <w:spacing w:after="120"/>
        <w:ind w:left="720"/>
        <w:rPr>
          <w:szCs w:val="24"/>
        </w:rPr>
      </w:pPr>
      <w:bookmarkStart w:id="10" w:name="_Toc57964113"/>
      <w:r w:rsidRPr="006A7692">
        <w:rPr>
          <w:szCs w:val="24"/>
        </w:rPr>
        <w:t>T</w:t>
      </w:r>
      <w:r w:rsidRPr="006A7692">
        <w:rPr>
          <w:szCs w:val="24"/>
          <w:lang w:eastAsia="ja-JP"/>
        </w:rPr>
        <w:t>he evaluators plan to link cohorts of teachers participating in the pilot alternatives to Massachusetts data on student and teacher outcomes as well as additional data from structured interviews and survey responses. Relevant metrics include program completion, licensure, and employment, as well as measures of teaching effectiveness derived from student outcomes and performance evaluations.</w:t>
      </w:r>
      <w:r w:rsidRPr="006A7692">
        <w:rPr>
          <w:szCs w:val="24"/>
        </w:rPr>
        <w:t xml:space="preserve"> </w:t>
      </w:r>
      <w:bookmarkStart w:id="11" w:name="_Toc75875723"/>
    </w:p>
    <w:p w14:paraId="26573C11" w14:textId="77777777" w:rsidR="006A7692" w:rsidRPr="006A7692" w:rsidRDefault="006A7692" w:rsidP="00D46EE8">
      <w:pPr>
        <w:spacing w:after="120"/>
        <w:ind w:left="720"/>
        <w:rPr>
          <w:szCs w:val="24"/>
        </w:rPr>
      </w:pPr>
      <w:r w:rsidRPr="006A7692">
        <w:rPr>
          <w:szCs w:val="24"/>
        </w:rPr>
        <w:t xml:space="preserve">Future updates will describe the participation, implementation, and outcomes of these pilot alternative assessments and additional detail about the associated methods, data collection, and analyses. </w:t>
      </w:r>
    </w:p>
    <w:p w14:paraId="7BA816D0" w14:textId="77777777" w:rsidR="006A7692" w:rsidRPr="006A7692" w:rsidRDefault="006A7692" w:rsidP="006A7692">
      <w:pPr>
        <w:ind w:left="720"/>
        <w:rPr>
          <w:szCs w:val="24"/>
        </w:rPr>
      </w:pPr>
    </w:p>
    <w:p w14:paraId="7A802411" w14:textId="77777777" w:rsidR="006A7692" w:rsidRPr="006A7692" w:rsidRDefault="006A7692" w:rsidP="006A7692">
      <w:pPr>
        <w:keepNext/>
        <w:widowControl/>
        <w:spacing w:before="240" w:after="120"/>
        <w:rPr>
          <w:snapToGrid/>
          <w:szCs w:val="24"/>
          <w:lang w:eastAsia="ja-JP"/>
        </w:rPr>
      </w:pPr>
      <w:r w:rsidRPr="006A7692">
        <w:rPr>
          <w:snapToGrid/>
          <w:szCs w:val="24"/>
          <w:lang w:eastAsia="ja-JP"/>
        </w:rPr>
        <w:lastRenderedPageBreak/>
        <w:t>Table 1</w:t>
      </w:r>
      <w:r w:rsidRPr="006A7692">
        <w:rPr>
          <w:b/>
          <w:snapToGrid/>
          <w:szCs w:val="24"/>
        </w:rPr>
        <w:br/>
      </w:r>
      <w:r w:rsidRPr="006A7692">
        <w:rPr>
          <w:snapToGrid/>
          <w:szCs w:val="24"/>
          <w:lang w:eastAsia="ja-JP"/>
        </w:rPr>
        <w:t>Anticipated Data Collection</w:t>
      </w:r>
      <w:bookmarkEnd w:id="11"/>
    </w:p>
    <w:tbl>
      <w:tblPr>
        <w:tblStyle w:val="TableStyle-Accent1"/>
        <w:tblW w:w="5051" w:type="pct"/>
        <w:jc w:val="center"/>
        <w:tblLook w:val="0620" w:firstRow="1" w:lastRow="0" w:firstColumn="0" w:lastColumn="0" w:noHBand="1" w:noVBand="1"/>
      </w:tblPr>
      <w:tblGrid>
        <w:gridCol w:w="1702"/>
        <w:gridCol w:w="2580"/>
        <w:gridCol w:w="2580"/>
        <w:gridCol w:w="2580"/>
      </w:tblGrid>
      <w:tr w:rsidR="006A7692" w:rsidRPr="006A7692" w14:paraId="1777DA38" w14:textId="77777777" w:rsidTr="004D738E">
        <w:trPr>
          <w:cnfStyle w:val="100000000000" w:firstRow="1" w:lastRow="0" w:firstColumn="0" w:lastColumn="0" w:oddVBand="0" w:evenVBand="0" w:oddHBand="0" w:evenHBand="0" w:firstRowFirstColumn="0" w:firstRowLastColumn="0" w:lastRowFirstColumn="0" w:lastRowLastColumn="0"/>
          <w:jc w:val="center"/>
        </w:trPr>
        <w:tc>
          <w:tcPr>
            <w:tcW w:w="1702" w:type="dxa"/>
            <w:tcBorders>
              <w:top w:val="single" w:sz="4" w:space="0" w:color="auto"/>
              <w:right w:val="single" w:sz="4" w:space="0" w:color="auto"/>
            </w:tcBorders>
            <w:shd w:val="clear" w:color="auto" w:fill="D9D9D9" w:themeFill="background1" w:themeFillShade="D9"/>
          </w:tcPr>
          <w:p w14:paraId="20F49FC8" w14:textId="77777777" w:rsidR="006A7692" w:rsidRPr="006A7692" w:rsidRDefault="006A7692" w:rsidP="006A7692">
            <w:pPr>
              <w:widowControl/>
              <w:spacing w:before="40" w:after="40"/>
              <w:rPr>
                <w:rFonts w:ascii="Times New Roman" w:eastAsiaTheme="minorEastAsia" w:hAnsi="Times New Roman" w:cs="Times New Roman"/>
                <w:b/>
                <w:bCs/>
              </w:rPr>
            </w:pPr>
            <w:r w:rsidRPr="006A7692">
              <w:rPr>
                <w:rFonts w:ascii="Times New Roman" w:eastAsiaTheme="minorEastAsia" w:hAnsi="Times New Roman" w:cs="Times New Roman"/>
                <w:b/>
                <w:bCs/>
              </w:rPr>
              <w:t>Academic Year</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27C05" w14:textId="77777777" w:rsidR="006A7692" w:rsidRPr="006A7692" w:rsidRDefault="006A7692" w:rsidP="006A7692">
            <w:pPr>
              <w:widowControl/>
              <w:spacing w:before="40" w:after="40"/>
              <w:rPr>
                <w:rFonts w:ascii="Times New Roman" w:eastAsiaTheme="minorEastAsia" w:hAnsi="Times New Roman" w:cs="Times New Roman"/>
                <w:b/>
                <w:bCs/>
              </w:rPr>
            </w:pPr>
            <w:r w:rsidRPr="006A7692">
              <w:rPr>
                <w:rFonts w:ascii="Times New Roman" w:eastAsiaTheme="minorEastAsia" w:hAnsi="Times New Roman" w:cs="Times New Roman"/>
                <w:b/>
                <w:bCs/>
              </w:rPr>
              <w:t>Cohort 1</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CA6C7" w14:textId="77777777" w:rsidR="006A7692" w:rsidRPr="006A7692" w:rsidRDefault="006A7692" w:rsidP="006A7692">
            <w:pPr>
              <w:widowControl/>
              <w:spacing w:before="40" w:after="40"/>
              <w:rPr>
                <w:rFonts w:ascii="Times New Roman" w:eastAsiaTheme="minorEastAsia" w:hAnsi="Times New Roman" w:cs="Times New Roman"/>
                <w:b/>
                <w:bCs/>
              </w:rPr>
            </w:pPr>
            <w:r w:rsidRPr="006A7692">
              <w:rPr>
                <w:rFonts w:ascii="Times New Roman" w:eastAsiaTheme="minorEastAsia" w:hAnsi="Times New Roman" w:cs="Times New Roman"/>
                <w:b/>
                <w:bCs/>
              </w:rPr>
              <w:t>Cohort 2</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70DC4" w14:textId="77777777" w:rsidR="006A7692" w:rsidRPr="006A7692" w:rsidRDefault="006A7692" w:rsidP="006A7692">
            <w:pPr>
              <w:widowControl/>
              <w:spacing w:before="40" w:after="40"/>
              <w:rPr>
                <w:rFonts w:ascii="Times New Roman" w:eastAsiaTheme="minorEastAsia" w:hAnsi="Times New Roman" w:cs="Times New Roman"/>
                <w:b/>
                <w:bCs/>
              </w:rPr>
            </w:pPr>
            <w:r w:rsidRPr="006A7692">
              <w:rPr>
                <w:rFonts w:ascii="Times New Roman" w:eastAsiaTheme="minorEastAsia" w:hAnsi="Times New Roman" w:cs="Times New Roman"/>
                <w:b/>
                <w:bCs/>
              </w:rPr>
              <w:t>Cohort 3</w:t>
            </w:r>
          </w:p>
        </w:tc>
      </w:tr>
      <w:tr w:rsidR="006A7692" w:rsidRPr="006A7692" w14:paraId="38AD4B10" w14:textId="77777777" w:rsidTr="004D738E">
        <w:trPr>
          <w:trHeight w:val="1083"/>
          <w:jc w:val="center"/>
        </w:trPr>
        <w:tc>
          <w:tcPr>
            <w:tcW w:w="1702" w:type="dxa"/>
            <w:vAlign w:val="center"/>
          </w:tcPr>
          <w:p w14:paraId="6BFB4ACB"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2021–2022</w:t>
            </w:r>
          </w:p>
        </w:tc>
        <w:tc>
          <w:tcPr>
            <w:tcW w:w="2580" w:type="dxa"/>
            <w:vAlign w:val="center"/>
          </w:tcPr>
          <w:p w14:paraId="22712D48" w14:textId="77777777" w:rsidR="006A7692" w:rsidRPr="006A7692" w:rsidRDefault="006A7692" w:rsidP="006A7692">
            <w:pPr>
              <w:widowControl/>
              <w:spacing w:before="40" w:after="40"/>
              <w:jc w:val="center"/>
              <w:rPr>
                <w:rFonts w:ascii="Times New Roman" w:hAnsi="Times New Roman" w:cs="Times New Roman"/>
                <w:i/>
              </w:rPr>
            </w:pPr>
            <w:r w:rsidRPr="006A7692">
              <w:rPr>
                <w:rFonts w:ascii="Times New Roman" w:hAnsi="Times New Roman" w:cs="Times New Roman"/>
                <w:i/>
              </w:rPr>
              <w:t>In Pilot</w:t>
            </w:r>
          </w:p>
          <w:p w14:paraId="6AE2ED68"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 xml:space="preserve">Surveys </w:t>
            </w:r>
          </w:p>
          <w:p w14:paraId="1EBAAF36"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Completion Outcomes</w:t>
            </w:r>
          </w:p>
        </w:tc>
        <w:tc>
          <w:tcPr>
            <w:tcW w:w="2580" w:type="dxa"/>
            <w:shd w:val="clear" w:color="auto" w:fill="F2F2F2" w:themeFill="background1" w:themeFillShade="F2"/>
            <w:vAlign w:val="center"/>
          </w:tcPr>
          <w:p w14:paraId="7AE06AFA" w14:textId="77777777" w:rsidR="006A7692" w:rsidRPr="006A7692" w:rsidRDefault="006A7692" w:rsidP="006A7692">
            <w:pPr>
              <w:widowControl/>
              <w:spacing w:before="40" w:after="40"/>
              <w:jc w:val="center"/>
              <w:rPr>
                <w:rFonts w:ascii="Times New Roman" w:hAnsi="Times New Roman" w:cs="Times New Roman"/>
              </w:rPr>
            </w:pPr>
          </w:p>
        </w:tc>
        <w:tc>
          <w:tcPr>
            <w:tcW w:w="2580" w:type="dxa"/>
            <w:shd w:val="clear" w:color="auto" w:fill="F2F2F2" w:themeFill="background1" w:themeFillShade="F2"/>
            <w:vAlign w:val="center"/>
          </w:tcPr>
          <w:p w14:paraId="0E74FA26" w14:textId="77777777" w:rsidR="006A7692" w:rsidRPr="006A7692" w:rsidRDefault="006A7692" w:rsidP="006A7692">
            <w:pPr>
              <w:widowControl/>
              <w:spacing w:before="40" w:after="40"/>
              <w:jc w:val="center"/>
              <w:rPr>
                <w:rFonts w:ascii="Times New Roman" w:hAnsi="Times New Roman" w:cs="Times New Roman"/>
              </w:rPr>
            </w:pPr>
          </w:p>
        </w:tc>
      </w:tr>
      <w:tr w:rsidR="006A7692" w:rsidRPr="006A7692" w14:paraId="45A26941" w14:textId="77777777" w:rsidTr="004D738E">
        <w:trPr>
          <w:trHeight w:val="1425"/>
          <w:jc w:val="center"/>
        </w:trPr>
        <w:tc>
          <w:tcPr>
            <w:tcW w:w="1702" w:type="dxa"/>
            <w:vAlign w:val="center"/>
          </w:tcPr>
          <w:p w14:paraId="6B2574AF"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2022–2023</w:t>
            </w:r>
          </w:p>
        </w:tc>
        <w:tc>
          <w:tcPr>
            <w:tcW w:w="2580" w:type="dxa"/>
            <w:vAlign w:val="center"/>
          </w:tcPr>
          <w:p w14:paraId="16FA4F8B"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Employment Outcomes</w:t>
            </w:r>
          </w:p>
          <w:p w14:paraId="1BCA459D"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Evaluation Ratings</w:t>
            </w:r>
          </w:p>
          <w:p w14:paraId="39DD61C4"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Student Outcomes</w:t>
            </w:r>
          </w:p>
          <w:p w14:paraId="7CFC6BD9"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 xml:space="preserve">Structured Interviews </w:t>
            </w:r>
          </w:p>
        </w:tc>
        <w:tc>
          <w:tcPr>
            <w:tcW w:w="2580" w:type="dxa"/>
            <w:vAlign w:val="center"/>
          </w:tcPr>
          <w:p w14:paraId="7AC26741" w14:textId="77777777" w:rsidR="006A7692" w:rsidRPr="006A7692" w:rsidRDefault="006A7692" w:rsidP="006A7692">
            <w:pPr>
              <w:widowControl/>
              <w:spacing w:before="40" w:after="40"/>
              <w:jc w:val="center"/>
              <w:rPr>
                <w:rFonts w:ascii="Times New Roman" w:hAnsi="Times New Roman" w:cs="Times New Roman"/>
                <w:i/>
              </w:rPr>
            </w:pPr>
            <w:r w:rsidRPr="006A7692">
              <w:rPr>
                <w:rFonts w:ascii="Times New Roman" w:hAnsi="Times New Roman" w:cs="Times New Roman"/>
                <w:i/>
              </w:rPr>
              <w:t>In Pilot</w:t>
            </w:r>
          </w:p>
          <w:p w14:paraId="0F001989"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Surveys</w:t>
            </w:r>
          </w:p>
          <w:p w14:paraId="11E0460F"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Completion Outcomes</w:t>
            </w:r>
          </w:p>
          <w:p w14:paraId="63EC6425"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Structured Interviews</w:t>
            </w:r>
          </w:p>
        </w:tc>
        <w:tc>
          <w:tcPr>
            <w:tcW w:w="2580" w:type="dxa"/>
            <w:shd w:val="clear" w:color="auto" w:fill="F2F2F2" w:themeFill="background1" w:themeFillShade="F2"/>
            <w:vAlign w:val="center"/>
          </w:tcPr>
          <w:p w14:paraId="7ECAD034" w14:textId="77777777" w:rsidR="006A7692" w:rsidRPr="006A7692" w:rsidRDefault="006A7692" w:rsidP="006A7692">
            <w:pPr>
              <w:widowControl/>
              <w:spacing w:before="40" w:after="40"/>
              <w:jc w:val="center"/>
              <w:rPr>
                <w:rFonts w:ascii="Times New Roman" w:hAnsi="Times New Roman" w:cs="Times New Roman"/>
              </w:rPr>
            </w:pPr>
          </w:p>
        </w:tc>
      </w:tr>
      <w:tr w:rsidR="006A7692" w:rsidRPr="006A7692" w14:paraId="5F5A5837" w14:textId="77777777" w:rsidTr="004D738E">
        <w:trPr>
          <w:trHeight w:val="525"/>
          <w:jc w:val="center"/>
        </w:trPr>
        <w:tc>
          <w:tcPr>
            <w:tcW w:w="1702" w:type="dxa"/>
            <w:vAlign w:val="center"/>
          </w:tcPr>
          <w:p w14:paraId="02ACC0F4"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2023–2024</w:t>
            </w:r>
          </w:p>
        </w:tc>
        <w:tc>
          <w:tcPr>
            <w:tcW w:w="2580" w:type="dxa"/>
            <w:vAlign w:val="center"/>
          </w:tcPr>
          <w:p w14:paraId="3872F80E"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Employment Outcomes*</w:t>
            </w:r>
          </w:p>
          <w:p w14:paraId="2DA2F965"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Evaluation Ratings*</w:t>
            </w:r>
          </w:p>
          <w:p w14:paraId="60466D08"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Student Outcomes*</w:t>
            </w:r>
          </w:p>
        </w:tc>
        <w:tc>
          <w:tcPr>
            <w:tcW w:w="2580" w:type="dxa"/>
            <w:vAlign w:val="center"/>
          </w:tcPr>
          <w:p w14:paraId="08D1C7D7"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Employment Outcomes*</w:t>
            </w:r>
          </w:p>
          <w:p w14:paraId="72EC4736"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Evaluation Ratings*</w:t>
            </w:r>
          </w:p>
          <w:p w14:paraId="6D74E717"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Student Outcomes*</w:t>
            </w:r>
          </w:p>
        </w:tc>
        <w:tc>
          <w:tcPr>
            <w:tcW w:w="2580" w:type="dxa"/>
            <w:vAlign w:val="center"/>
          </w:tcPr>
          <w:p w14:paraId="38D23C97" w14:textId="77777777" w:rsidR="006A7692" w:rsidRPr="006A7692" w:rsidRDefault="006A7692" w:rsidP="006A7692">
            <w:pPr>
              <w:widowControl/>
              <w:spacing w:before="40" w:after="40"/>
              <w:jc w:val="center"/>
              <w:rPr>
                <w:rFonts w:ascii="Times New Roman" w:hAnsi="Times New Roman" w:cs="Times New Roman"/>
                <w:i/>
                <w:iCs/>
              </w:rPr>
            </w:pPr>
            <w:r w:rsidRPr="006A7692">
              <w:rPr>
                <w:rFonts w:ascii="Times New Roman" w:hAnsi="Times New Roman" w:cs="Times New Roman"/>
                <w:i/>
              </w:rPr>
              <w:t>In Pilot</w:t>
            </w:r>
          </w:p>
          <w:p w14:paraId="746B4199" w14:textId="77777777" w:rsidR="006A7692" w:rsidRPr="006A7692" w:rsidRDefault="006A7692" w:rsidP="006A7692">
            <w:pPr>
              <w:widowControl/>
              <w:spacing w:before="40" w:after="40"/>
              <w:jc w:val="center"/>
              <w:rPr>
                <w:rFonts w:ascii="Times New Roman" w:hAnsi="Times New Roman" w:cs="Times New Roman"/>
              </w:rPr>
            </w:pPr>
            <w:r w:rsidRPr="006A7692">
              <w:rPr>
                <w:rFonts w:ascii="Times New Roman" w:hAnsi="Times New Roman" w:cs="Times New Roman"/>
              </w:rPr>
              <w:t>Surveys</w:t>
            </w:r>
          </w:p>
          <w:p w14:paraId="51C07521" w14:textId="77777777" w:rsidR="006A7692" w:rsidRPr="006A7692" w:rsidRDefault="006A7692" w:rsidP="006A7692">
            <w:pPr>
              <w:widowControl/>
              <w:spacing w:before="40" w:after="40"/>
              <w:jc w:val="center"/>
              <w:rPr>
                <w:rFonts w:ascii="Times New Roman" w:hAnsi="Times New Roman" w:cs="Times New Roman"/>
                <w:i/>
              </w:rPr>
            </w:pPr>
            <w:r w:rsidRPr="006A7692">
              <w:rPr>
                <w:rFonts w:ascii="Times New Roman" w:hAnsi="Times New Roman" w:cs="Times New Roman"/>
              </w:rPr>
              <w:t>Completion Outcomes*</w:t>
            </w:r>
          </w:p>
        </w:tc>
      </w:tr>
    </w:tbl>
    <w:p w14:paraId="27F71F08" w14:textId="5042A767" w:rsidR="006A7692" w:rsidRPr="006A7692" w:rsidRDefault="006A7692" w:rsidP="006A7692">
      <w:pPr>
        <w:widowControl/>
        <w:suppressAutoHyphens/>
        <w:spacing w:before="240" w:after="120"/>
        <w:rPr>
          <w:rFonts w:eastAsia="Calibri"/>
          <w:snapToGrid/>
          <w:szCs w:val="24"/>
        </w:rPr>
      </w:pPr>
      <w:r w:rsidRPr="006A7692">
        <w:rPr>
          <w:rFonts w:eastAsia="Calibri"/>
          <w:snapToGrid/>
          <w:szCs w:val="24"/>
        </w:rPr>
        <w:t xml:space="preserve">* Employment, Student, and Completion Outcomes data that are available prior to June 30, 2024 can be included in the evaluation. Some outcome data, such as </w:t>
      </w:r>
      <w:r w:rsidR="009B7921">
        <w:rPr>
          <w:rFonts w:eastAsia="Calibri"/>
          <w:snapToGrid/>
          <w:szCs w:val="24"/>
        </w:rPr>
        <w:t>f</w:t>
      </w:r>
      <w:r w:rsidRPr="006A7692">
        <w:rPr>
          <w:rFonts w:eastAsia="Calibri"/>
          <w:snapToGrid/>
          <w:szCs w:val="24"/>
        </w:rPr>
        <w:t xml:space="preserve">all EPIMS data, are not available until </w:t>
      </w:r>
      <w:r w:rsidR="009B7921">
        <w:rPr>
          <w:rFonts w:eastAsia="Calibri"/>
          <w:snapToGrid/>
          <w:szCs w:val="24"/>
        </w:rPr>
        <w:t>w</w:t>
      </w:r>
      <w:r w:rsidRPr="006A7692">
        <w:rPr>
          <w:rFonts w:eastAsia="Calibri"/>
          <w:snapToGrid/>
          <w:szCs w:val="24"/>
        </w:rPr>
        <w:t>inter 2024 and cannot be included.</w:t>
      </w:r>
      <w:bookmarkEnd w:id="10"/>
    </w:p>
    <w:p w14:paraId="1FA174EB" w14:textId="2EB075E0" w:rsidR="0039533A" w:rsidRDefault="0039533A"/>
    <w:sectPr w:rsidR="0039533A" w:rsidSect="007B3EE1">
      <w:footerReference w:type="default" r:id="rId30"/>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61063" w14:textId="77777777" w:rsidR="00A179A2" w:rsidRDefault="00A179A2">
      <w:r>
        <w:separator/>
      </w:r>
    </w:p>
  </w:endnote>
  <w:endnote w:type="continuationSeparator" w:id="0">
    <w:p w14:paraId="3C9BA0A5" w14:textId="77777777" w:rsidR="00A179A2" w:rsidRDefault="00A179A2">
      <w:r>
        <w:continuationSeparator/>
      </w:r>
    </w:p>
  </w:endnote>
  <w:endnote w:type="continuationNotice" w:id="1">
    <w:p w14:paraId="63F453DB" w14:textId="77777777" w:rsidR="00A179A2" w:rsidRDefault="00A1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3B2A" w14:textId="77777777" w:rsidR="00A179A2" w:rsidRDefault="00A179A2">
      <w:r>
        <w:separator/>
      </w:r>
    </w:p>
  </w:footnote>
  <w:footnote w:type="continuationSeparator" w:id="0">
    <w:p w14:paraId="0BDD91CD" w14:textId="77777777" w:rsidR="00A179A2" w:rsidRDefault="00A179A2">
      <w:r>
        <w:continuationSeparator/>
      </w:r>
    </w:p>
  </w:footnote>
  <w:footnote w:type="continuationNotice" w:id="1">
    <w:p w14:paraId="7E16C861" w14:textId="77777777" w:rsidR="00A179A2" w:rsidRDefault="00A179A2"/>
  </w:footnote>
  <w:footnote w:id="2">
    <w:p w14:paraId="4889C04C" w14:textId="77777777" w:rsidR="006A7692" w:rsidRDefault="006A7692" w:rsidP="006A7692">
      <w:pPr>
        <w:pStyle w:val="FootnoteText"/>
      </w:pPr>
      <w:r>
        <w:rPr>
          <w:rStyle w:val="FootnoteReference"/>
        </w:rPr>
        <w:footnoteRef/>
      </w:r>
      <w:r>
        <w:t xml:space="preserve"> </w:t>
      </w:r>
      <w:hyperlink r:id="rId1" w:history="1">
        <w:r w:rsidRPr="00DC2313">
          <w:rPr>
            <w:rStyle w:val="Hyperlink"/>
          </w:rPr>
          <w:t>Sample publication</w:t>
        </w:r>
      </w:hyperlink>
      <w:r>
        <w:t xml:space="preserve"> from this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6042AF"/>
    <w:multiLevelType w:val="hybridMultilevel"/>
    <w:tmpl w:val="CFC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9812993"/>
    <w:multiLevelType w:val="multilevel"/>
    <w:tmpl w:val="2AEAB65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F925014"/>
    <w:multiLevelType w:val="hybridMultilevel"/>
    <w:tmpl w:val="8E72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CC7EC2"/>
    <w:multiLevelType w:val="hybridMultilevel"/>
    <w:tmpl w:val="FF3AED06"/>
    <w:lvl w:ilvl="0" w:tplc="C63ECB4C">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05920"/>
    <w:multiLevelType w:val="hybridMultilevel"/>
    <w:tmpl w:val="E85804B4"/>
    <w:lvl w:ilvl="0" w:tplc="0C22DFEC">
      <w:start w:val="1"/>
      <w:numFmt w:val="decimal"/>
      <w:lvlText w:val="%1."/>
      <w:lvlJc w:val="left"/>
      <w:pPr>
        <w:tabs>
          <w:tab w:val="num" w:pos="720"/>
        </w:tabs>
        <w:ind w:left="720" w:hanging="360"/>
      </w:pPr>
    </w:lvl>
    <w:lvl w:ilvl="1" w:tplc="F83EF56A">
      <w:start w:val="1"/>
      <w:numFmt w:val="decimal"/>
      <w:lvlText w:val="%2."/>
      <w:lvlJc w:val="left"/>
      <w:pPr>
        <w:tabs>
          <w:tab w:val="num" w:pos="1440"/>
        </w:tabs>
        <w:ind w:left="1440" w:hanging="360"/>
      </w:pPr>
    </w:lvl>
    <w:lvl w:ilvl="2" w:tplc="AE8A963E">
      <w:start w:val="1"/>
      <w:numFmt w:val="decimal"/>
      <w:lvlText w:val="%3."/>
      <w:lvlJc w:val="left"/>
      <w:pPr>
        <w:tabs>
          <w:tab w:val="num" w:pos="2160"/>
        </w:tabs>
        <w:ind w:left="2160" w:hanging="360"/>
      </w:pPr>
    </w:lvl>
    <w:lvl w:ilvl="3" w:tplc="32649404">
      <w:start w:val="1"/>
      <w:numFmt w:val="decimal"/>
      <w:lvlText w:val="%4."/>
      <w:lvlJc w:val="left"/>
      <w:pPr>
        <w:tabs>
          <w:tab w:val="num" w:pos="2880"/>
        </w:tabs>
        <w:ind w:left="2880" w:hanging="360"/>
      </w:pPr>
    </w:lvl>
    <w:lvl w:ilvl="4" w:tplc="09E26BF2">
      <w:start w:val="1"/>
      <w:numFmt w:val="decimal"/>
      <w:lvlText w:val="%5."/>
      <w:lvlJc w:val="left"/>
      <w:pPr>
        <w:tabs>
          <w:tab w:val="num" w:pos="3600"/>
        </w:tabs>
        <w:ind w:left="3600" w:hanging="360"/>
      </w:pPr>
    </w:lvl>
    <w:lvl w:ilvl="5" w:tplc="8A323D5A">
      <w:start w:val="1"/>
      <w:numFmt w:val="decimal"/>
      <w:lvlText w:val="%6."/>
      <w:lvlJc w:val="left"/>
      <w:pPr>
        <w:tabs>
          <w:tab w:val="num" w:pos="4320"/>
        </w:tabs>
        <w:ind w:left="4320" w:hanging="360"/>
      </w:pPr>
    </w:lvl>
    <w:lvl w:ilvl="6" w:tplc="F124B7FA">
      <w:start w:val="1"/>
      <w:numFmt w:val="decimal"/>
      <w:lvlText w:val="%7."/>
      <w:lvlJc w:val="left"/>
      <w:pPr>
        <w:tabs>
          <w:tab w:val="num" w:pos="5040"/>
        </w:tabs>
        <w:ind w:left="5040" w:hanging="360"/>
      </w:pPr>
    </w:lvl>
    <w:lvl w:ilvl="7" w:tplc="67E4F29C">
      <w:start w:val="1"/>
      <w:numFmt w:val="decimal"/>
      <w:lvlText w:val="%8."/>
      <w:lvlJc w:val="left"/>
      <w:pPr>
        <w:tabs>
          <w:tab w:val="num" w:pos="5760"/>
        </w:tabs>
        <w:ind w:left="5760" w:hanging="360"/>
      </w:pPr>
    </w:lvl>
    <w:lvl w:ilvl="8" w:tplc="0A548114">
      <w:start w:val="1"/>
      <w:numFmt w:val="decimal"/>
      <w:lvlText w:val="%9."/>
      <w:lvlJc w:val="left"/>
      <w:pPr>
        <w:tabs>
          <w:tab w:val="num" w:pos="6480"/>
        </w:tabs>
        <w:ind w:left="6480" w:hanging="360"/>
      </w:p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18"/>
  </w:num>
  <w:num w:numId="5">
    <w:abstractNumId w:val="6"/>
  </w:num>
  <w:num w:numId="6">
    <w:abstractNumId w:val="14"/>
  </w:num>
  <w:num w:numId="7">
    <w:abstractNumId w:val="9"/>
  </w:num>
  <w:num w:numId="8">
    <w:abstractNumId w:val="2"/>
  </w:num>
  <w:num w:numId="9">
    <w:abstractNumId w:val="1"/>
  </w:num>
  <w:num w:numId="10">
    <w:abstractNumId w:val="0"/>
  </w:num>
  <w:num w:numId="11">
    <w:abstractNumId w:val="20"/>
  </w:num>
  <w:num w:numId="12">
    <w:abstractNumId w:val="10"/>
  </w:num>
  <w:num w:numId="13">
    <w:abstractNumId w:val="23"/>
  </w:num>
  <w:num w:numId="14">
    <w:abstractNumId w:val="13"/>
  </w:num>
  <w:num w:numId="15">
    <w:abstractNumId w:val="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15"/>
  </w:num>
  <w:num w:numId="24">
    <w:abstractNumId w:val="1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827"/>
    <w:rsid w:val="00005D37"/>
    <w:rsid w:val="00006E03"/>
    <w:rsid w:val="000075B7"/>
    <w:rsid w:val="00012F0E"/>
    <w:rsid w:val="00017045"/>
    <w:rsid w:val="00021821"/>
    <w:rsid w:val="00025507"/>
    <w:rsid w:val="0004066E"/>
    <w:rsid w:val="00041CA1"/>
    <w:rsid w:val="00043404"/>
    <w:rsid w:val="00043ADE"/>
    <w:rsid w:val="000457B9"/>
    <w:rsid w:val="00046685"/>
    <w:rsid w:val="000475B1"/>
    <w:rsid w:val="00052EFE"/>
    <w:rsid w:val="000556C1"/>
    <w:rsid w:val="000576C5"/>
    <w:rsid w:val="000577C7"/>
    <w:rsid w:val="00062FA8"/>
    <w:rsid w:val="00064857"/>
    <w:rsid w:val="00085950"/>
    <w:rsid w:val="00097E55"/>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26F23"/>
    <w:rsid w:val="00134901"/>
    <w:rsid w:val="00136904"/>
    <w:rsid w:val="001449CB"/>
    <w:rsid w:val="001511A4"/>
    <w:rsid w:val="0015328C"/>
    <w:rsid w:val="001579CF"/>
    <w:rsid w:val="00164507"/>
    <w:rsid w:val="001652E5"/>
    <w:rsid w:val="00167E8F"/>
    <w:rsid w:val="00170340"/>
    <w:rsid w:val="001710B3"/>
    <w:rsid w:val="001713A3"/>
    <w:rsid w:val="00185E9E"/>
    <w:rsid w:val="001878DD"/>
    <w:rsid w:val="00190AEB"/>
    <w:rsid w:val="00196311"/>
    <w:rsid w:val="001A3384"/>
    <w:rsid w:val="001B1C0E"/>
    <w:rsid w:val="001B6B1A"/>
    <w:rsid w:val="001C0E08"/>
    <w:rsid w:val="001C351D"/>
    <w:rsid w:val="001C3DDA"/>
    <w:rsid w:val="001D2934"/>
    <w:rsid w:val="001D4709"/>
    <w:rsid w:val="001D4F6E"/>
    <w:rsid w:val="001E57B5"/>
    <w:rsid w:val="001F1BC3"/>
    <w:rsid w:val="001F5005"/>
    <w:rsid w:val="001F56D8"/>
    <w:rsid w:val="001F5825"/>
    <w:rsid w:val="00200F90"/>
    <w:rsid w:val="00201172"/>
    <w:rsid w:val="00210C78"/>
    <w:rsid w:val="002111CB"/>
    <w:rsid w:val="00213AD5"/>
    <w:rsid w:val="00214718"/>
    <w:rsid w:val="00215FA9"/>
    <w:rsid w:val="002163A1"/>
    <w:rsid w:val="002308C1"/>
    <w:rsid w:val="002416E7"/>
    <w:rsid w:val="00241A1F"/>
    <w:rsid w:val="00241E5A"/>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09E8"/>
    <w:rsid w:val="002B1689"/>
    <w:rsid w:val="002B48F5"/>
    <w:rsid w:val="002B4B10"/>
    <w:rsid w:val="002C0CF9"/>
    <w:rsid w:val="002C1A7D"/>
    <w:rsid w:val="002C2CDF"/>
    <w:rsid w:val="002C56BD"/>
    <w:rsid w:val="002C622E"/>
    <w:rsid w:val="002D4EB8"/>
    <w:rsid w:val="002D6DA3"/>
    <w:rsid w:val="002F3534"/>
    <w:rsid w:val="002F5424"/>
    <w:rsid w:val="00305B80"/>
    <w:rsid w:val="00306095"/>
    <w:rsid w:val="00307FDD"/>
    <w:rsid w:val="00311431"/>
    <w:rsid w:val="00315230"/>
    <w:rsid w:val="003166C8"/>
    <w:rsid w:val="00316F05"/>
    <w:rsid w:val="00324E6B"/>
    <w:rsid w:val="00329642"/>
    <w:rsid w:val="003300A8"/>
    <w:rsid w:val="00330D15"/>
    <w:rsid w:val="00341984"/>
    <w:rsid w:val="003446CC"/>
    <w:rsid w:val="0035445A"/>
    <w:rsid w:val="00354C15"/>
    <w:rsid w:val="003550DC"/>
    <w:rsid w:val="00360559"/>
    <w:rsid w:val="00361467"/>
    <w:rsid w:val="0036248F"/>
    <w:rsid w:val="00363A77"/>
    <w:rsid w:val="00363EC5"/>
    <w:rsid w:val="0036421F"/>
    <w:rsid w:val="00365F2F"/>
    <w:rsid w:val="003848AD"/>
    <w:rsid w:val="0039194F"/>
    <w:rsid w:val="0039533A"/>
    <w:rsid w:val="003953C8"/>
    <w:rsid w:val="003A2F60"/>
    <w:rsid w:val="003B43E3"/>
    <w:rsid w:val="003C4139"/>
    <w:rsid w:val="003D0F91"/>
    <w:rsid w:val="003D25FA"/>
    <w:rsid w:val="003D335F"/>
    <w:rsid w:val="00404B36"/>
    <w:rsid w:val="00405677"/>
    <w:rsid w:val="00405D9F"/>
    <w:rsid w:val="0040659C"/>
    <w:rsid w:val="0041210C"/>
    <w:rsid w:val="004159AD"/>
    <w:rsid w:val="004173F3"/>
    <w:rsid w:val="004202BA"/>
    <w:rsid w:val="004233C3"/>
    <w:rsid w:val="004242A3"/>
    <w:rsid w:val="00435E8F"/>
    <w:rsid w:val="00442409"/>
    <w:rsid w:val="00442F66"/>
    <w:rsid w:val="00461538"/>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3D41"/>
    <w:rsid w:val="004D4CF2"/>
    <w:rsid w:val="004D738E"/>
    <w:rsid w:val="004E060F"/>
    <w:rsid w:val="004E5697"/>
    <w:rsid w:val="004F2ACF"/>
    <w:rsid w:val="004F5B67"/>
    <w:rsid w:val="005002A8"/>
    <w:rsid w:val="00501082"/>
    <w:rsid w:val="00507BF7"/>
    <w:rsid w:val="00511E41"/>
    <w:rsid w:val="005135B4"/>
    <w:rsid w:val="00516A0F"/>
    <w:rsid w:val="005217FC"/>
    <w:rsid w:val="00534FF2"/>
    <w:rsid w:val="00535443"/>
    <w:rsid w:val="00536648"/>
    <w:rsid w:val="005430E2"/>
    <w:rsid w:val="005443C6"/>
    <w:rsid w:val="0054573A"/>
    <w:rsid w:val="005463E4"/>
    <w:rsid w:val="0055308F"/>
    <w:rsid w:val="00554B85"/>
    <w:rsid w:val="00554F3B"/>
    <w:rsid w:val="00555019"/>
    <w:rsid w:val="00571660"/>
    <w:rsid w:val="00571666"/>
    <w:rsid w:val="00580DFA"/>
    <w:rsid w:val="0058702A"/>
    <w:rsid w:val="0059178C"/>
    <w:rsid w:val="00595D74"/>
    <w:rsid w:val="00596375"/>
    <w:rsid w:val="00596C51"/>
    <w:rsid w:val="005A1BF8"/>
    <w:rsid w:val="005A3DFB"/>
    <w:rsid w:val="005A4C11"/>
    <w:rsid w:val="005B0DAB"/>
    <w:rsid w:val="005C1013"/>
    <w:rsid w:val="005D013E"/>
    <w:rsid w:val="005D1011"/>
    <w:rsid w:val="005E3535"/>
    <w:rsid w:val="005E4C60"/>
    <w:rsid w:val="005E5C82"/>
    <w:rsid w:val="005F2DD8"/>
    <w:rsid w:val="005F4333"/>
    <w:rsid w:val="00603C4D"/>
    <w:rsid w:val="00603CA0"/>
    <w:rsid w:val="00607B6C"/>
    <w:rsid w:val="00607C24"/>
    <w:rsid w:val="00616E24"/>
    <w:rsid w:val="00620208"/>
    <w:rsid w:val="00622645"/>
    <w:rsid w:val="00630B70"/>
    <w:rsid w:val="00634EB6"/>
    <w:rsid w:val="00635070"/>
    <w:rsid w:val="006375F6"/>
    <w:rsid w:val="00637BA3"/>
    <w:rsid w:val="0064770F"/>
    <w:rsid w:val="00653DA3"/>
    <w:rsid w:val="00656E10"/>
    <w:rsid w:val="00660504"/>
    <w:rsid w:val="00660DA4"/>
    <w:rsid w:val="00663BDC"/>
    <w:rsid w:val="0066458A"/>
    <w:rsid w:val="006646C8"/>
    <w:rsid w:val="00666136"/>
    <w:rsid w:val="006667C0"/>
    <w:rsid w:val="0066789B"/>
    <w:rsid w:val="00671AED"/>
    <w:rsid w:val="00680CCF"/>
    <w:rsid w:val="00681C2D"/>
    <w:rsid w:val="00683F34"/>
    <w:rsid w:val="00691197"/>
    <w:rsid w:val="006925C9"/>
    <w:rsid w:val="006A0F24"/>
    <w:rsid w:val="006A3D35"/>
    <w:rsid w:val="006A5EC7"/>
    <w:rsid w:val="006A7692"/>
    <w:rsid w:val="006C0F45"/>
    <w:rsid w:val="006C32D4"/>
    <w:rsid w:val="006D4E62"/>
    <w:rsid w:val="006E1F5B"/>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4327"/>
    <w:rsid w:val="00755C81"/>
    <w:rsid w:val="007568E6"/>
    <w:rsid w:val="007569B3"/>
    <w:rsid w:val="00756BF4"/>
    <w:rsid w:val="00761FD8"/>
    <w:rsid w:val="00763B5B"/>
    <w:rsid w:val="00763C00"/>
    <w:rsid w:val="00765ECA"/>
    <w:rsid w:val="007665E9"/>
    <w:rsid w:val="0077043F"/>
    <w:rsid w:val="00770595"/>
    <w:rsid w:val="007732FB"/>
    <w:rsid w:val="00774BD3"/>
    <w:rsid w:val="00776BBC"/>
    <w:rsid w:val="007840EF"/>
    <w:rsid w:val="00784ACC"/>
    <w:rsid w:val="00785F0D"/>
    <w:rsid w:val="00787E2D"/>
    <w:rsid w:val="00791578"/>
    <w:rsid w:val="00792C87"/>
    <w:rsid w:val="00793595"/>
    <w:rsid w:val="007951E0"/>
    <w:rsid w:val="007B3EE1"/>
    <w:rsid w:val="007B5827"/>
    <w:rsid w:val="007C6735"/>
    <w:rsid w:val="007D2CAF"/>
    <w:rsid w:val="007E2623"/>
    <w:rsid w:val="007E2E1E"/>
    <w:rsid w:val="007E62A6"/>
    <w:rsid w:val="007E69E7"/>
    <w:rsid w:val="007F363E"/>
    <w:rsid w:val="00803008"/>
    <w:rsid w:val="00807EBF"/>
    <w:rsid w:val="00812669"/>
    <w:rsid w:val="008126E8"/>
    <w:rsid w:val="008163FF"/>
    <w:rsid w:val="00824A61"/>
    <w:rsid w:val="00826B97"/>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1412"/>
    <w:rsid w:val="0089434C"/>
    <w:rsid w:val="00896E27"/>
    <w:rsid w:val="00897627"/>
    <w:rsid w:val="008A07BF"/>
    <w:rsid w:val="008A5685"/>
    <w:rsid w:val="008A6FE5"/>
    <w:rsid w:val="008B14B1"/>
    <w:rsid w:val="008C238A"/>
    <w:rsid w:val="008C271F"/>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0560C"/>
    <w:rsid w:val="00917F9D"/>
    <w:rsid w:val="00917FC7"/>
    <w:rsid w:val="00932810"/>
    <w:rsid w:val="00932C66"/>
    <w:rsid w:val="00936F13"/>
    <w:rsid w:val="00937BC3"/>
    <w:rsid w:val="00946156"/>
    <w:rsid w:val="009468E4"/>
    <w:rsid w:val="00947C0C"/>
    <w:rsid w:val="009545B7"/>
    <w:rsid w:val="00955888"/>
    <w:rsid w:val="0096377A"/>
    <w:rsid w:val="00965E17"/>
    <w:rsid w:val="0097067C"/>
    <w:rsid w:val="00972AD9"/>
    <w:rsid w:val="009763A8"/>
    <w:rsid w:val="00976F4C"/>
    <w:rsid w:val="009778D0"/>
    <w:rsid w:val="00986649"/>
    <w:rsid w:val="009948D1"/>
    <w:rsid w:val="00996805"/>
    <w:rsid w:val="009A3F37"/>
    <w:rsid w:val="009A76CD"/>
    <w:rsid w:val="009B3502"/>
    <w:rsid w:val="009B4B18"/>
    <w:rsid w:val="009B7921"/>
    <w:rsid w:val="009C1350"/>
    <w:rsid w:val="009D11E3"/>
    <w:rsid w:val="009D638D"/>
    <w:rsid w:val="009E48AC"/>
    <w:rsid w:val="009E5DE8"/>
    <w:rsid w:val="009F5663"/>
    <w:rsid w:val="009F7A16"/>
    <w:rsid w:val="00A02608"/>
    <w:rsid w:val="00A03941"/>
    <w:rsid w:val="00A179A2"/>
    <w:rsid w:val="00A20194"/>
    <w:rsid w:val="00A2743A"/>
    <w:rsid w:val="00A31A07"/>
    <w:rsid w:val="00A31E99"/>
    <w:rsid w:val="00A327E4"/>
    <w:rsid w:val="00A37BA6"/>
    <w:rsid w:val="00A37CC3"/>
    <w:rsid w:val="00A4251A"/>
    <w:rsid w:val="00A4297E"/>
    <w:rsid w:val="00A464FB"/>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A55A8"/>
    <w:rsid w:val="00AB5330"/>
    <w:rsid w:val="00AC1A57"/>
    <w:rsid w:val="00AC1C82"/>
    <w:rsid w:val="00AC355B"/>
    <w:rsid w:val="00AD0AE7"/>
    <w:rsid w:val="00AD3989"/>
    <w:rsid w:val="00AD461E"/>
    <w:rsid w:val="00AD58F2"/>
    <w:rsid w:val="00AE40B7"/>
    <w:rsid w:val="00AF0A91"/>
    <w:rsid w:val="00AF2E1F"/>
    <w:rsid w:val="00AF406C"/>
    <w:rsid w:val="00AF6352"/>
    <w:rsid w:val="00B0351F"/>
    <w:rsid w:val="00B05D76"/>
    <w:rsid w:val="00B10B56"/>
    <w:rsid w:val="00B13D27"/>
    <w:rsid w:val="00B14361"/>
    <w:rsid w:val="00B15E7C"/>
    <w:rsid w:val="00B20D7F"/>
    <w:rsid w:val="00B23AD1"/>
    <w:rsid w:val="00B26E87"/>
    <w:rsid w:val="00B325AE"/>
    <w:rsid w:val="00B34968"/>
    <w:rsid w:val="00B3741A"/>
    <w:rsid w:val="00B37922"/>
    <w:rsid w:val="00B406F4"/>
    <w:rsid w:val="00B46222"/>
    <w:rsid w:val="00B4780E"/>
    <w:rsid w:val="00B6230A"/>
    <w:rsid w:val="00B65E6C"/>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24DBD"/>
    <w:rsid w:val="00C34091"/>
    <w:rsid w:val="00C35831"/>
    <w:rsid w:val="00C37E40"/>
    <w:rsid w:val="00C41BE1"/>
    <w:rsid w:val="00C467D0"/>
    <w:rsid w:val="00C4691B"/>
    <w:rsid w:val="00C46D5F"/>
    <w:rsid w:val="00C47D72"/>
    <w:rsid w:val="00C521F2"/>
    <w:rsid w:val="00C57023"/>
    <w:rsid w:val="00C57EEE"/>
    <w:rsid w:val="00C65880"/>
    <w:rsid w:val="00C67032"/>
    <w:rsid w:val="00C7397D"/>
    <w:rsid w:val="00C750B5"/>
    <w:rsid w:val="00C81340"/>
    <w:rsid w:val="00C82AC5"/>
    <w:rsid w:val="00C87116"/>
    <w:rsid w:val="00C8776E"/>
    <w:rsid w:val="00C931B3"/>
    <w:rsid w:val="00C974A6"/>
    <w:rsid w:val="00CB0D38"/>
    <w:rsid w:val="00CB3E17"/>
    <w:rsid w:val="00CB51E2"/>
    <w:rsid w:val="00CB70FF"/>
    <w:rsid w:val="00CC0D5A"/>
    <w:rsid w:val="00CC62B2"/>
    <w:rsid w:val="00CC66FF"/>
    <w:rsid w:val="00CC6C12"/>
    <w:rsid w:val="00CC756F"/>
    <w:rsid w:val="00CD4402"/>
    <w:rsid w:val="00CD6209"/>
    <w:rsid w:val="00CD6BD9"/>
    <w:rsid w:val="00CE5315"/>
    <w:rsid w:val="00CF66F0"/>
    <w:rsid w:val="00D00F0A"/>
    <w:rsid w:val="00D0526F"/>
    <w:rsid w:val="00D135F0"/>
    <w:rsid w:val="00D16527"/>
    <w:rsid w:val="00D1782C"/>
    <w:rsid w:val="00D21283"/>
    <w:rsid w:val="00D21D82"/>
    <w:rsid w:val="00D2509D"/>
    <w:rsid w:val="00D456B8"/>
    <w:rsid w:val="00D46EE8"/>
    <w:rsid w:val="00D54AED"/>
    <w:rsid w:val="00D73B50"/>
    <w:rsid w:val="00D73C51"/>
    <w:rsid w:val="00D744BC"/>
    <w:rsid w:val="00D854CB"/>
    <w:rsid w:val="00D875E3"/>
    <w:rsid w:val="00D87AA2"/>
    <w:rsid w:val="00D93DB6"/>
    <w:rsid w:val="00D9488D"/>
    <w:rsid w:val="00D94B1D"/>
    <w:rsid w:val="00DA1886"/>
    <w:rsid w:val="00DA6385"/>
    <w:rsid w:val="00DB4613"/>
    <w:rsid w:val="00DB5DFB"/>
    <w:rsid w:val="00DC10F4"/>
    <w:rsid w:val="00DD1603"/>
    <w:rsid w:val="00DD1E7A"/>
    <w:rsid w:val="00DD2D1D"/>
    <w:rsid w:val="00DD6B0B"/>
    <w:rsid w:val="00DE73A8"/>
    <w:rsid w:val="00DF544F"/>
    <w:rsid w:val="00E00E93"/>
    <w:rsid w:val="00E01297"/>
    <w:rsid w:val="00E03D02"/>
    <w:rsid w:val="00E06DAC"/>
    <w:rsid w:val="00E11954"/>
    <w:rsid w:val="00E206ED"/>
    <w:rsid w:val="00E25398"/>
    <w:rsid w:val="00E3387C"/>
    <w:rsid w:val="00E429C8"/>
    <w:rsid w:val="00E43496"/>
    <w:rsid w:val="00E43720"/>
    <w:rsid w:val="00E466AE"/>
    <w:rsid w:val="00E47D6B"/>
    <w:rsid w:val="00E520CA"/>
    <w:rsid w:val="00E555C3"/>
    <w:rsid w:val="00E609E5"/>
    <w:rsid w:val="00E640A3"/>
    <w:rsid w:val="00E730C5"/>
    <w:rsid w:val="00E76581"/>
    <w:rsid w:val="00E77FAD"/>
    <w:rsid w:val="00E91B1E"/>
    <w:rsid w:val="00E93CFB"/>
    <w:rsid w:val="00E95F74"/>
    <w:rsid w:val="00E961C6"/>
    <w:rsid w:val="00EA1367"/>
    <w:rsid w:val="00EA1907"/>
    <w:rsid w:val="00EA2FC3"/>
    <w:rsid w:val="00EB17D8"/>
    <w:rsid w:val="00EC112C"/>
    <w:rsid w:val="00EC2F8B"/>
    <w:rsid w:val="00EC3C27"/>
    <w:rsid w:val="00EC6991"/>
    <w:rsid w:val="00EC7A18"/>
    <w:rsid w:val="00EC7B7C"/>
    <w:rsid w:val="00ED7240"/>
    <w:rsid w:val="00ED7872"/>
    <w:rsid w:val="00EE0A55"/>
    <w:rsid w:val="00EE24FC"/>
    <w:rsid w:val="00EF3C80"/>
    <w:rsid w:val="00EF43A4"/>
    <w:rsid w:val="00F01D55"/>
    <w:rsid w:val="00F04445"/>
    <w:rsid w:val="00F071C7"/>
    <w:rsid w:val="00F0768F"/>
    <w:rsid w:val="00F11020"/>
    <w:rsid w:val="00F12B42"/>
    <w:rsid w:val="00F1469B"/>
    <w:rsid w:val="00F15A05"/>
    <w:rsid w:val="00F17AEB"/>
    <w:rsid w:val="00F2396B"/>
    <w:rsid w:val="00F2459A"/>
    <w:rsid w:val="00F25840"/>
    <w:rsid w:val="00F259BE"/>
    <w:rsid w:val="00F26989"/>
    <w:rsid w:val="00F27F99"/>
    <w:rsid w:val="00F30A81"/>
    <w:rsid w:val="00F321E4"/>
    <w:rsid w:val="00F47B52"/>
    <w:rsid w:val="00F55CDD"/>
    <w:rsid w:val="00F56B5C"/>
    <w:rsid w:val="00F56BD3"/>
    <w:rsid w:val="00F634B8"/>
    <w:rsid w:val="00F635EF"/>
    <w:rsid w:val="00F64018"/>
    <w:rsid w:val="00F66B73"/>
    <w:rsid w:val="00F71DB4"/>
    <w:rsid w:val="00F74AEF"/>
    <w:rsid w:val="00F7557C"/>
    <w:rsid w:val="00F76E32"/>
    <w:rsid w:val="00F878C5"/>
    <w:rsid w:val="00F908A7"/>
    <w:rsid w:val="00F9217F"/>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0FD3A5AB"/>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3A7C559"/>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C3DE90A9-DDB4-4604-AF60-52395FBB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uiPriority w:val="99"/>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table" w:customStyle="1" w:styleId="TableStyle-Accent1">
    <w:name w:val="__Table Style-Accent 1"/>
    <w:basedOn w:val="TableNormal"/>
    <w:uiPriority w:val="99"/>
    <w:rsid w:val="006A7692"/>
    <w:pPr>
      <w:spacing w:before="60" w:after="60" w:line="276" w:lineRule="auto"/>
    </w:pPr>
    <w:rPr>
      <w:rFonts w:asciiTheme="majorHAnsi" w:eastAsiaTheme="minorHAnsi" w:hAnsiTheme="majorHAnsi" w:cstheme="minorBidi"/>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center"/>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vAlign w:val="bottom"/>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Mention">
    <w:name w:val="Mention"/>
    <w:basedOn w:val="DefaultParagraphFont"/>
    <w:uiPriority w:val="99"/>
    <w:unhideWhenUsed/>
    <w:rsid w:val="006A7692"/>
    <w:rPr>
      <w:color w:val="2B579A"/>
      <w:shd w:val="clear" w:color="auto" w:fill="E1DFDD"/>
    </w:rPr>
  </w:style>
  <w:style w:type="character" w:customStyle="1" w:styleId="apple-converted-space">
    <w:name w:val="apple-converted-space"/>
    <w:basedOn w:val="DefaultParagraphFont"/>
    <w:rsid w:val="0036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819732583">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38g" TargetMode="External"/><Relationship Id="rId18" Type="http://schemas.openxmlformats.org/officeDocument/2006/relationships/hyperlink" Target="http://www.mtel.nesinc.com/TestView.aspx?f=HTML_FRAG/MA866_TestPage.html" TargetMode="External"/><Relationship Id="rId26" Type="http://schemas.openxmlformats.org/officeDocument/2006/relationships/hyperlink" Target="http://www.mtel.nesinc.com/PageView.aspx?f=HTML_FRAG/GENRB_PrepStudyGuide.html" TargetMode="External"/><Relationship Id="rId3" Type="http://schemas.openxmlformats.org/officeDocument/2006/relationships/customXml" Target="../customXml/item3.xml"/><Relationship Id="rId21" Type="http://schemas.openxmlformats.org/officeDocument/2006/relationships/hyperlink" Target="http://www.mtel.nesinc.com/TestView.aspx?f=HTML_FRAG/MA895_TestPage.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tel.nesinc.com/TestView.aspx?f=HTML_FRAG/NT001_TestPage.html" TargetMode="External"/><Relationship Id="rId25" Type="http://schemas.openxmlformats.org/officeDocument/2006/relationships/hyperlink" Target="https://www.doe.mass.edu/frameworks/current.html" TargetMode="External"/><Relationship Id="rId2" Type="http://schemas.openxmlformats.org/officeDocument/2006/relationships/customXml" Target="../customXml/item2.xml"/><Relationship Id="rId16" Type="http://schemas.openxmlformats.org/officeDocument/2006/relationships/hyperlink" Target="https://www.ets.org/praxis/ma" TargetMode="External"/><Relationship Id="rId20" Type="http://schemas.openxmlformats.org/officeDocument/2006/relationships/hyperlink" Target="http://www.mtel.nesinc.com/TestView.aspx?f=HTML_FRAG/MA895_TestPage.html" TargetMode="External"/><Relationship Id="rId29" Type="http://schemas.openxmlformats.org/officeDocument/2006/relationships/hyperlink" Target="https://www.air.org/centers/national-center-analysis-longitudinal-data-education-research-cal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edprep/domains/instruction/smk-guidelines.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ts.org/praxis/ma" TargetMode="External"/><Relationship Id="rId23" Type="http://schemas.openxmlformats.org/officeDocument/2006/relationships/hyperlink" Target="https://www.in.nesinc.com/" TargetMode="External"/><Relationship Id="rId28" Type="http://schemas.openxmlformats.org/officeDocument/2006/relationships/hyperlink" Target="https://www.commbuys.com/bso/external/bidDetail.sdo?docId=BD-22-1026-DOE02-DOE01-67088&amp;external=true&amp;parentUrl=close" TargetMode="External"/><Relationship Id="rId10" Type="http://schemas.openxmlformats.org/officeDocument/2006/relationships/endnotes" Target="endnotes.xml"/><Relationship Id="rId19" Type="http://schemas.openxmlformats.org/officeDocument/2006/relationships/hyperlink" Target="http://www.mtel.nesinc.com/TestView.aspx?f=HTML_FRAG/MA866_TestPag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buys.com/bso/external/bidDetail.sdo?docId=BD-21-1026-DOE02-DOE01-58665&amp;external=true&amp;parentUrl=close" TargetMode="External"/><Relationship Id="rId22" Type="http://schemas.openxmlformats.org/officeDocument/2006/relationships/hyperlink" Target="http://www.thea.nesinc.com/" TargetMode="External"/><Relationship Id="rId27" Type="http://schemas.openxmlformats.org/officeDocument/2006/relationships/hyperlink" Target="https://www.commbuys.com/bso/external/bidDetail.sdo?docId=BD-21-1026-DOE02-DOE01-59014&amp;external=true&amp;parentUrl=close"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aldercenter.org/publications/teacher-licensure-tests-barrier-or-predictive-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DESE-231-74350</_dlc_DocId>
    <_dlc_DocIdUrl xmlns="733efe1c-5bbe-4968-87dc-d400e65c879f">
      <Url>https://sharepoint.doemass.org/ese/webteam/cps/_layouts/DocIdRedir.aspx?ID=DESE-231-74350</Url>
      <Description>DESE-231-74350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466C3-4C22-4A38-8438-A788B14FFB78}">
  <ds:schemaRefs>
    <ds:schemaRef ds:uri="http://schemas.microsoft.com/sharepoint/v3/contenttype/forms"/>
  </ds:schemaRefs>
</ds:datastoreItem>
</file>

<file path=customXml/itemProps2.xml><?xml version="1.0" encoding="utf-8"?>
<ds:datastoreItem xmlns:ds="http://schemas.openxmlformats.org/officeDocument/2006/customXml" ds:itemID="{21772584-529A-449A-92A0-1195EE6D85FD}">
  <ds:schemaRefs>
    <ds:schemaRef ds:uri="http://schemas.microsoft.com/sharepoint/event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A31F045-DCE5-44B8-A0A5-DDF1BCE6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BESE October 2021 Item 7. BESE Memo_MTEL Alt FINAL</vt:lpstr>
    </vt:vector>
  </TitlesOfParts>
  <Company/>
  <LinksUpToDate>false</LinksUpToDate>
  <CharactersWithSpaces>12524</CharactersWithSpaces>
  <SharedDoc>false</SharedDoc>
  <HLinks>
    <vt:vector size="114" baseType="variant">
      <vt:variant>
        <vt:i4>4653121</vt:i4>
      </vt:variant>
      <vt:variant>
        <vt:i4>51</vt:i4>
      </vt:variant>
      <vt:variant>
        <vt:i4>0</vt:i4>
      </vt:variant>
      <vt:variant>
        <vt:i4>5</vt:i4>
      </vt:variant>
      <vt:variant>
        <vt:lpwstr>https://www.air.org/centers/national-center-analysis-longitudinal-data-education-research-calder</vt:lpwstr>
      </vt:variant>
      <vt:variant>
        <vt:lpwstr/>
      </vt:variant>
      <vt:variant>
        <vt:i4>4718603</vt:i4>
      </vt:variant>
      <vt:variant>
        <vt:i4>48</vt:i4>
      </vt:variant>
      <vt:variant>
        <vt:i4>0</vt:i4>
      </vt:variant>
      <vt:variant>
        <vt:i4>5</vt:i4>
      </vt:variant>
      <vt:variant>
        <vt:lpwstr>https://www.commbuys.com/bso/external/bidDetail.sdo?docId=BD-22-1026-DOE02-DOE01-67088&amp;external=true&amp;parentUrl=close</vt:lpwstr>
      </vt:variant>
      <vt:variant>
        <vt:lpwstr/>
      </vt:variant>
      <vt:variant>
        <vt:i4>4653071</vt:i4>
      </vt:variant>
      <vt:variant>
        <vt:i4>45</vt:i4>
      </vt:variant>
      <vt:variant>
        <vt:i4>0</vt:i4>
      </vt:variant>
      <vt:variant>
        <vt:i4>5</vt:i4>
      </vt:variant>
      <vt:variant>
        <vt:lpwstr>https://www.commbuys.com/bso/external/bidDetail.sdo?docId=BD-21-1026-DOE02-DOE01-59014&amp;external=true&amp;parentUrl=close</vt:lpwstr>
      </vt:variant>
      <vt:variant>
        <vt:lpwstr/>
      </vt:variant>
      <vt:variant>
        <vt:i4>4325464</vt:i4>
      </vt:variant>
      <vt:variant>
        <vt:i4>42</vt:i4>
      </vt:variant>
      <vt:variant>
        <vt:i4>0</vt:i4>
      </vt:variant>
      <vt:variant>
        <vt:i4>5</vt:i4>
      </vt:variant>
      <vt:variant>
        <vt:lpwstr>http://www.mtel.nesinc.com/PageView.aspx?f=HTML_FRAG/GENRB_PrepStudyGuide.html</vt:lpwstr>
      </vt:variant>
      <vt:variant>
        <vt:lpwstr/>
      </vt:variant>
      <vt:variant>
        <vt:i4>1900630</vt:i4>
      </vt:variant>
      <vt:variant>
        <vt:i4>39</vt:i4>
      </vt:variant>
      <vt:variant>
        <vt:i4>0</vt:i4>
      </vt:variant>
      <vt:variant>
        <vt:i4>5</vt:i4>
      </vt:variant>
      <vt:variant>
        <vt:lpwstr>https://www.doe.mass.edu/frameworks/current.html</vt:lpwstr>
      </vt:variant>
      <vt:variant>
        <vt:lpwstr/>
      </vt:variant>
      <vt:variant>
        <vt:i4>6750333</vt:i4>
      </vt:variant>
      <vt:variant>
        <vt:i4>36</vt:i4>
      </vt:variant>
      <vt:variant>
        <vt:i4>0</vt:i4>
      </vt:variant>
      <vt:variant>
        <vt:i4>5</vt:i4>
      </vt:variant>
      <vt:variant>
        <vt:lpwstr>https://www.doe.mass.edu/edprep/domains/instruction/smk-guidelines.docx</vt:lpwstr>
      </vt:variant>
      <vt:variant>
        <vt:lpwstr/>
      </vt:variant>
      <vt:variant>
        <vt:i4>3866726</vt:i4>
      </vt:variant>
      <vt:variant>
        <vt:i4>33</vt:i4>
      </vt:variant>
      <vt:variant>
        <vt:i4>0</vt:i4>
      </vt:variant>
      <vt:variant>
        <vt:i4>5</vt:i4>
      </vt:variant>
      <vt:variant>
        <vt:lpwstr>https://www.in.nesinc.com/</vt:lpwstr>
      </vt:variant>
      <vt:variant>
        <vt:lpwstr/>
      </vt:variant>
      <vt:variant>
        <vt:i4>7667819</vt:i4>
      </vt:variant>
      <vt:variant>
        <vt:i4>30</vt:i4>
      </vt:variant>
      <vt:variant>
        <vt:i4>0</vt:i4>
      </vt:variant>
      <vt:variant>
        <vt:i4>5</vt:i4>
      </vt:variant>
      <vt:variant>
        <vt:lpwstr>http://www.thea.nesinc.com/</vt:lpwstr>
      </vt:variant>
      <vt:variant>
        <vt:lpwstr/>
      </vt:variant>
      <vt:variant>
        <vt:i4>3276910</vt:i4>
      </vt:variant>
      <vt:variant>
        <vt:i4>27</vt:i4>
      </vt:variant>
      <vt:variant>
        <vt:i4>0</vt:i4>
      </vt:variant>
      <vt:variant>
        <vt:i4>5</vt:i4>
      </vt:variant>
      <vt:variant>
        <vt:lpwstr>http://www.mtel.nesinc.com/TestView.aspx?f=HTML_FRAG/MA895_TestPage.html</vt:lpwstr>
      </vt:variant>
      <vt:variant>
        <vt:lpwstr/>
      </vt:variant>
      <vt:variant>
        <vt:i4>3276910</vt:i4>
      </vt:variant>
      <vt:variant>
        <vt:i4>24</vt:i4>
      </vt:variant>
      <vt:variant>
        <vt:i4>0</vt:i4>
      </vt:variant>
      <vt:variant>
        <vt:i4>5</vt:i4>
      </vt:variant>
      <vt:variant>
        <vt:lpwstr>http://www.mtel.nesinc.com/TestView.aspx?f=HTML_FRAG/MA895_TestPage.html</vt:lpwstr>
      </vt:variant>
      <vt:variant>
        <vt:lpwstr/>
      </vt:variant>
      <vt:variant>
        <vt:i4>3211361</vt:i4>
      </vt:variant>
      <vt:variant>
        <vt:i4>21</vt:i4>
      </vt:variant>
      <vt:variant>
        <vt:i4>0</vt:i4>
      </vt:variant>
      <vt:variant>
        <vt:i4>5</vt:i4>
      </vt:variant>
      <vt:variant>
        <vt:lpwstr>http://www.mtel.nesinc.com/TestView.aspx?f=HTML_FRAG/MA866_TestPage.html</vt:lpwstr>
      </vt:variant>
      <vt:variant>
        <vt:lpwstr/>
      </vt:variant>
      <vt:variant>
        <vt:i4>3211361</vt:i4>
      </vt:variant>
      <vt:variant>
        <vt:i4>18</vt:i4>
      </vt:variant>
      <vt:variant>
        <vt:i4>0</vt:i4>
      </vt:variant>
      <vt:variant>
        <vt:i4>5</vt:i4>
      </vt:variant>
      <vt:variant>
        <vt:lpwstr>http://www.mtel.nesinc.com/TestView.aspx?f=HTML_FRAG/MA866_TestPage.html</vt:lpwstr>
      </vt:variant>
      <vt:variant>
        <vt:lpwstr/>
      </vt:variant>
      <vt:variant>
        <vt:i4>3997810</vt:i4>
      </vt:variant>
      <vt:variant>
        <vt:i4>15</vt:i4>
      </vt:variant>
      <vt:variant>
        <vt:i4>0</vt:i4>
      </vt:variant>
      <vt:variant>
        <vt:i4>5</vt:i4>
      </vt:variant>
      <vt:variant>
        <vt:lpwstr>http://www.mtel.nesinc.com/TestView.aspx?f=HTML_FRAG/NT001_TestPage.html</vt:lpwstr>
      </vt:variant>
      <vt:variant>
        <vt:lpwstr/>
      </vt:variant>
      <vt:variant>
        <vt:i4>3997810</vt:i4>
      </vt:variant>
      <vt:variant>
        <vt:i4>12</vt:i4>
      </vt:variant>
      <vt:variant>
        <vt:i4>0</vt:i4>
      </vt:variant>
      <vt:variant>
        <vt:i4>5</vt:i4>
      </vt:variant>
      <vt:variant>
        <vt:lpwstr>http://www.mtel.nesinc.com/TestView.aspx?f=HTML_FRAG/NT001_TestPage.html</vt:lpwstr>
      </vt:variant>
      <vt:variant>
        <vt:lpwstr/>
      </vt:variant>
      <vt:variant>
        <vt:i4>5963785</vt:i4>
      </vt:variant>
      <vt:variant>
        <vt:i4>9</vt:i4>
      </vt:variant>
      <vt:variant>
        <vt:i4>0</vt:i4>
      </vt:variant>
      <vt:variant>
        <vt:i4>5</vt:i4>
      </vt:variant>
      <vt:variant>
        <vt:lpwstr>https://www.ets.org/praxis/ma</vt:lpwstr>
      </vt:variant>
      <vt:variant>
        <vt:lpwstr/>
      </vt:variant>
      <vt:variant>
        <vt:i4>5963785</vt:i4>
      </vt:variant>
      <vt:variant>
        <vt:i4>6</vt:i4>
      </vt:variant>
      <vt:variant>
        <vt:i4>0</vt:i4>
      </vt:variant>
      <vt:variant>
        <vt:i4>5</vt:i4>
      </vt:variant>
      <vt:variant>
        <vt:lpwstr>https://www.ets.org/praxis/ma</vt:lpwstr>
      </vt:variant>
      <vt:variant>
        <vt:lpwstr/>
      </vt:variant>
      <vt:variant>
        <vt:i4>4194313</vt:i4>
      </vt:variant>
      <vt:variant>
        <vt:i4>3</vt:i4>
      </vt:variant>
      <vt:variant>
        <vt:i4>0</vt:i4>
      </vt:variant>
      <vt:variant>
        <vt:i4>5</vt:i4>
      </vt:variant>
      <vt:variant>
        <vt:lpwstr>https://www.commbuys.com/bso/external/bidDetail.sdo?docId=BD-21-1026-DOE02-DOE01-58665&amp;external=true&amp;parentUrl=close</vt:lpwstr>
      </vt:variant>
      <vt:variant>
        <vt:lpwstr/>
      </vt:variant>
      <vt:variant>
        <vt:i4>6815840</vt:i4>
      </vt:variant>
      <vt:variant>
        <vt:i4>0</vt:i4>
      </vt:variant>
      <vt:variant>
        <vt:i4>0</vt:i4>
      </vt:variant>
      <vt:variant>
        <vt:i4>5</vt:i4>
      </vt:variant>
      <vt:variant>
        <vt:lpwstr>https://malegislature.gov/laws/generallaws/parti/titlexii/chapter71/section38g</vt:lpwstr>
      </vt:variant>
      <vt:variant>
        <vt:lpwstr/>
      </vt:variant>
      <vt:variant>
        <vt:i4>1310722</vt:i4>
      </vt:variant>
      <vt:variant>
        <vt:i4>0</vt:i4>
      </vt:variant>
      <vt:variant>
        <vt:i4>0</vt:i4>
      </vt:variant>
      <vt:variant>
        <vt:i4>5</vt:i4>
      </vt:variant>
      <vt:variant>
        <vt:lpwstr>https://caldercenter.org/publications/teacher-licensure-tests-barrier-or-predictive-tool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19, 2021 Item 7: Progress Report on Alternative Assessment Pilot for Educator Licensure</dc:title>
  <dc:subject/>
  <dc:creator>DESE</dc:creator>
  <cp:keywords/>
  <cp:lastModifiedBy>Zou, Dong (EOE)</cp:lastModifiedBy>
  <cp:revision>4</cp:revision>
  <cp:lastPrinted>2021-10-03T21:29:00Z</cp:lastPrinted>
  <dcterms:created xsi:type="dcterms:W3CDTF">2021-10-07T11:40:00Z</dcterms:created>
  <dcterms:modified xsi:type="dcterms:W3CDTF">2021-10-12T15:33:00Z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2021</vt:lpwstr>
  </property>
</Properties>
</file>