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BA280AD"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41257574" w:rsidR="00A9378C"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2644D4A7" w:rsidR="000E5E95" w:rsidRDefault="00735232" w:rsidP="000E5E95">
            <w:pPr>
              <w:pStyle w:val="Footer"/>
              <w:widowControl w:val="0"/>
              <w:tabs>
                <w:tab w:val="clear" w:pos="4320"/>
                <w:tab w:val="clear" w:pos="8640"/>
              </w:tabs>
            </w:pPr>
            <w:r>
              <w:t xml:space="preserve">December </w:t>
            </w:r>
            <w:r w:rsidR="00B43A89">
              <w:t xml:space="preserve">3, </w:t>
            </w:r>
            <w:r w:rsidR="00595D74">
              <w:t>202</w:t>
            </w:r>
            <w:r>
              <w:t>1</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4FE3BD6A" w:rsidR="000E5E95" w:rsidRPr="007A22FF" w:rsidRDefault="009D49B8" w:rsidP="54415296">
            <w:pPr>
              <w:pStyle w:val="Footer"/>
              <w:widowControl w:val="0"/>
              <w:tabs>
                <w:tab w:val="clear" w:pos="4320"/>
                <w:tab w:val="clear" w:pos="8640"/>
              </w:tabs>
              <w:rPr>
                <w:snapToGrid w:val="0"/>
              </w:rPr>
            </w:pPr>
            <w:r>
              <w:rPr>
                <w:bCs/>
                <w:snapToGrid w:val="0"/>
                <w:szCs w:val="20"/>
              </w:rPr>
              <w:t xml:space="preserve">Charter Schools – Notification of Intended Actions for Argosy Collegiate Charter School, </w:t>
            </w:r>
            <w:r w:rsidR="009C1707">
              <w:rPr>
                <w:bCs/>
                <w:snapToGrid w:val="0"/>
                <w:szCs w:val="20"/>
              </w:rPr>
              <w:t xml:space="preserve">Boston Green Academy Horace Mann Charter School, </w:t>
            </w:r>
            <w:r>
              <w:rPr>
                <w:bCs/>
                <w:snapToGrid w:val="0"/>
                <w:szCs w:val="20"/>
              </w:rPr>
              <w:t xml:space="preserve">Boston Renaissance Charter Public School, </w:t>
            </w:r>
            <w:r w:rsidR="004D790C">
              <w:rPr>
                <w:bCs/>
                <w:snapToGrid w:val="0"/>
                <w:szCs w:val="20"/>
              </w:rPr>
              <w:t xml:space="preserve">Codman Academy Charter Public School, </w:t>
            </w:r>
            <w:r w:rsidR="006A0C99">
              <w:rPr>
                <w:bCs/>
                <w:snapToGrid w:val="0"/>
                <w:szCs w:val="20"/>
              </w:rPr>
              <w:t xml:space="preserve">Springfield </w:t>
            </w:r>
            <w:r>
              <w:rPr>
                <w:bCs/>
                <w:snapToGrid w:val="0"/>
                <w:szCs w:val="20"/>
              </w:rPr>
              <w:t>International Charter School</w:t>
            </w:r>
            <w:r w:rsidR="004D790C">
              <w:rPr>
                <w:bCs/>
                <w:snapToGrid w:val="0"/>
                <w:szCs w:val="20"/>
              </w:rPr>
              <w:t>, and UP Academy Boston Horace Mann Charter School</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4FE31007" w14:textId="70E96876" w:rsidR="00040748" w:rsidRDefault="00040748" w:rsidP="00040748">
      <w:pPr>
        <w:widowControl/>
      </w:pPr>
      <w:r>
        <w:t>This memorandum provides notice to the Board of Elementary and Secondary Education (Board)</w:t>
      </w:r>
      <w:r w:rsidRPr="009C0A7D">
        <w:t xml:space="preserve"> </w:t>
      </w:r>
      <w:r>
        <w:t xml:space="preserve">that I </w:t>
      </w:r>
      <w:r w:rsidRPr="009C0A7D">
        <w:t xml:space="preserve">intend to amend conditions on the charters of </w:t>
      </w:r>
      <w:r w:rsidR="0031024D">
        <w:t>six</w:t>
      </w:r>
      <w:r w:rsidRPr="009C0A7D">
        <w:t xml:space="preserve"> </w:t>
      </w:r>
      <w:r>
        <w:t>charter</w:t>
      </w:r>
      <w:r w:rsidRPr="009C0A7D">
        <w:t xml:space="preserve"> schools to grant them an additional year </w:t>
      </w:r>
      <w:r>
        <w:t xml:space="preserve">to </w:t>
      </w:r>
      <w:r w:rsidRPr="009C0A7D">
        <w:t>demonstrate</w:t>
      </w:r>
      <w:r>
        <w:t xml:space="preserve"> </w:t>
      </w:r>
      <w:r w:rsidRPr="009C0A7D">
        <w:t>“significant and</w:t>
      </w:r>
      <w:r>
        <w:t xml:space="preserve"> sustained academic improvement”</w:t>
      </w:r>
      <w:r w:rsidRPr="009C0A7D">
        <w:t xml:space="preserve"> </w:t>
      </w:r>
      <w:r w:rsidRPr="003044BE">
        <w:t xml:space="preserve">as measured by </w:t>
      </w:r>
      <w:r>
        <w:t>our</w:t>
      </w:r>
      <w:r w:rsidRPr="003044BE">
        <w:t xml:space="preserve"> statewide assessment</w:t>
      </w:r>
      <w:r>
        <w:t>.</w:t>
      </w:r>
      <w:r w:rsidRPr="003044BE">
        <w:t xml:space="preserve"> </w:t>
      </w:r>
      <w:r w:rsidRPr="00707066">
        <w:rPr>
          <w:szCs w:val="24"/>
        </w:rPr>
        <w:t xml:space="preserve">As Board members are aware, </w:t>
      </w:r>
      <w:r w:rsidR="00D40C5B">
        <w:t>due to the cancellation of the 2020 MCAS and resulting changes to district and school accountability</w:t>
      </w:r>
      <w:r w:rsidR="009021BB">
        <w:t xml:space="preserve"> in </w:t>
      </w:r>
      <w:r w:rsidR="009021BB" w:rsidRPr="009021BB">
        <w:t>2021</w:t>
      </w:r>
      <w:r w:rsidR="00D40C5B">
        <w:t xml:space="preserve">, </w:t>
      </w:r>
      <w:r w:rsidR="00E247C1">
        <w:t xml:space="preserve">charter schools may require </w:t>
      </w:r>
      <w:r w:rsidR="00D40C5B">
        <w:t>additional time to demonstrate academic improvement</w:t>
      </w:r>
      <w:r w:rsidR="00E247C1">
        <w:t>.</w:t>
      </w:r>
    </w:p>
    <w:p w14:paraId="54EAAED0" w14:textId="77777777" w:rsidR="00040748" w:rsidRDefault="00040748" w:rsidP="00040748">
      <w:pPr>
        <w:widowControl/>
      </w:pPr>
    </w:p>
    <w:p w14:paraId="4A414C56" w14:textId="45437E64" w:rsidR="00040748" w:rsidRDefault="00040748" w:rsidP="00040748">
      <w:pPr>
        <w:widowControl/>
      </w:pPr>
      <w:r w:rsidRPr="00652F9F">
        <w:t>At its meeting in February 2013, the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t xml:space="preserve"> The </w:t>
      </w:r>
      <w:r w:rsidRPr="00C73B73">
        <w:rPr>
          <w:szCs w:val="24"/>
        </w:rPr>
        <w:t>Charter School Regulation</w:t>
      </w:r>
      <w:r>
        <w:rPr>
          <w:szCs w:val="24"/>
        </w:rPr>
        <w:t>s</w:t>
      </w:r>
      <w:r>
        <w:t xml:space="preserve"> also allow the Commissioner to impose conditions on a school’s charter.</w:t>
      </w:r>
      <w:r w:rsidRPr="003F1D2A">
        <w:rPr>
          <w:rStyle w:val="FootnoteReference"/>
          <w:vertAlign w:val="superscript"/>
        </w:rPr>
        <w:footnoteReference w:id="2"/>
      </w:r>
      <w:r>
        <w:t xml:space="preserve"> </w:t>
      </w:r>
    </w:p>
    <w:p w14:paraId="461A52DD" w14:textId="77777777" w:rsidR="00040748" w:rsidRDefault="00040748" w:rsidP="00040748">
      <w:pPr>
        <w:widowControl/>
      </w:pPr>
    </w:p>
    <w:p w14:paraId="5E3A6287" w14:textId="643A1520" w:rsidR="00155B7C" w:rsidRDefault="00040748" w:rsidP="00040748">
      <w:pPr>
        <w:widowControl/>
      </w:pPr>
      <w:r>
        <w:t>Under this authority, and due to the fact that MCAS testing was cancelled</w:t>
      </w:r>
      <w:r w:rsidR="00C60409">
        <w:t xml:space="preserve"> in 2020 and modified in 2021</w:t>
      </w:r>
      <w:r>
        <w:t xml:space="preserve">, I intend to extend charter conditions for </w:t>
      </w:r>
      <w:r w:rsidR="00CC0358">
        <w:rPr>
          <w:bCs/>
        </w:rPr>
        <w:t xml:space="preserve">Argosy Collegiate Charter </w:t>
      </w:r>
      <w:r w:rsidR="00977277">
        <w:rPr>
          <w:bCs/>
        </w:rPr>
        <w:t xml:space="preserve">School </w:t>
      </w:r>
      <w:r w:rsidR="00977277">
        <w:t>(ACCS),</w:t>
      </w:r>
      <w:r w:rsidR="00CC0358">
        <w:rPr>
          <w:bCs/>
        </w:rPr>
        <w:t xml:space="preserve"> Boston Green Academy Horace Mann Charter School</w:t>
      </w:r>
      <w:r w:rsidR="00977277">
        <w:rPr>
          <w:bCs/>
        </w:rPr>
        <w:t xml:space="preserve"> (BGA)</w:t>
      </w:r>
      <w:r w:rsidR="00CC0358">
        <w:rPr>
          <w:bCs/>
        </w:rPr>
        <w:t>, Boston Renaissance Charter Public School</w:t>
      </w:r>
      <w:r w:rsidR="00977277">
        <w:rPr>
          <w:bCs/>
        </w:rPr>
        <w:t xml:space="preserve"> </w:t>
      </w:r>
      <w:r w:rsidR="00977277">
        <w:t>(BRCPS)</w:t>
      </w:r>
      <w:r w:rsidR="00CC0358">
        <w:rPr>
          <w:bCs/>
        </w:rPr>
        <w:t>, Codman Academy Charter Public School</w:t>
      </w:r>
      <w:r w:rsidR="00977277">
        <w:rPr>
          <w:bCs/>
        </w:rPr>
        <w:t xml:space="preserve"> </w:t>
      </w:r>
      <w:r w:rsidR="00516B62">
        <w:rPr>
          <w:bCs/>
        </w:rPr>
        <w:t>(CACPS)</w:t>
      </w:r>
      <w:r w:rsidR="00CC0358">
        <w:rPr>
          <w:bCs/>
        </w:rPr>
        <w:t xml:space="preserve">, </w:t>
      </w:r>
      <w:r w:rsidR="00516B62">
        <w:rPr>
          <w:bCs/>
        </w:rPr>
        <w:t>Springfield</w:t>
      </w:r>
      <w:r w:rsidR="00CC0358">
        <w:rPr>
          <w:bCs/>
        </w:rPr>
        <w:t xml:space="preserve"> International Charter School</w:t>
      </w:r>
      <w:r w:rsidR="00516B62">
        <w:rPr>
          <w:bCs/>
        </w:rPr>
        <w:t xml:space="preserve"> (SICS, formerly SABIS International Charter School)</w:t>
      </w:r>
      <w:r w:rsidR="00CC0358">
        <w:rPr>
          <w:bCs/>
        </w:rPr>
        <w:t xml:space="preserve">, and UP </w:t>
      </w:r>
      <w:r w:rsidR="00CC0358">
        <w:rPr>
          <w:bCs/>
        </w:rPr>
        <w:lastRenderedPageBreak/>
        <w:t xml:space="preserve">Academy </w:t>
      </w:r>
      <w:r w:rsidR="00A47AAC">
        <w:rPr>
          <w:bCs/>
        </w:rPr>
        <w:t>Charter School of Boston</w:t>
      </w:r>
      <w:r w:rsidR="00516B62">
        <w:rPr>
          <w:bCs/>
        </w:rPr>
        <w:t xml:space="preserve"> (UAB)</w:t>
      </w:r>
      <w:r w:rsidR="00CC0358">
        <w:rPr>
          <w:bCs/>
        </w:rPr>
        <w:t>.</w:t>
      </w:r>
      <w:r w:rsidR="006D27CB">
        <w:rPr>
          <w:bCs/>
        </w:rPr>
        <w:t xml:space="preserve"> </w:t>
      </w:r>
      <w:r>
        <w:t xml:space="preserve">Each of these schools has a deadline for providing evidence of significant and sustained academic improvement. </w:t>
      </w:r>
    </w:p>
    <w:p w14:paraId="13AC6228" w14:textId="77777777" w:rsidR="00155B7C" w:rsidRDefault="00155B7C" w:rsidP="00040748">
      <w:pPr>
        <w:widowControl/>
      </w:pPr>
    </w:p>
    <w:p w14:paraId="4652CDA6" w14:textId="265DDA3D" w:rsidR="00155B7C" w:rsidRDefault="00155B7C" w:rsidP="00155B7C">
      <w:pPr>
        <w:widowControl/>
        <w:rPr>
          <w:rFonts w:cstheme="minorHAnsi"/>
          <w:szCs w:val="24"/>
        </w:rPr>
      </w:pPr>
      <w:r>
        <w:rPr>
          <w:szCs w:val="24"/>
        </w:rPr>
        <w:t xml:space="preserve">In April 2020, </w:t>
      </w:r>
      <w:r w:rsidRPr="00707066">
        <w:rPr>
          <w:szCs w:val="24"/>
        </w:rPr>
        <w:t xml:space="preserve">after passage of special state legislation waiving the requirement for MCAS administration due </w:t>
      </w:r>
      <w:r>
        <w:rPr>
          <w:szCs w:val="24"/>
        </w:rPr>
        <w:t>to COVID</w:t>
      </w:r>
      <w:r w:rsidRPr="00707066">
        <w:rPr>
          <w:szCs w:val="24"/>
        </w:rPr>
        <w:t xml:space="preserve">-19, I cancelled </w:t>
      </w:r>
      <w:r>
        <w:rPr>
          <w:szCs w:val="24"/>
        </w:rPr>
        <w:t>the spring 2020</w:t>
      </w:r>
      <w:r w:rsidRPr="00707066">
        <w:rPr>
          <w:szCs w:val="24"/>
        </w:rPr>
        <w:t xml:space="preserve"> </w:t>
      </w:r>
      <w:r w:rsidRPr="00707066">
        <w:rPr>
          <w:rFonts w:cstheme="minorHAnsi"/>
          <w:szCs w:val="24"/>
        </w:rPr>
        <w:t>regular administration of MCAS tests for students in grades 3-10.</w:t>
      </w:r>
      <w:r>
        <w:rPr>
          <w:rFonts w:cstheme="minorHAnsi"/>
          <w:szCs w:val="24"/>
        </w:rPr>
        <w:t xml:space="preserve"> Because of this cancellation, in June 2020, </w:t>
      </w:r>
      <w:r w:rsidR="007B5BEB">
        <w:rPr>
          <w:rFonts w:cstheme="minorHAnsi"/>
          <w:szCs w:val="24"/>
        </w:rPr>
        <w:t>I</w:t>
      </w:r>
      <w:r>
        <w:rPr>
          <w:rFonts w:cstheme="minorHAnsi"/>
          <w:szCs w:val="24"/>
        </w:rPr>
        <w:t xml:space="preserve"> modi</w:t>
      </w:r>
      <w:r w:rsidR="007B5BEB">
        <w:rPr>
          <w:rFonts w:cstheme="minorHAnsi"/>
          <w:szCs w:val="24"/>
        </w:rPr>
        <w:t>fied</w:t>
      </w:r>
      <w:r>
        <w:rPr>
          <w:rFonts w:cstheme="minorHAnsi"/>
          <w:szCs w:val="24"/>
        </w:rPr>
        <w:t xml:space="preserve"> the conditions </w:t>
      </w:r>
      <w:r w:rsidR="007B5BEB">
        <w:rPr>
          <w:rFonts w:cstheme="minorHAnsi"/>
          <w:szCs w:val="24"/>
        </w:rPr>
        <w:t>for many</w:t>
      </w:r>
      <w:r>
        <w:rPr>
          <w:rFonts w:cstheme="minorHAnsi"/>
          <w:szCs w:val="24"/>
        </w:rPr>
        <w:t xml:space="preserve"> charters to grant them an additional year to demonstrate significant and sustained academic improvement. </w:t>
      </w:r>
    </w:p>
    <w:p w14:paraId="71A833E4" w14:textId="77777777" w:rsidR="00155B7C" w:rsidRDefault="00155B7C" w:rsidP="00155B7C">
      <w:pPr>
        <w:widowControl/>
        <w:rPr>
          <w:rFonts w:cstheme="minorHAnsi"/>
          <w:szCs w:val="24"/>
        </w:rPr>
      </w:pPr>
    </w:p>
    <w:p w14:paraId="5CDBA2D2" w14:textId="50FFF1BA" w:rsidR="00155B7C" w:rsidRDefault="00155B7C" w:rsidP="00155B7C">
      <w:pPr>
        <w:widowControl/>
      </w:pPr>
      <w:r>
        <w:rPr>
          <w:rFonts w:cstheme="minorHAnsi"/>
          <w:szCs w:val="24"/>
        </w:rPr>
        <w:t>Due to the ongoing impact of COVID-19, i</w:t>
      </w:r>
      <w:r>
        <w:t xml:space="preserve">n April 2021, </w:t>
      </w:r>
      <w:r w:rsidR="001F4121">
        <w:t xml:space="preserve">the Department of Elementary and Secondary Education (Department) </w:t>
      </w:r>
      <w:r>
        <w:t xml:space="preserve">received a </w:t>
      </w:r>
      <w:hyperlink r:id="rId13" w:history="1">
        <w:r>
          <w:rPr>
            <w:rStyle w:val="Hyperlink"/>
          </w:rPr>
          <w:t>waiver of certain federal accountability requirements</w:t>
        </w:r>
      </w:hyperlink>
      <w:r>
        <w:t xml:space="preserve"> </w:t>
      </w:r>
      <w:r w:rsidRPr="00F5665D">
        <w:rPr>
          <w:color w:val="222222"/>
          <w:shd w:val="clear" w:color="auto" w:fill="FFFFFF"/>
        </w:rPr>
        <w:t>for the 2020-2021 school year from the United States Department of Education (USED)</w:t>
      </w:r>
      <w:r w:rsidRPr="00F5665D">
        <w:t xml:space="preserve">. </w:t>
      </w:r>
      <w:r>
        <w:t>I</w:t>
      </w:r>
      <w:r w:rsidRPr="00F5665D">
        <w:t>n</w:t>
      </w:r>
      <w:r>
        <w:t xml:space="preserve"> June 2021, the Board voted to amend state accountability regulations to allow </w:t>
      </w:r>
      <w:r w:rsidR="00E42BBF">
        <w:t>the Department</w:t>
      </w:r>
      <w:r>
        <w:t xml:space="preserve"> to refrain from issuing district and school accountability </w:t>
      </w:r>
      <w:r w:rsidR="0031613D">
        <w:t xml:space="preserve">results </w:t>
      </w:r>
      <w:r>
        <w:t xml:space="preserve">following the 2020-2021 school year. </w:t>
      </w:r>
      <w:r w:rsidR="00323265">
        <w:t>Because</w:t>
      </w:r>
      <w:r>
        <w:t xml:space="preserve"> of those actions, the most recent accountability results from 2019 remain in place, and the Department plans to publish updated accountability results in fall 2022.</w:t>
      </w:r>
    </w:p>
    <w:p w14:paraId="3878583A" w14:textId="7BDD79C4" w:rsidR="000F6E99" w:rsidRDefault="000F6E99" w:rsidP="00155B7C">
      <w:pPr>
        <w:widowControl/>
      </w:pPr>
    </w:p>
    <w:p w14:paraId="7A954617" w14:textId="79FB5B29" w:rsidR="000F6E99" w:rsidRDefault="000F6E99" w:rsidP="00155B7C">
      <w:pPr>
        <w:widowControl/>
      </w:pPr>
      <w:r>
        <w:t xml:space="preserve">Due to the relief provided by USED’s waiver, I determined that I would not name or recommend any new underperforming or chronically underperforming districts or schools during the 2021-2022 school year. </w:t>
      </w:r>
      <w:r w:rsidR="0008197B">
        <w:t>T</w:t>
      </w:r>
      <w:r>
        <w:t xml:space="preserve">o provide consistency across accountability processes, </w:t>
      </w:r>
      <w:r w:rsidR="00FC03AD" w:rsidRPr="00FC03AD">
        <w:t xml:space="preserve">the Department will not include </w:t>
      </w:r>
      <w:r>
        <w:t xml:space="preserve">results from the 2021 MCAS administration in charter school accountability determinations. No charter school </w:t>
      </w:r>
      <w:r w:rsidR="00932CDA" w:rsidRPr="00932CDA">
        <w:t>will receive</w:t>
      </w:r>
      <w:r>
        <w:t xml:space="preserve"> conditions, </w:t>
      </w:r>
      <w:r w:rsidR="00ED05A8" w:rsidRPr="00ED05A8">
        <w:t xml:space="preserve">be placed on </w:t>
      </w:r>
      <w:r>
        <w:t xml:space="preserve">probation, or </w:t>
      </w:r>
      <w:r w:rsidR="00ED05A8">
        <w:t>be</w:t>
      </w:r>
      <w:r>
        <w:t xml:space="preserve"> recommend</w:t>
      </w:r>
      <w:r w:rsidR="00ED05A8">
        <w:t>ed for</w:t>
      </w:r>
      <w:r>
        <w:t xml:space="preserve"> closure based solely on 2021 MCAS</w:t>
      </w:r>
      <w:r w:rsidR="001F4121">
        <w:t xml:space="preserve"> results.</w:t>
      </w:r>
    </w:p>
    <w:p w14:paraId="0BDA0732" w14:textId="77777777" w:rsidR="00155B7C" w:rsidRDefault="00155B7C" w:rsidP="00040748">
      <w:pPr>
        <w:widowControl/>
      </w:pPr>
    </w:p>
    <w:p w14:paraId="7AE9B708" w14:textId="1419A214" w:rsidR="00040748" w:rsidRPr="006D27CB" w:rsidRDefault="00040748" w:rsidP="00040748">
      <w:pPr>
        <w:widowControl/>
        <w:rPr>
          <w:bCs/>
        </w:rPr>
      </w:pPr>
      <w:r>
        <w:t>Because the MCAS was not administered in the spring of 2020</w:t>
      </w:r>
      <w:r w:rsidR="004A7299">
        <w:t xml:space="preserve"> and was modified in 2021</w:t>
      </w:r>
      <w:r>
        <w:t>, I intend to extend the deadline for each of these schools</w:t>
      </w:r>
      <w:r w:rsidR="004A7299">
        <w:t xml:space="preserve"> to demonstrate academic improvement</w:t>
      </w:r>
      <w:r>
        <w:t>. More information regarding these schools and decisions follows.</w:t>
      </w:r>
    </w:p>
    <w:p w14:paraId="731FAA6F" w14:textId="77777777" w:rsidR="00040748" w:rsidRDefault="00040748" w:rsidP="00040748">
      <w:pPr>
        <w:widowControl/>
      </w:pPr>
    </w:p>
    <w:p w14:paraId="20DA6055" w14:textId="250B4162" w:rsidR="00040748" w:rsidRDefault="00E83D56" w:rsidP="00040748">
      <w:pPr>
        <w:widowControl/>
      </w:pPr>
      <w:r>
        <w:t>Two additional</w:t>
      </w:r>
      <w:r w:rsidR="00040748">
        <w:t xml:space="preserve"> charter school</w:t>
      </w:r>
      <w:r>
        <w:t>s</w:t>
      </w:r>
      <w:r w:rsidR="00040748">
        <w:t xml:space="preserve">, </w:t>
      </w:r>
      <w:r w:rsidR="0031024D">
        <w:rPr>
          <w:bCs/>
        </w:rPr>
        <w:t xml:space="preserve">Baystate Academy Charter Public School </w:t>
      </w:r>
      <w:r w:rsidR="0031024D">
        <w:t>(BACPS)</w:t>
      </w:r>
      <w:r w:rsidR="0031024D">
        <w:rPr>
          <w:bCs/>
        </w:rPr>
        <w:t xml:space="preserve"> and Helen Y. Davis Leadership Academy Charter Public School </w:t>
      </w:r>
      <w:r w:rsidR="0031024D">
        <w:t xml:space="preserve">(HYD), </w:t>
      </w:r>
      <w:r>
        <w:t>are</w:t>
      </w:r>
      <w:r w:rsidR="00040748">
        <w:t xml:space="preserve"> also operating with condition</w:t>
      </w:r>
      <w:r>
        <w:t>s</w:t>
      </w:r>
      <w:r w:rsidR="00040748">
        <w:t xml:space="preserve"> requiring academic improvement. Because </w:t>
      </w:r>
      <w:r>
        <w:t>the school’s</w:t>
      </w:r>
      <w:r w:rsidR="00040748">
        <w:t xml:space="preserve"> current charter</w:t>
      </w:r>
      <w:r>
        <w:t>s</w:t>
      </w:r>
      <w:r w:rsidR="00040748">
        <w:t xml:space="preserve"> will expire on June 30, 202</w:t>
      </w:r>
      <w:r>
        <w:t>3</w:t>
      </w:r>
      <w:r w:rsidR="00040748">
        <w:t xml:space="preserve">, the condition on </w:t>
      </w:r>
      <w:r w:rsidR="00410D7E">
        <w:t>these</w:t>
      </w:r>
      <w:r w:rsidR="00040748">
        <w:t xml:space="preserve"> charter</w:t>
      </w:r>
      <w:r w:rsidR="00410D7E">
        <w:t>s</w:t>
      </w:r>
      <w:r w:rsidR="00040748">
        <w:t xml:space="preserve"> cannot be extended a year. </w:t>
      </w:r>
      <w:r w:rsidR="00410D7E">
        <w:t>BACPS and HYD</w:t>
      </w:r>
      <w:r w:rsidR="00040748">
        <w:t xml:space="preserve"> will </w:t>
      </w:r>
      <w:r w:rsidR="00401D50">
        <w:t xml:space="preserve">each </w:t>
      </w:r>
      <w:r w:rsidR="00040748">
        <w:t xml:space="preserve">file </w:t>
      </w:r>
      <w:r w:rsidR="00991EB3">
        <w:t xml:space="preserve">an </w:t>
      </w:r>
      <w:r w:rsidR="00040748">
        <w:t xml:space="preserve">application for </w:t>
      </w:r>
      <w:r w:rsidR="00A05461">
        <w:t xml:space="preserve">charter </w:t>
      </w:r>
      <w:r w:rsidR="00040748">
        <w:t>renewal by July 31, 202</w:t>
      </w:r>
      <w:r w:rsidR="00661252">
        <w:t>2</w:t>
      </w:r>
      <w:r w:rsidR="00F0494E">
        <w:t xml:space="preserve">, and </w:t>
      </w:r>
      <w:r w:rsidR="00040748">
        <w:t xml:space="preserve">I will evaluate the performance </w:t>
      </w:r>
      <w:r w:rsidR="00925140">
        <w:t xml:space="preserve">of </w:t>
      </w:r>
      <w:r w:rsidR="00A05461">
        <w:t xml:space="preserve">each school </w:t>
      </w:r>
      <w:r w:rsidR="00040748">
        <w:t xml:space="preserve">based upon all the evidence available, remaining mindful that students were unable to take the MCAS </w:t>
      </w:r>
      <w:r w:rsidR="00661252">
        <w:t>in 2020 and took a modified MCAS in 2021</w:t>
      </w:r>
      <w:r w:rsidR="00040748">
        <w:t xml:space="preserve">. I will </w:t>
      </w:r>
      <w:r w:rsidR="004A6F54">
        <w:t xml:space="preserve">inform the Board about </w:t>
      </w:r>
      <w:r w:rsidR="00040748">
        <w:t>renewal determination</w:t>
      </w:r>
      <w:r w:rsidR="00CC51B8">
        <w:t>s for these charters</w:t>
      </w:r>
      <w:r w:rsidR="00040748">
        <w:t xml:space="preserve"> in the winter of 202</w:t>
      </w:r>
      <w:r w:rsidR="00CC51B8">
        <w:t>2</w:t>
      </w:r>
      <w:r w:rsidR="00040748">
        <w:t>-202</w:t>
      </w:r>
      <w:r w:rsidR="00CC51B8">
        <w:t>3</w:t>
      </w:r>
      <w:r w:rsidR="00040748">
        <w:t>.</w:t>
      </w:r>
    </w:p>
    <w:p w14:paraId="74AE6807" w14:textId="77777777" w:rsidR="00040748" w:rsidRDefault="00040748" w:rsidP="00040748">
      <w:pPr>
        <w:widowControl/>
      </w:pPr>
    </w:p>
    <w:p w14:paraId="61D9DBDD" w14:textId="5356069A" w:rsidR="00040748" w:rsidRDefault="00040748" w:rsidP="00040748">
      <w:pPr>
        <w:widowControl/>
      </w:pPr>
      <w:r w:rsidRPr="00F72196">
        <w:t>Please let me know by</w:t>
      </w:r>
      <w:r w:rsidRPr="00F72196">
        <w:rPr>
          <w:b/>
        </w:rPr>
        <w:t xml:space="preserve"> </w:t>
      </w:r>
      <w:r w:rsidR="00F425FD">
        <w:rPr>
          <w:b/>
        </w:rPr>
        <w:t>Friday, December 10, 2021</w:t>
      </w:r>
      <w:r w:rsidR="7680919B" w:rsidRPr="349895B9">
        <w:rPr>
          <w:b/>
          <w:bCs/>
        </w:rPr>
        <w:t>,</w:t>
      </w:r>
      <w:r w:rsidRPr="00F72196">
        <w:t xml:space="preserve"> if you wish to have any of these proposed actions brought to the full Board for review and vote at its </w:t>
      </w:r>
      <w:r w:rsidR="005F6432">
        <w:t xml:space="preserve">meeting scheduled for </w:t>
      </w:r>
      <w:r w:rsidR="004A3A99">
        <w:t xml:space="preserve">December </w:t>
      </w:r>
      <w:r w:rsidR="00FC1E1D" w:rsidRPr="001145F4">
        <w:t>17,</w:t>
      </w:r>
      <w:r w:rsidR="00FC1E1D" w:rsidRPr="00FC1E1D">
        <w:t xml:space="preserve"> </w:t>
      </w:r>
      <w:r w:rsidR="004A3A99">
        <w:t>2021</w:t>
      </w:r>
      <w:r w:rsidRPr="00F72196">
        <w:t>.</w:t>
      </w:r>
    </w:p>
    <w:p w14:paraId="7DD488EB" w14:textId="7375300E" w:rsidR="00040748" w:rsidRDefault="00040748" w:rsidP="00040748">
      <w:pPr>
        <w:widowControl/>
      </w:pPr>
    </w:p>
    <w:p w14:paraId="71C1913A" w14:textId="2E17394D" w:rsidR="00A9378C" w:rsidRDefault="00A9378C" w:rsidP="00040748">
      <w:pPr>
        <w:widowControl/>
      </w:pPr>
    </w:p>
    <w:p w14:paraId="4BFE1152" w14:textId="5517B795" w:rsidR="00A9378C" w:rsidRDefault="00A9378C" w:rsidP="00040748">
      <w:pPr>
        <w:widowControl/>
      </w:pPr>
    </w:p>
    <w:p w14:paraId="09EAC42C" w14:textId="0E7474D3" w:rsidR="006524E0" w:rsidRDefault="006524E0" w:rsidP="00040748">
      <w:pPr>
        <w:widowControl/>
      </w:pPr>
    </w:p>
    <w:p w14:paraId="24B275E8" w14:textId="77777777" w:rsidR="006524E0" w:rsidRDefault="006524E0" w:rsidP="00040748">
      <w:pPr>
        <w:widowControl/>
      </w:pPr>
    </w:p>
    <w:p w14:paraId="18563B1F" w14:textId="77777777" w:rsidR="00A9378C" w:rsidRDefault="00A9378C" w:rsidP="00040748">
      <w:pPr>
        <w:widowContro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7"/>
        <w:gridCol w:w="2337"/>
        <w:gridCol w:w="2338"/>
        <w:gridCol w:w="2338"/>
      </w:tblGrid>
      <w:tr w:rsidR="00040748" w:rsidRPr="003F208C" w14:paraId="50EF3286" w14:textId="77777777" w:rsidTr="00221967">
        <w:trPr>
          <w:trHeight w:val="20"/>
        </w:trPr>
        <w:tc>
          <w:tcPr>
            <w:tcW w:w="5000" w:type="pct"/>
            <w:gridSpan w:val="4"/>
            <w:tcBorders>
              <w:bottom w:val="single" w:sz="4" w:space="0" w:color="auto"/>
            </w:tcBorders>
            <w:shd w:val="clear" w:color="auto" w:fill="BFBFBF" w:themeFill="background1" w:themeFillShade="BF"/>
            <w:tcMar>
              <w:top w:w="0" w:type="dxa"/>
              <w:left w:w="108" w:type="dxa"/>
              <w:bottom w:w="0" w:type="dxa"/>
              <w:right w:w="108" w:type="dxa"/>
            </w:tcMar>
          </w:tcPr>
          <w:p w14:paraId="5D95A531" w14:textId="77777777" w:rsidR="00040748" w:rsidRPr="003F208C" w:rsidRDefault="00040748" w:rsidP="00221967">
            <w:pPr>
              <w:widowControl/>
              <w:spacing w:before="80" w:after="80"/>
              <w:rPr>
                <w:rFonts w:eastAsia="Batang"/>
                <w:b/>
                <w:bCs/>
                <w:szCs w:val="24"/>
                <w:lang w:eastAsia="ko-KR"/>
              </w:rPr>
            </w:pPr>
            <w:r w:rsidRPr="003F208C">
              <w:rPr>
                <w:rFonts w:eastAsia="Batang"/>
                <w:b/>
                <w:bCs/>
                <w:szCs w:val="24"/>
                <w:lang w:eastAsia="ko-KR"/>
              </w:rPr>
              <w:lastRenderedPageBreak/>
              <w:t>Argosy Collegiate Charter School</w:t>
            </w:r>
            <w:r>
              <w:rPr>
                <w:rFonts w:eastAsia="Batang"/>
                <w:b/>
                <w:bCs/>
                <w:szCs w:val="24"/>
                <w:lang w:eastAsia="ko-KR"/>
              </w:rPr>
              <w:t xml:space="preserve"> </w:t>
            </w:r>
          </w:p>
        </w:tc>
      </w:tr>
      <w:tr w:rsidR="00040748" w:rsidRPr="00677F6E" w14:paraId="0C56DF00" w14:textId="77777777" w:rsidTr="00221967">
        <w:trPr>
          <w:trHeight w:val="20"/>
        </w:trPr>
        <w:tc>
          <w:tcPr>
            <w:tcW w:w="1250" w:type="pct"/>
            <w:shd w:val="clear" w:color="auto" w:fill="F2F2F2"/>
            <w:tcMar>
              <w:top w:w="0" w:type="dxa"/>
              <w:left w:w="108" w:type="dxa"/>
              <w:bottom w:w="0" w:type="dxa"/>
              <w:right w:w="108" w:type="dxa"/>
            </w:tcMar>
            <w:vAlign w:val="center"/>
          </w:tcPr>
          <w:p w14:paraId="037223D6" w14:textId="77777777" w:rsidR="00040748" w:rsidRPr="00677F6E" w:rsidRDefault="00040748" w:rsidP="00221967">
            <w:pPr>
              <w:widowControl/>
              <w:tabs>
                <w:tab w:val="left" w:pos="1940"/>
              </w:tabs>
              <w:spacing w:before="80" w:after="80"/>
              <w:ind w:left="162" w:hanging="193"/>
              <w:rPr>
                <w:rFonts w:eastAsia="Batang"/>
                <w:b/>
                <w:bCs/>
                <w:sz w:val="20"/>
                <w:lang w:eastAsia="ko-KR"/>
              </w:rPr>
            </w:pPr>
            <w:r w:rsidRPr="00677F6E">
              <w:rPr>
                <w:rFonts w:eastAsia="Batang"/>
                <w:b/>
                <w:sz w:val="20"/>
                <w:lang w:eastAsia="ko-KR"/>
              </w:rPr>
              <w:t>Type of Charter</w:t>
            </w:r>
          </w:p>
        </w:tc>
        <w:tc>
          <w:tcPr>
            <w:tcW w:w="1250" w:type="pct"/>
            <w:tcMar>
              <w:top w:w="0" w:type="dxa"/>
              <w:left w:w="108" w:type="dxa"/>
              <w:bottom w:w="0" w:type="dxa"/>
              <w:right w:w="108" w:type="dxa"/>
            </w:tcMar>
            <w:vAlign w:val="center"/>
          </w:tcPr>
          <w:p w14:paraId="4CD58476" w14:textId="77777777" w:rsidR="00040748" w:rsidRPr="00677F6E" w:rsidRDefault="00040748" w:rsidP="00221967">
            <w:pPr>
              <w:widowControl/>
              <w:tabs>
                <w:tab w:val="left" w:pos="1940"/>
              </w:tabs>
              <w:spacing w:before="80" w:after="80"/>
              <w:ind w:left="162" w:hanging="193"/>
              <w:rPr>
                <w:rFonts w:eastAsia="Batang"/>
                <w:sz w:val="20"/>
                <w:lang w:eastAsia="ko-KR"/>
              </w:rPr>
            </w:pPr>
            <w:r w:rsidRPr="00677F6E">
              <w:rPr>
                <w:rFonts w:eastAsia="Batang"/>
                <w:sz w:val="20"/>
                <w:lang w:eastAsia="ko-KR"/>
              </w:rPr>
              <w:t>Commonwealth</w:t>
            </w:r>
          </w:p>
        </w:tc>
        <w:tc>
          <w:tcPr>
            <w:tcW w:w="1250" w:type="pct"/>
            <w:shd w:val="clear" w:color="auto" w:fill="F2F2F2"/>
            <w:tcMar>
              <w:top w:w="0" w:type="dxa"/>
              <w:left w:w="108" w:type="dxa"/>
              <w:bottom w:w="0" w:type="dxa"/>
              <w:right w:w="108" w:type="dxa"/>
            </w:tcMar>
            <w:vAlign w:val="center"/>
          </w:tcPr>
          <w:p w14:paraId="364773CA" w14:textId="77777777" w:rsidR="00040748" w:rsidRPr="00677F6E" w:rsidRDefault="00040748" w:rsidP="00221967">
            <w:pPr>
              <w:widowControl/>
              <w:tabs>
                <w:tab w:val="left" w:pos="1940"/>
              </w:tabs>
              <w:spacing w:before="80" w:after="80"/>
              <w:ind w:left="162" w:hanging="193"/>
              <w:rPr>
                <w:rFonts w:eastAsia="Batang"/>
                <w:b/>
                <w:bCs/>
                <w:sz w:val="20"/>
                <w:lang w:eastAsia="ko-KR"/>
              </w:rPr>
            </w:pPr>
            <w:r w:rsidRPr="00677F6E">
              <w:rPr>
                <w:rFonts w:eastAsia="Batang"/>
                <w:b/>
                <w:sz w:val="20"/>
                <w:lang w:eastAsia="ko-KR"/>
              </w:rPr>
              <w:t>Location</w:t>
            </w:r>
          </w:p>
        </w:tc>
        <w:tc>
          <w:tcPr>
            <w:tcW w:w="1250" w:type="pct"/>
            <w:tcMar>
              <w:top w:w="0" w:type="dxa"/>
              <w:left w:w="108" w:type="dxa"/>
              <w:bottom w:w="0" w:type="dxa"/>
              <w:right w:w="108" w:type="dxa"/>
            </w:tcMar>
            <w:vAlign w:val="center"/>
          </w:tcPr>
          <w:p w14:paraId="6E31ECD0" w14:textId="77777777" w:rsidR="00040748" w:rsidRPr="00677F6E" w:rsidRDefault="00040748" w:rsidP="00221967">
            <w:pPr>
              <w:widowControl/>
              <w:tabs>
                <w:tab w:val="left" w:pos="1940"/>
              </w:tabs>
              <w:spacing w:before="40" w:after="40"/>
              <w:ind w:left="162" w:hanging="193"/>
              <w:rPr>
                <w:rFonts w:eastAsia="Batang"/>
                <w:sz w:val="20"/>
                <w:lang w:eastAsia="ko-KR"/>
              </w:rPr>
            </w:pPr>
            <w:r w:rsidRPr="00677F6E">
              <w:rPr>
                <w:rFonts w:eastAsia="Batang"/>
                <w:sz w:val="20"/>
                <w:lang w:eastAsia="ko-KR"/>
              </w:rPr>
              <w:t>Fall River</w:t>
            </w:r>
          </w:p>
        </w:tc>
      </w:tr>
      <w:tr w:rsidR="00040748" w:rsidRPr="00677F6E" w14:paraId="3A4E63ED" w14:textId="77777777" w:rsidTr="00221967">
        <w:trPr>
          <w:trHeight w:val="20"/>
        </w:trPr>
        <w:tc>
          <w:tcPr>
            <w:tcW w:w="1250" w:type="pct"/>
            <w:shd w:val="clear" w:color="auto" w:fill="F2F2F2"/>
            <w:tcMar>
              <w:top w:w="0" w:type="dxa"/>
              <w:left w:w="108" w:type="dxa"/>
              <w:bottom w:w="0" w:type="dxa"/>
              <w:right w:w="108" w:type="dxa"/>
            </w:tcMar>
            <w:vAlign w:val="center"/>
          </w:tcPr>
          <w:p w14:paraId="7BB5CB27" w14:textId="77777777" w:rsidR="00040748" w:rsidRPr="00677F6E" w:rsidRDefault="00040748" w:rsidP="00221967">
            <w:pPr>
              <w:widowControl/>
              <w:tabs>
                <w:tab w:val="left" w:pos="1940"/>
              </w:tabs>
              <w:spacing w:before="80" w:after="80"/>
              <w:ind w:left="162" w:hanging="193"/>
              <w:rPr>
                <w:rFonts w:eastAsia="Batang"/>
                <w:b/>
                <w:bCs/>
                <w:sz w:val="20"/>
                <w:lang w:eastAsia="ko-KR"/>
              </w:rPr>
            </w:pPr>
            <w:r w:rsidRPr="00677F6E">
              <w:rPr>
                <w:rFonts w:eastAsia="Batang"/>
                <w:b/>
                <w:sz w:val="20"/>
                <w:lang w:eastAsia="ko-KR"/>
              </w:rPr>
              <w:t>Regional or Non-Regional</w:t>
            </w:r>
          </w:p>
        </w:tc>
        <w:tc>
          <w:tcPr>
            <w:tcW w:w="1250" w:type="pct"/>
            <w:tcMar>
              <w:top w:w="0" w:type="dxa"/>
              <w:left w:w="108" w:type="dxa"/>
              <w:bottom w:w="0" w:type="dxa"/>
              <w:right w:w="108" w:type="dxa"/>
            </w:tcMar>
            <w:vAlign w:val="center"/>
          </w:tcPr>
          <w:p w14:paraId="083F944D" w14:textId="77777777" w:rsidR="00040748" w:rsidRPr="00677F6E" w:rsidRDefault="00040748" w:rsidP="00221967">
            <w:pPr>
              <w:widowControl/>
              <w:tabs>
                <w:tab w:val="left" w:pos="1940"/>
              </w:tabs>
              <w:spacing w:before="80" w:after="80"/>
              <w:ind w:left="162" w:hanging="193"/>
              <w:rPr>
                <w:rFonts w:eastAsia="Batang"/>
                <w:sz w:val="20"/>
                <w:lang w:eastAsia="ko-KR"/>
              </w:rPr>
            </w:pPr>
            <w:r w:rsidRPr="00677F6E">
              <w:rPr>
                <w:rFonts w:eastAsia="Batang"/>
                <w:sz w:val="20"/>
                <w:lang w:eastAsia="ko-KR"/>
              </w:rPr>
              <w:t>Non-Regional</w:t>
            </w:r>
          </w:p>
        </w:tc>
        <w:tc>
          <w:tcPr>
            <w:tcW w:w="1250" w:type="pct"/>
            <w:shd w:val="clear" w:color="auto" w:fill="F2F2F2"/>
            <w:tcMar>
              <w:top w:w="0" w:type="dxa"/>
              <w:left w:w="108" w:type="dxa"/>
              <w:bottom w:w="0" w:type="dxa"/>
              <w:right w:w="108" w:type="dxa"/>
            </w:tcMar>
            <w:vAlign w:val="center"/>
          </w:tcPr>
          <w:p w14:paraId="0A290EA4" w14:textId="77777777" w:rsidR="00040748" w:rsidRPr="00677F6E" w:rsidRDefault="00040748" w:rsidP="00221967">
            <w:pPr>
              <w:widowControl/>
              <w:tabs>
                <w:tab w:val="left" w:pos="1940"/>
              </w:tabs>
              <w:spacing w:before="80" w:after="80"/>
              <w:ind w:left="162" w:hanging="193"/>
              <w:rPr>
                <w:rFonts w:eastAsia="Batang"/>
                <w:b/>
                <w:bCs/>
                <w:sz w:val="20"/>
                <w:lang w:eastAsia="ko-KR"/>
              </w:rPr>
            </w:pPr>
            <w:r w:rsidRPr="00677F6E">
              <w:rPr>
                <w:rFonts w:eastAsia="Batang"/>
                <w:b/>
                <w:sz w:val="20"/>
                <w:lang w:eastAsia="ko-KR"/>
              </w:rPr>
              <w:t xml:space="preserve">Districts in Region </w:t>
            </w:r>
          </w:p>
        </w:tc>
        <w:tc>
          <w:tcPr>
            <w:tcW w:w="1250" w:type="pct"/>
            <w:tcMar>
              <w:top w:w="0" w:type="dxa"/>
              <w:left w:w="108" w:type="dxa"/>
              <w:bottom w:w="0" w:type="dxa"/>
              <w:right w:w="108" w:type="dxa"/>
            </w:tcMar>
            <w:vAlign w:val="center"/>
          </w:tcPr>
          <w:p w14:paraId="642353B0" w14:textId="77777777" w:rsidR="00040748" w:rsidRPr="00677F6E" w:rsidRDefault="00040748" w:rsidP="00221967">
            <w:pPr>
              <w:widowControl/>
              <w:tabs>
                <w:tab w:val="left" w:pos="1940"/>
              </w:tabs>
              <w:spacing w:before="40" w:after="40"/>
              <w:rPr>
                <w:rFonts w:eastAsia="Batang"/>
                <w:sz w:val="20"/>
                <w:lang w:eastAsia="ko-KR"/>
              </w:rPr>
            </w:pPr>
            <w:r w:rsidRPr="00677F6E">
              <w:rPr>
                <w:rFonts w:eastAsia="Batang"/>
                <w:sz w:val="20"/>
                <w:lang w:eastAsia="ko-KR"/>
              </w:rPr>
              <w:t>N/A</w:t>
            </w:r>
          </w:p>
        </w:tc>
      </w:tr>
      <w:tr w:rsidR="00040748" w:rsidRPr="00677F6E" w14:paraId="044D1533" w14:textId="77777777" w:rsidTr="00221967">
        <w:trPr>
          <w:trHeight w:val="20"/>
        </w:trPr>
        <w:tc>
          <w:tcPr>
            <w:tcW w:w="1250" w:type="pct"/>
            <w:shd w:val="clear" w:color="auto" w:fill="F2F2F2"/>
            <w:tcMar>
              <w:top w:w="0" w:type="dxa"/>
              <w:left w:w="108" w:type="dxa"/>
              <w:bottom w:w="0" w:type="dxa"/>
              <w:right w:w="108" w:type="dxa"/>
            </w:tcMar>
            <w:vAlign w:val="center"/>
          </w:tcPr>
          <w:p w14:paraId="6C5C3E88" w14:textId="77777777" w:rsidR="00040748" w:rsidRPr="00677F6E" w:rsidRDefault="00040748" w:rsidP="00221967">
            <w:pPr>
              <w:widowControl/>
              <w:tabs>
                <w:tab w:val="left" w:pos="1940"/>
              </w:tabs>
              <w:spacing w:before="80" w:after="80"/>
              <w:ind w:left="162" w:hanging="193"/>
              <w:rPr>
                <w:rFonts w:eastAsia="Batang"/>
                <w:b/>
                <w:bCs/>
                <w:sz w:val="20"/>
                <w:lang w:eastAsia="ko-KR"/>
              </w:rPr>
            </w:pPr>
            <w:r w:rsidRPr="00677F6E">
              <w:rPr>
                <w:rFonts w:eastAsia="Batang"/>
                <w:b/>
                <w:sz w:val="20"/>
                <w:lang w:eastAsia="ko-KR"/>
              </w:rPr>
              <w:t>Maximum Enrollment</w:t>
            </w:r>
          </w:p>
        </w:tc>
        <w:tc>
          <w:tcPr>
            <w:tcW w:w="1250" w:type="pct"/>
            <w:tcMar>
              <w:top w:w="0" w:type="dxa"/>
              <w:left w:w="108" w:type="dxa"/>
              <w:bottom w:w="0" w:type="dxa"/>
              <w:right w:w="108" w:type="dxa"/>
            </w:tcMar>
            <w:vAlign w:val="center"/>
          </w:tcPr>
          <w:p w14:paraId="29D7D388" w14:textId="77777777" w:rsidR="00040748" w:rsidRPr="00677F6E" w:rsidRDefault="00040748" w:rsidP="00221967">
            <w:pPr>
              <w:widowControl/>
              <w:tabs>
                <w:tab w:val="left" w:pos="1940"/>
              </w:tabs>
              <w:spacing w:before="80" w:after="80"/>
              <w:ind w:left="162" w:hanging="193"/>
              <w:rPr>
                <w:rFonts w:eastAsia="Batang"/>
                <w:sz w:val="20"/>
                <w:lang w:eastAsia="ko-KR"/>
              </w:rPr>
            </w:pPr>
            <w:r w:rsidRPr="00677F6E">
              <w:rPr>
                <w:rFonts w:eastAsia="Batang"/>
                <w:sz w:val="20"/>
                <w:lang w:eastAsia="ko-KR"/>
              </w:rPr>
              <w:t>644</w:t>
            </w:r>
          </w:p>
        </w:tc>
        <w:tc>
          <w:tcPr>
            <w:tcW w:w="1250" w:type="pct"/>
            <w:shd w:val="clear" w:color="auto" w:fill="F2F2F2"/>
            <w:tcMar>
              <w:top w:w="0" w:type="dxa"/>
              <w:left w:w="108" w:type="dxa"/>
              <w:bottom w:w="0" w:type="dxa"/>
              <w:right w:w="108" w:type="dxa"/>
            </w:tcMar>
            <w:vAlign w:val="center"/>
          </w:tcPr>
          <w:p w14:paraId="57DAC014" w14:textId="77777777" w:rsidR="00040748" w:rsidRPr="00677F6E" w:rsidRDefault="00040748" w:rsidP="00221967">
            <w:pPr>
              <w:widowControl/>
              <w:tabs>
                <w:tab w:val="left" w:pos="1940"/>
              </w:tabs>
              <w:spacing w:before="80" w:after="80"/>
              <w:ind w:left="162" w:hanging="193"/>
              <w:rPr>
                <w:rFonts w:eastAsia="Batang"/>
                <w:b/>
                <w:bCs/>
                <w:sz w:val="20"/>
                <w:lang w:eastAsia="ko-KR"/>
              </w:rPr>
            </w:pPr>
            <w:r>
              <w:rPr>
                <w:rFonts w:eastAsia="Batang"/>
                <w:b/>
                <w:sz w:val="20"/>
                <w:lang w:eastAsia="ko-KR"/>
              </w:rPr>
              <w:t xml:space="preserve"> </w:t>
            </w:r>
            <w:r w:rsidRPr="00677F6E">
              <w:rPr>
                <w:rFonts w:eastAsia="Batang"/>
                <w:b/>
                <w:sz w:val="20"/>
                <w:lang w:eastAsia="ko-KR"/>
              </w:rPr>
              <w:t>Chartered Grade Span</w:t>
            </w:r>
          </w:p>
        </w:tc>
        <w:tc>
          <w:tcPr>
            <w:tcW w:w="1250" w:type="pct"/>
            <w:tcMar>
              <w:top w:w="0" w:type="dxa"/>
              <w:left w:w="108" w:type="dxa"/>
              <w:bottom w:w="0" w:type="dxa"/>
              <w:right w:w="108" w:type="dxa"/>
            </w:tcMar>
            <w:vAlign w:val="center"/>
          </w:tcPr>
          <w:p w14:paraId="7E079787" w14:textId="77777777" w:rsidR="00040748" w:rsidRPr="00677F6E" w:rsidRDefault="00040748" w:rsidP="00221967">
            <w:pPr>
              <w:widowControl/>
              <w:tabs>
                <w:tab w:val="left" w:pos="1940"/>
              </w:tabs>
              <w:spacing w:before="40" w:after="40"/>
              <w:ind w:left="162" w:hanging="193"/>
              <w:rPr>
                <w:rFonts w:eastAsia="Batang"/>
                <w:sz w:val="20"/>
                <w:lang w:eastAsia="ko-KR"/>
              </w:rPr>
            </w:pPr>
            <w:r>
              <w:rPr>
                <w:rFonts w:eastAsia="Batang"/>
                <w:sz w:val="20"/>
                <w:lang w:eastAsia="ko-KR"/>
              </w:rPr>
              <w:t xml:space="preserve"> </w:t>
            </w:r>
            <w:r w:rsidRPr="00677F6E">
              <w:rPr>
                <w:rFonts w:eastAsia="Batang"/>
                <w:sz w:val="20"/>
                <w:lang w:eastAsia="ko-KR"/>
              </w:rPr>
              <w:t>6-12</w:t>
            </w:r>
          </w:p>
        </w:tc>
      </w:tr>
      <w:tr w:rsidR="005D2B51" w:rsidRPr="00677F6E" w14:paraId="3C13AF3B" w14:textId="77777777" w:rsidTr="00C66993">
        <w:trPr>
          <w:trHeight w:val="20"/>
        </w:trPr>
        <w:tc>
          <w:tcPr>
            <w:tcW w:w="1250" w:type="pct"/>
            <w:shd w:val="clear" w:color="auto" w:fill="F2F2F2"/>
            <w:tcMar>
              <w:top w:w="0" w:type="dxa"/>
              <w:left w:w="108" w:type="dxa"/>
              <w:bottom w:w="0" w:type="dxa"/>
              <w:right w:w="108" w:type="dxa"/>
            </w:tcMar>
          </w:tcPr>
          <w:p w14:paraId="627FA076" w14:textId="082C2867" w:rsidR="005D2B51" w:rsidRPr="005D2B51" w:rsidRDefault="005D2B51" w:rsidP="005D2B51">
            <w:pPr>
              <w:widowControl/>
              <w:tabs>
                <w:tab w:val="left" w:pos="1940"/>
              </w:tabs>
              <w:spacing w:before="80" w:after="80"/>
              <w:ind w:left="162" w:hanging="193"/>
              <w:rPr>
                <w:rFonts w:eastAsia="Batang"/>
                <w:b/>
                <w:sz w:val="20"/>
                <w:lang w:eastAsia="ko-KR"/>
              </w:rPr>
            </w:pPr>
            <w:r w:rsidRPr="005D2B51">
              <w:rPr>
                <w:b/>
                <w:sz w:val="20"/>
              </w:rPr>
              <w:t>Year Opened</w:t>
            </w:r>
          </w:p>
        </w:tc>
        <w:tc>
          <w:tcPr>
            <w:tcW w:w="1250" w:type="pct"/>
            <w:tcMar>
              <w:top w:w="0" w:type="dxa"/>
              <w:left w:w="108" w:type="dxa"/>
              <w:bottom w:w="0" w:type="dxa"/>
              <w:right w:w="108" w:type="dxa"/>
            </w:tcMar>
          </w:tcPr>
          <w:p w14:paraId="553BC64D" w14:textId="07F9C386" w:rsidR="005D2B51" w:rsidRPr="005D2B51" w:rsidRDefault="00C7137A" w:rsidP="005D2B51">
            <w:pPr>
              <w:widowControl/>
              <w:tabs>
                <w:tab w:val="left" w:pos="1940"/>
              </w:tabs>
              <w:spacing w:before="80" w:after="80"/>
              <w:ind w:left="162" w:hanging="193"/>
              <w:rPr>
                <w:rFonts w:eastAsia="Batang"/>
                <w:sz w:val="20"/>
                <w:lang w:eastAsia="ko-KR"/>
              </w:rPr>
            </w:pPr>
            <w:r>
              <w:rPr>
                <w:rFonts w:eastAsia="Batang"/>
                <w:sz w:val="20"/>
                <w:lang w:eastAsia="ko-KR"/>
              </w:rPr>
              <w:t>2014</w:t>
            </w:r>
          </w:p>
        </w:tc>
        <w:tc>
          <w:tcPr>
            <w:tcW w:w="1250" w:type="pct"/>
            <w:shd w:val="clear" w:color="auto" w:fill="F2F2F2"/>
            <w:tcMar>
              <w:top w:w="0" w:type="dxa"/>
              <w:left w:w="108" w:type="dxa"/>
              <w:bottom w:w="0" w:type="dxa"/>
              <w:right w:w="108" w:type="dxa"/>
            </w:tcMar>
          </w:tcPr>
          <w:p w14:paraId="71336657" w14:textId="7DF1A17F" w:rsidR="005D2B51" w:rsidRPr="005D2B51" w:rsidRDefault="005D2B51" w:rsidP="005D2B51">
            <w:pPr>
              <w:widowControl/>
              <w:tabs>
                <w:tab w:val="left" w:pos="1940"/>
              </w:tabs>
              <w:spacing w:before="80" w:after="80"/>
              <w:ind w:left="162" w:hanging="193"/>
              <w:rPr>
                <w:rFonts w:eastAsia="Batang"/>
                <w:b/>
                <w:sz w:val="20"/>
                <w:lang w:eastAsia="ko-KR"/>
              </w:rPr>
            </w:pPr>
            <w:r w:rsidRPr="005D2B51">
              <w:rPr>
                <w:b/>
                <w:sz w:val="20"/>
              </w:rPr>
              <w:t>Year(s) Renewed</w:t>
            </w:r>
          </w:p>
        </w:tc>
        <w:tc>
          <w:tcPr>
            <w:tcW w:w="1250" w:type="pct"/>
            <w:tcMar>
              <w:top w:w="0" w:type="dxa"/>
              <w:left w:w="108" w:type="dxa"/>
              <w:bottom w:w="0" w:type="dxa"/>
              <w:right w:w="108" w:type="dxa"/>
            </w:tcMar>
          </w:tcPr>
          <w:p w14:paraId="5BEA06CC" w14:textId="5DE42892" w:rsidR="005D2B51" w:rsidRPr="005D2B51" w:rsidRDefault="00C53142" w:rsidP="005D2B51">
            <w:pPr>
              <w:widowControl/>
              <w:tabs>
                <w:tab w:val="left" w:pos="1940"/>
              </w:tabs>
              <w:spacing w:before="40" w:after="40"/>
              <w:ind w:left="162" w:hanging="193"/>
              <w:rPr>
                <w:rFonts w:eastAsia="Batang"/>
                <w:sz w:val="20"/>
                <w:lang w:eastAsia="ko-KR"/>
              </w:rPr>
            </w:pPr>
            <w:r>
              <w:rPr>
                <w:rFonts w:eastAsia="Batang"/>
                <w:sz w:val="20"/>
                <w:lang w:eastAsia="ko-KR"/>
              </w:rPr>
              <w:t>2019</w:t>
            </w:r>
          </w:p>
        </w:tc>
      </w:tr>
    </w:tbl>
    <w:p w14:paraId="1C330272" w14:textId="77777777" w:rsidR="00040748" w:rsidRDefault="00040748" w:rsidP="00040748">
      <w:pPr>
        <w:widowControl/>
        <w:rPr>
          <w:b/>
          <w:u w:val="single"/>
        </w:rPr>
      </w:pPr>
    </w:p>
    <w:p w14:paraId="6BF19CBD" w14:textId="312B0969" w:rsidR="00040748" w:rsidRDefault="0068283F" w:rsidP="00040748">
      <w:pPr>
        <w:widowControl/>
      </w:pPr>
      <w:r>
        <w:t xml:space="preserve">ACCS was expected to demonstrate academic improvement by December 2021. </w:t>
      </w:r>
      <w:r w:rsidR="00040748">
        <w:t>I intend to extend the condition on the charter of ACCS as follows.</w:t>
      </w:r>
    </w:p>
    <w:p w14:paraId="2F16E9E2" w14:textId="77777777" w:rsidR="00040748" w:rsidRDefault="00040748" w:rsidP="00040748">
      <w:pPr>
        <w:widowControl/>
      </w:pPr>
    </w:p>
    <w:p w14:paraId="48756D39" w14:textId="5B14DBA8" w:rsidR="008A7699" w:rsidRPr="008A7699" w:rsidRDefault="008A7699" w:rsidP="00040748">
      <w:pPr>
        <w:widowControl/>
        <w:numPr>
          <w:ilvl w:val="0"/>
          <w:numId w:val="23"/>
        </w:numPr>
      </w:pPr>
      <w:r>
        <w:rPr>
          <w:color w:val="000000"/>
        </w:rPr>
        <w:t xml:space="preserve">By </w:t>
      </w:r>
      <w:r w:rsidRPr="00B257C7">
        <w:rPr>
          <w:b/>
          <w:iCs/>
          <w:color w:val="000000"/>
          <w:u w:val="single"/>
        </w:rPr>
        <w:t>December 31, 202</w:t>
      </w:r>
      <w:r>
        <w:rPr>
          <w:b/>
          <w:iCs/>
          <w:color w:val="000000"/>
          <w:u w:val="single"/>
        </w:rPr>
        <w:t>4</w:t>
      </w:r>
      <w:r w:rsidRPr="00122B09">
        <w:rPr>
          <w:color w:val="000000"/>
        </w:rPr>
        <w:t>, the school must demonstrate that it is an academic success by providing evidence that the school has exhibited significant and sustained academic improvement in mathematics, English language arts, and scienc</w:t>
      </w:r>
      <w:r w:rsidR="00CD5E79">
        <w:rPr>
          <w:color w:val="000000"/>
        </w:rPr>
        <w:t>e.</w:t>
      </w:r>
      <w:r>
        <w:rPr>
          <w:color w:val="000000"/>
        </w:rPr>
        <w:t xml:space="preserve"> </w:t>
      </w:r>
      <w:r w:rsidRPr="00A777B5">
        <w:rPr>
          <w:b/>
          <w:bCs/>
          <w:u w:val="single"/>
        </w:rPr>
        <w:t xml:space="preserve">Should the school demonstrate significant and sustained academic improvement before 2024, the Commissioner </w:t>
      </w:r>
      <w:r w:rsidR="004500F8">
        <w:rPr>
          <w:b/>
          <w:bCs/>
          <w:u w:val="single"/>
        </w:rPr>
        <w:t>may</w:t>
      </w:r>
      <w:r w:rsidR="004500F8" w:rsidRPr="00A777B5">
        <w:rPr>
          <w:b/>
          <w:bCs/>
          <w:u w:val="single"/>
        </w:rPr>
        <w:t xml:space="preserve"> </w:t>
      </w:r>
      <w:r w:rsidRPr="00A777B5">
        <w:rPr>
          <w:b/>
          <w:bCs/>
          <w:u w:val="single"/>
        </w:rPr>
        <w:t>consider removing this condition, rather than wait until December 31, 2024.</w:t>
      </w:r>
    </w:p>
    <w:p w14:paraId="23EDDFE1" w14:textId="77777777" w:rsidR="00040748" w:rsidRDefault="00040748" w:rsidP="00040748">
      <w:pPr>
        <w:widowControl/>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7"/>
        <w:gridCol w:w="2337"/>
        <w:gridCol w:w="2338"/>
        <w:gridCol w:w="2338"/>
      </w:tblGrid>
      <w:tr w:rsidR="00040748" w:rsidRPr="000F0579" w14:paraId="18260D03" w14:textId="77777777" w:rsidTr="00221967">
        <w:trPr>
          <w:trHeight w:val="20"/>
        </w:trPr>
        <w:tc>
          <w:tcPr>
            <w:tcW w:w="5000" w:type="pct"/>
            <w:gridSpan w:val="4"/>
            <w:tcBorders>
              <w:bottom w:val="single" w:sz="4" w:space="0" w:color="auto"/>
            </w:tcBorders>
            <w:shd w:val="clear" w:color="auto" w:fill="BFBFBF" w:themeFill="background1" w:themeFillShade="BF"/>
            <w:tcMar>
              <w:top w:w="0" w:type="dxa"/>
              <w:left w:w="108" w:type="dxa"/>
              <w:bottom w:w="0" w:type="dxa"/>
              <w:right w:w="108" w:type="dxa"/>
            </w:tcMar>
          </w:tcPr>
          <w:p w14:paraId="77B28F08" w14:textId="5DF162C8" w:rsidR="00040748" w:rsidRPr="006624A4" w:rsidRDefault="006624A4" w:rsidP="00221967">
            <w:pPr>
              <w:widowControl/>
              <w:spacing w:before="80" w:after="80"/>
              <w:rPr>
                <w:rFonts w:eastAsia="Batang"/>
                <w:b/>
                <w:i/>
                <w:sz w:val="28"/>
                <w:lang w:eastAsia="ko-KR"/>
              </w:rPr>
            </w:pPr>
            <w:r w:rsidRPr="006624A4">
              <w:rPr>
                <w:b/>
              </w:rPr>
              <w:t>Boston Green Academy Horace Mann Charter School</w:t>
            </w:r>
            <w:r w:rsidR="0019703B">
              <w:rPr>
                <w:b/>
              </w:rPr>
              <w:t xml:space="preserve"> </w:t>
            </w:r>
          </w:p>
        </w:tc>
      </w:tr>
      <w:tr w:rsidR="00040748" w:rsidRPr="000F0579" w14:paraId="01E03F46" w14:textId="77777777" w:rsidTr="00221967">
        <w:trPr>
          <w:trHeight w:val="20"/>
        </w:trPr>
        <w:tc>
          <w:tcPr>
            <w:tcW w:w="1250" w:type="pct"/>
            <w:shd w:val="clear" w:color="auto" w:fill="F2F2F2"/>
            <w:tcMar>
              <w:top w:w="0" w:type="dxa"/>
              <w:left w:w="108" w:type="dxa"/>
              <w:bottom w:w="0" w:type="dxa"/>
              <w:right w:w="108" w:type="dxa"/>
            </w:tcMar>
            <w:vAlign w:val="center"/>
          </w:tcPr>
          <w:p w14:paraId="06CDDD2C" w14:textId="77777777" w:rsidR="00040748" w:rsidRPr="000F0579" w:rsidRDefault="00040748" w:rsidP="00221967">
            <w:pPr>
              <w:widowControl/>
              <w:tabs>
                <w:tab w:val="left" w:pos="1940"/>
              </w:tabs>
              <w:spacing w:before="80" w:after="80"/>
              <w:ind w:left="162" w:hanging="193"/>
              <w:rPr>
                <w:rFonts w:eastAsia="Batang"/>
                <w:b/>
                <w:bCs/>
                <w:sz w:val="20"/>
                <w:lang w:eastAsia="ko-KR"/>
              </w:rPr>
            </w:pPr>
            <w:r w:rsidRPr="000F0579">
              <w:rPr>
                <w:rFonts w:eastAsia="Batang"/>
                <w:b/>
                <w:sz w:val="20"/>
                <w:lang w:eastAsia="ko-KR"/>
              </w:rPr>
              <w:t>Type of Charte</w:t>
            </w:r>
            <w:r w:rsidRPr="00677F6E">
              <w:rPr>
                <w:rFonts w:eastAsia="Batang"/>
                <w:b/>
                <w:sz w:val="20"/>
                <w:lang w:eastAsia="ko-KR"/>
              </w:rPr>
              <w:t>r</w:t>
            </w:r>
          </w:p>
        </w:tc>
        <w:tc>
          <w:tcPr>
            <w:tcW w:w="1250" w:type="pct"/>
            <w:tcMar>
              <w:top w:w="0" w:type="dxa"/>
              <w:left w:w="108" w:type="dxa"/>
              <w:bottom w:w="0" w:type="dxa"/>
              <w:right w:w="108" w:type="dxa"/>
            </w:tcMar>
            <w:vAlign w:val="center"/>
          </w:tcPr>
          <w:p w14:paraId="22AA937D" w14:textId="43C84D8A" w:rsidR="00040748" w:rsidRPr="000F0579" w:rsidRDefault="006624A4" w:rsidP="00221967">
            <w:pPr>
              <w:widowControl/>
              <w:tabs>
                <w:tab w:val="left" w:pos="1940"/>
              </w:tabs>
              <w:spacing w:before="80" w:after="80"/>
              <w:ind w:left="162" w:hanging="193"/>
              <w:rPr>
                <w:rFonts w:eastAsia="Batang"/>
                <w:sz w:val="20"/>
                <w:lang w:eastAsia="ko-KR"/>
              </w:rPr>
            </w:pPr>
            <w:r>
              <w:rPr>
                <w:rFonts w:eastAsia="Batang"/>
                <w:sz w:val="20"/>
                <w:lang w:eastAsia="ko-KR"/>
              </w:rPr>
              <w:t>Horace Mann</w:t>
            </w:r>
          </w:p>
        </w:tc>
        <w:tc>
          <w:tcPr>
            <w:tcW w:w="1250" w:type="pct"/>
            <w:shd w:val="clear" w:color="auto" w:fill="F2F2F2"/>
            <w:tcMar>
              <w:top w:w="0" w:type="dxa"/>
              <w:left w:w="108" w:type="dxa"/>
              <w:bottom w:w="0" w:type="dxa"/>
              <w:right w:w="108" w:type="dxa"/>
            </w:tcMar>
            <w:vAlign w:val="center"/>
          </w:tcPr>
          <w:p w14:paraId="04E8E639" w14:textId="77777777" w:rsidR="00040748" w:rsidRPr="000F0579" w:rsidRDefault="00040748" w:rsidP="00221967">
            <w:pPr>
              <w:widowControl/>
              <w:tabs>
                <w:tab w:val="left" w:pos="1940"/>
              </w:tabs>
              <w:spacing w:before="80" w:after="80"/>
              <w:ind w:left="162" w:hanging="193"/>
              <w:rPr>
                <w:rFonts w:eastAsia="Batang"/>
                <w:b/>
                <w:bCs/>
                <w:sz w:val="20"/>
                <w:lang w:eastAsia="ko-KR"/>
              </w:rPr>
            </w:pPr>
            <w:r w:rsidRPr="000F0579">
              <w:rPr>
                <w:rFonts w:eastAsia="Batang"/>
                <w:b/>
                <w:sz w:val="20"/>
                <w:lang w:eastAsia="ko-KR"/>
              </w:rPr>
              <w:t>Location</w:t>
            </w:r>
          </w:p>
        </w:tc>
        <w:tc>
          <w:tcPr>
            <w:tcW w:w="1250" w:type="pct"/>
            <w:tcMar>
              <w:top w:w="0" w:type="dxa"/>
              <w:left w:w="108" w:type="dxa"/>
              <w:bottom w:w="0" w:type="dxa"/>
              <w:right w:w="108" w:type="dxa"/>
            </w:tcMar>
            <w:vAlign w:val="center"/>
          </w:tcPr>
          <w:p w14:paraId="75D4DAF1" w14:textId="361D4EB6" w:rsidR="00040748" w:rsidRPr="000F0579" w:rsidRDefault="006624A4" w:rsidP="00221967">
            <w:pPr>
              <w:widowControl/>
              <w:tabs>
                <w:tab w:val="left" w:pos="1940"/>
              </w:tabs>
              <w:spacing w:before="80" w:after="80"/>
              <w:ind w:left="162" w:hanging="193"/>
              <w:rPr>
                <w:rFonts w:eastAsia="Batang"/>
                <w:sz w:val="20"/>
                <w:lang w:eastAsia="ko-KR"/>
              </w:rPr>
            </w:pPr>
            <w:r>
              <w:rPr>
                <w:rFonts w:eastAsia="Batang"/>
                <w:sz w:val="20"/>
                <w:lang w:eastAsia="ko-KR"/>
              </w:rPr>
              <w:t>Boston</w:t>
            </w:r>
          </w:p>
        </w:tc>
      </w:tr>
      <w:tr w:rsidR="00040748" w:rsidRPr="000F0579" w14:paraId="17F5DB25" w14:textId="77777777" w:rsidTr="00221967">
        <w:trPr>
          <w:trHeight w:val="20"/>
        </w:trPr>
        <w:tc>
          <w:tcPr>
            <w:tcW w:w="1250" w:type="pct"/>
            <w:shd w:val="clear" w:color="auto" w:fill="F2F2F2"/>
            <w:tcMar>
              <w:top w:w="0" w:type="dxa"/>
              <w:left w:w="108" w:type="dxa"/>
              <w:bottom w:w="0" w:type="dxa"/>
              <w:right w:w="108" w:type="dxa"/>
            </w:tcMar>
            <w:vAlign w:val="center"/>
          </w:tcPr>
          <w:p w14:paraId="12E80D51" w14:textId="77777777" w:rsidR="00040748" w:rsidRPr="000F0579" w:rsidRDefault="00040748" w:rsidP="00221967">
            <w:pPr>
              <w:widowControl/>
              <w:tabs>
                <w:tab w:val="left" w:pos="1940"/>
              </w:tabs>
              <w:spacing w:before="80" w:after="80"/>
              <w:ind w:left="162" w:hanging="193"/>
              <w:rPr>
                <w:rFonts w:eastAsia="Batang"/>
                <w:b/>
                <w:bCs/>
                <w:sz w:val="20"/>
                <w:lang w:eastAsia="ko-KR"/>
              </w:rPr>
            </w:pPr>
            <w:r w:rsidRPr="000F0579">
              <w:rPr>
                <w:rFonts w:eastAsia="Batang"/>
                <w:b/>
                <w:sz w:val="20"/>
                <w:lang w:eastAsia="ko-KR"/>
              </w:rPr>
              <w:t>Regional or Non-Regional</w:t>
            </w:r>
          </w:p>
        </w:tc>
        <w:tc>
          <w:tcPr>
            <w:tcW w:w="1250" w:type="pct"/>
            <w:tcMar>
              <w:top w:w="0" w:type="dxa"/>
              <w:left w:w="108" w:type="dxa"/>
              <w:bottom w:w="0" w:type="dxa"/>
              <w:right w:w="108" w:type="dxa"/>
            </w:tcMar>
            <w:vAlign w:val="center"/>
          </w:tcPr>
          <w:p w14:paraId="6B538855" w14:textId="77777777" w:rsidR="00040748" w:rsidRPr="000F0579" w:rsidRDefault="00040748" w:rsidP="00221967">
            <w:pPr>
              <w:widowControl/>
              <w:tabs>
                <w:tab w:val="left" w:pos="1940"/>
              </w:tabs>
              <w:spacing w:before="80" w:after="80"/>
              <w:ind w:left="162" w:hanging="193"/>
              <w:rPr>
                <w:rFonts w:eastAsia="Batang"/>
                <w:sz w:val="20"/>
                <w:lang w:eastAsia="ko-KR"/>
              </w:rPr>
            </w:pPr>
            <w:r w:rsidRPr="000F0579">
              <w:rPr>
                <w:rFonts w:eastAsia="Batang"/>
                <w:sz w:val="20"/>
                <w:lang w:eastAsia="ko-KR"/>
              </w:rPr>
              <w:t>Non-regional</w:t>
            </w:r>
          </w:p>
        </w:tc>
        <w:tc>
          <w:tcPr>
            <w:tcW w:w="1250" w:type="pct"/>
            <w:shd w:val="clear" w:color="auto" w:fill="F2F2F2"/>
            <w:tcMar>
              <w:top w:w="0" w:type="dxa"/>
              <w:left w:w="108" w:type="dxa"/>
              <w:bottom w:w="0" w:type="dxa"/>
              <w:right w:w="108" w:type="dxa"/>
            </w:tcMar>
            <w:vAlign w:val="center"/>
          </w:tcPr>
          <w:p w14:paraId="7EA226A7" w14:textId="77777777" w:rsidR="00040748" w:rsidRPr="000F0579" w:rsidRDefault="00040748" w:rsidP="00221967">
            <w:pPr>
              <w:widowControl/>
              <w:tabs>
                <w:tab w:val="left" w:pos="1940"/>
              </w:tabs>
              <w:spacing w:before="80" w:after="80"/>
              <w:ind w:left="162" w:hanging="193"/>
              <w:rPr>
                <w:rFonts w:eastAsia="Batang"/>
                <w:b/>
                <w:bCs/>
                <w:sz w:val="20"/>
                <w:lang w:eastAsia="ko-KR"/>
              </w:rPr>
            </w:pPr>
            <w:r w:rsidRPr="000F0579">
              <w:rPr>
                <w:rFonts w:eastAsia="Batang"/>
                <w:b/>
                <w:sz w:val="20"/>
                <w:lang w:eastAsia="ko-KR"/>
              </w:rPr>
              <w:t xml:space="preserve">Districts in Region </w:t>
            </w:r>
          </w:p>
        </w:tc>
        <w:tc>
          <w:tcPr>
            <w:tcW w:w="1250" w:type="pct"/>
            <w:tcMar>
              <w:top w:w="0" w:type="dxa"/>
              <w:left w:w="108" w:type="dxa"/>
              <w:bottom w:w="0" w:type="dxa"/>
              <w:right w:w="108" w:type="dxa"/>
            </w:tcMar>
            <w:vAlign w:val="center"/>
          </w:tcPr>
          <w:p w14:paraId="2DB1C596" w14:textId="77777777" w:rsidR="00040748" w:rsidRPr="000F0579" w:rsidRDefault="00040748" w:rsidP="00221967">
            <w:pPr>
              <w:widowControl/>
              <w:tabs>
                <w:tab w:val="left" w:pos="1940"/>
              </w:tabs>
              <w:spacing w:before="80" w:after="80"/>
              <w:ind w:left="162" w:hanging="193"/>
              <w:rPr>
                <w:rFonts w:eastAsia="Batang"/>
                <w:sz w:val="20"/>
                <w:lang w:eastAsia="ko-KR"/>
              </w:rPr>
            </w:pPr>
            <w:r w:rsidRPr="000F0579">
              <w:rPr>
                <w:rFonts w:eastAsia="Batang"/>
                <w:sz w:val="20"/>
                <w:lang w:eastAsia="ko-KR"/>
              </w:rPr>
              <w:t>N/A</w:t>
            </w:r>
          </w:p>
        </w:tc>
      </w:tr>
      <w:tr w:rsidR="00040748" w:rsidRPr="000F0579" w14:paraId="1EDE256C" w14:textId="77777777" w:rsidTr="00221967">
        <w:trPr>
          <w:trHeight w:val="20"/>
        </w:trPr>
        <w:tc>
          <w:tcPr>
            <w:tcW w:w="1250" w:type="pct"/>
            <w:shd w:val="clear" w:color="auto" w:fill="F2F2F2"/>
            <w:tcMar>
              <w:top w:w="0" w:type="dxa"/>
              <w:left w:w="108" w:type="dxa"/>
              <w:bottom w:w="0" w:type="dxa"/>
              <w:right w:w="108" w:type="dxa"/>
            </w:tcMar>
            <w:vAlign w:val="center"/>
          </w:tcPr>
          <w:p w14:paraId="4DE4D123" w14:textId="77777777" w:rsidR="00040748" w:rsidRPr="000F0579" w:rsidRDefault="00040748" w:rsidP="00221967">
            <w:pPr>
              <w:widowControl/>
              <w:tabs>
                <w:tab w:val="left" w:pos="1940"/>
              </w:tabs>
              <w:spacing w:before="80" w:after="80"/>
              <w:ind w:left="162" w:hanging="193"/>
              <w:rPr>
                <w:rFonts w:eastAsia="Batang"/>
                <w:b/>
                <w:bCs/>
                <w:sz w:val="20"/>
                <w:lang w:eastAsia="ko-KR"/>
              </w:rPr>
            </w:pPr>
            <w:r w:rsidRPr="000F0579">
              <w:rPr>
                <w:rFonts w:eastAsia="Batang"/>
                <w:b/>
                <w:sz w:val="20"/>
                <w:lang w:eastAsia="ko-KR"/>
              </w:rPr>
              <w:t>Maximum Enrollment</w:t>
            </w:r>
          </w:p>
        </w:tc>
        <w:tc>
          <w:tcPr>
            <w:tcW w:w="1250" w:type="pct"/>
            <w:tcMar>
              <w:top w:w="0" w:type="dxa"/>
              <w:left w:w="108" w:type="dxa"/>
              <w:bottom w:w="0" w:type="dxa"/>
              <w:right w:w="108" w:type="dxa"/>
            </w:tcMar>
            <w:vAlign w:val="center"/>
          </w:tcPr>
          <w:p w14:paraId="5E381C7B" w14:textId="359338D1" w:rsidR="00040748" w:rsidRPr="000F0579" w:rsidRDefault="00040748" w:rsidP="00221967">
            <w:pPr>
              <w:widowControl/>
              <w:tabs>
                <w:tab w:val="left" w:pos="1940"/>
              </w:tabs>
              <w:spacing w:before="80" w:after="80"/>
              <w:ind w:left="162" w:hanging="193"/>
              <w:rPr>
                <w:rFonts w:eastAsia="Batang"/>
                <w:sz w:val="20"/>
                <w:lang w:eastAsia="ko-KR"/>
              </w:rPr>
            </w:pPr>
            <w:r w:rsidRPr="000F0579">
              <w:rPr>
                <w:rFonts w:eastAsia="Batang"/>
                <w:sz w:val="20"/>
                <w:lang w:eastAsia="ko-KR"/>
              </w:rPr>
              <w:t>5</w:t>
            </w:r>
            <w:r w:rsidR="0019703B">
              <w:rPr>
                <w:rFonts w:eastAsia="Batang"/>
                <w:sz w:val="20"/>
                <w:lang w:eastAsia="ko-KR"/>
              </w:rPr>
              <w:t>95</w:t>
            </w:r>
          </w:p>
        </w:tc>
        <w:tc>
          <w:tcPr>
            <w:tcW w:w="1250" w:type="pct"/>
            <w:shd w:val="clear" w:color="auto" w:fill="F2F2F2"/>
            <w:tcMar>
              <w:top w:w="0" w:type="dxa"/>
              <w:left w:w="108" w:type="dxa"/>
              <w:bottom w:w="0" w:type="dxa"/>
              <w:right w:w="108" w:type="dxa"/>
            </w:tcMar>
            <w:vAlign w:val="center"/>
          </w:tcPr>
          <w:p w14:paraId="29A982B0" w14:textId="77777777" w:rsidR="00040748" w:rsidRPr="000F0579" w:rsidRDefault="00040748" w:rsidP="00221967">
            <w:pPr>
              <w:widowControl/>
              <w:tabs>
                <w:tab w:val="left" w:pos="1940"/>
              </w:tabs>
              <w:spacing w:before="80" w:after="80"/>
              <w:ind w:left="162" w:hanging="193"/>
              <w:rPr>
                <w:rFonts w:eastAsia="Batang"/>
                <w:b/>
                <w:bCs/>
                <w:sz w:val="20"/>
                <w:lang w:eastAsia="ko-KR"/>
              </w:rPr>
            </w:pPr>
            <w:r w:rsidRPr="000F0579">
              <w:rPr>
                <w:rFonts w:eastAsia="Batang"/>
                <w:b/>
                <w:sz w:val="20"/>
                <w:lang w:eastAsia="ko-KR"/>
              </w:rPr>
              <w:t>Chartered Grade Span</w:t>
            </w:r>
          </w:p>
        </w:tc>
        <w:tc>
          <w:tcPr>
            <w:tcW w:w="1250" w:type="pct"/>
            <w:tcMar>
              <w:top w:w="0" w:type="dxa"/>
              <w:left w:w="108" w:type="dxa"/>
              <w:bottom w:w="0" w:type="dxa"/>
              <w:right w:w="108" w:type="dxa"/>
            </w:tcMar>
            <w:vAlign w:val="center"/>
          </w:tcPr>
          <w:p w14:paraId="670751E8" w14:textId="77777777" w:rsidR="00040748" w:rsidRPr="000F0579" w:rsidRDefault="00040748" w:rsidP="00221967">
            <w:pPr>
              <w:widowControl/>
              <w:tabs>
                <w:tab w:val="left" w:pos="1940"/>
              </w:tabs>
              <w:spacing w:before="80" w:after="80"/>
              <w:ind w:left="162" w:hanging="193"/>
              <w:rPr>
                <w:rFonts w:eastAsia="Batang"/>
                <w:sz w:val="20"/>
                <w:highlight w:val="yellow"/>
                <w:lang w:eastAsia="ko-KR"/>
              </w:rPr>
            </w:pPr>
            <w:r w:rsidRPr="000F0579">
              <w:rPr>
                <w:rFonts w:eastAsia="Batang"/>
                <w:sz w:val="20"/>
                <w:lang w:eastAsia="ko-KR"/>
              </w:rPr>
              <w:t>6-12</w:t>
            </w:r>
          </w:p>
        </w:tc>
      </w:tr>
      <w:tr w:rsidR="00686936" w:rsidRPr="005D2B51" w14:paraId="7175AEF7" w14:textId="77777777" w:rsidTr="0068693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63AC69A" w14:textId="77777777" w:rsidR="00686936" w:rsidRPr="005D2B51" w:rsidRDefault="00686936" w:rsidP="00D16E40">
            <w:pPr>
              <w:widowControl/>
              <w:tabs>
                <w:tab w:val="left" w:pos="1940"/>
              </w:tabs>
              <w:spacing w:before="80" w:after="80"/>
              <w:ind w:left="162" w:hanging="193"/>
              <w:rPr>
                <w:rFonts w:eastAsia="Batang"/>
                <w:b/>
                <w:sz w:val="20"/>
                <w:lang w:eastAsia="ko-KR"/>
              </w:rPr>
            </w:pPr>
            <w:r w:rsidRPr="00686936">
              <w:rPr>
                <w:rFonts w:eastAsia="Batang"/>
                <w:b/>
                <w:sz w:val="20"/>
                <w:lang w:eastAsia="ko-KR"/>
              </w:rPr>
              <w:t>Year Opened</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1D019" w14:textId="326FAE93" w:rsidR="00686936" w:rsidRPr="005D2B51" w:rsidRDefault="00686936" w:rsidP="00D16E40">
            <w:pPr>
              <w:widowControl/>
              <w:tabs>
                <w:tab w:val="left" w:pos="1940"/>
              </w:tabs>
              <w:spacing w:before="80" w:after="80"/>
              <w:ind w:left="162" w:hanging="193"/>
              <w:rPr>
                <w:rFonts w:eastAsia="Batang"/>
                <w:sz w:val="20"/>
                <w:lang w:eastAsia="ko-KR"/>
              </w:rPr>
            </w:pPr>
            <w:r>
              <w:rPr>
                <w:rFonts w:eastAsia="Batang"/>
                <w:sz w:val="20"/>
                <w:lang w:eastAsia="ko-KR"/>
              </w:rPr>
              <w:t>2011</w:t>
            </w:r>
          </w:p>
        </w:tc>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CF913DD" w14:textId="77777777" w:rsidR="00686936" w:rsidRPr="005D2B51" w:rsidRDefault="00686936" w:rsidP="00D16E40">
            <w:pPr>
              <w:widowControl/>
              <w:tabs>
                <w:tab w:val="left" w:pos="1940"/>
              </w:tabs>
              <w:spacing w:before="80" w:after="80"/>
              <w:ind w:left="162" w:hanging="193"/>
              <w:rPr>
                <w:rFonts w:eastAsia="Batang"/>
                <w:b/>
                <w:sz w:val="20"/>
                <w:lang w:eastAsia="ko-KR"/>
              </w:rPr>
            </w:pPr>
            <w:r w:rsidRPr="00686936">
              <w:rPr>
                <w:rFonts w:eastAsia="Batang"/>
                <w:b/>
                <w:sz w:val="20"/>
                <w:lang w:eastAsia="ko-KR"/>
              </w:rPr>
              <w:t>Year(s) Renewed</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BFBC0" w14:textId="7BA4C02B" w:rsidR="00686936" w:rsidRPr="005D2B51" w:rsidRDefault="00686936" w:rsidP="00686936">
            <w:pPr>
              <w:widowControl/>
              <w:tabs>
                <w:tab w:val="left" w:pos="1940"/>
              </w:tabs>
              <w:spacing w:before="80" w:after="80"/>
              <w:ind w:left="162" w:hanging="193"/>
              <w:rPr>
                <w:rFonts w:eastAsia="Batang"/>
                <w:sz w:val="20"/>
                <w:lang w:eastAsia="ko-KR"/>
              </w:rPr>
            </w:pPr>
            <w:r>
              <w:rPr>
                <w:rFonts w:eastAsia="Batang"/>
                <w:sz w:val="20"/>
                <w:lang w:eastAsia="ko-KR"/>
              </w:rPr>
              <w:t>2016, 2021</w:t>
            </w:r>
          </w:p>
        </w:tc>
      </w:tr>
    </w:tbl>
    <w:p w14:paraId="4B4E688A" w14:textId="77777777" w:rsidR="00040748" w:rsidRDefault="00040748" w:rsidP="00040748">
      <w:pPr>
        <w:widowControl/>
        <w:rPr>
          <w:b/>
          <w:u w:val="single"/>
        </w:rPr>
      </w:pPr>
    </w:p>
    <w:p w14:paraId="1A0D5AD7" w14:textId="564754E8" w:rsidR="00040748" w:rsidRDefault="0068283F" w:rsidP="00040748">
      <w:pPr>
        <w:widowControl/>
        <w:rPr>
          <w:szCs w:val="22"/>
        </w:rPr>
      </w:pPr>
      <w:r>
        <w:rPr>
          <w:szCs w:val="22"/>
        </w:rPr>
        <w:t xml:space="preserve">BGA was expected to demonstrate academic improvement by December 2023. </w:t>
      </w:r>
      <w:r w:rsidR="00040748">
        <w:rPr>
          <w:szCs w:val="22"/>
        </w:rPr>
        <w:t xml:space="preserve">I intend to extend the condition on the charter of </w:t>
      </w:r>
      <w:r w:rsidR="0019703B">
        <w:rPr>
          <w:szCs w:val="22"/>
        </w:rPr>
        <w:t>BGA</w:t>
      </w:r>
      <w:r w:rsidR="00040748">
        <w:rPr>
          <w:szCs w:val="22"/>
        </w:rPr>
        <w:t xml:space="preserve"> </w:t>
      </w:r>
      <w:r w:rsidR="00040748">
        <w:t>as follows.</w:t>
      </w:r>
    </w:p>
    <w:p w14:paraId="0D62A261" w14:textId="77777777" w:rsidR="00040748" w:rsidRDefault="00040748" w:rsidP="00040748">
      <w:pPr>
        <w:widowControl/>
        <w:rPr>
          <w:szCs w:val="22"/>
        </w:rPr>
      </w:pPr>
    </w:p>
    <w:p w14:paraId="3AB4DD75" w14:textId="09913169" w:rsidR="0068283F" w:rsidRPr="008A7699" w:rsidRDefault="0068283F" w:rsidP="0068283F">
      <w:pPr>
        <w:widowControl/>
        <w:numPr>
          <w:ilvl w:val="0"/>
          <w:numId w:val="30"/>
        </w:numPr>
      </w:pPr>
      <w:r>
        <w:rPr>
          <w:color w:val="000000"/>
        </w:rPr>
        <w:t xml:space="preserve">By </w:t>
      </w:r>
      <w:r w:rsidRPr="00B257C7">
        <w:rPr>
          <w:b/>
          <w:iCs/>
          <w:color w:val="000000"/>
          <w:u w:val="single"/>
        </w:rPr>
        <w:t>December 31, 202</w:t>
      </w:r>
      <w:r>
        <w:rPr>
          <w:b/>
          <w:iCs/>
          <w:color w:val="000000"/>
          <w:u w:val="single"/>
        </w:rPr>
        <w:t>4</w:t>
      </w:r>
      <w:r w:rsidRPr="00122B09">
        <w:rPr>
          <w:color w:val="000000"/>
        </w:rPr>
        <w:t>, the school must demonstrate that it is an academic success by providing evidence that the school has exhibited significant and sustained academic improvement in mathematics, English language arts, and scienc</w:t>
      </w:r>
      <w:r>
        <w:rPr>
          <w:color w:val="000000"/>
        </w:rPr>
        <w:t xml:space="preserve">e. </w:t>
      </w:r>
      <w:r w:rsidRPr="00A777B5">
        <w:rPr>
          <w:b/>
          <w:bCs/>
          <w:u w:val="single"/>
        </w:rPr>
        <w:t xml:space="preserve">Should the school demonstrate significant and sustained academic improvement before 2024, the Commissioner </w:t>
      </w:r>
      <w:r w:rsidR="001A6821">
        <w:rPr>
          <w:b/>
          <w:bCs/>
          <w:u w:val="single"/>
        </w:rPr>
        <w:t>may</w:t>
      </w:r>
      <w:r w:rsidR="001A6821" w:rsidRPr="00A777B5">
        <w:rPr>
          <w:b/>
          <w:bCs/>
          <w:u w:val="single"/>
        </w:rPr>
        <w:t xml:space="preserve"> </w:t>
      </w:r>
      <w:r w:rsidRPr="00A777B5">
        <w:rPr>
          <w:b/>
          <w:bCs/>
          <w:u w:val="single"/>
        </w:rPr>
        <w:t>consider removing this condition, rather than wait until December 31, 2024.</w:t>
      </w:r>
    </w:p>
    <w:p w14:paraId="335EC0DE" w14:textId="77777777" w:rsidR="00040748" w:rsidRDefault="00040748" w:rsidP="00040748">
      <w:pPr>
        <w:widowControl/>
      </w:pPr>
    </w:p>
    <w:tbl>
      <w:tblPr>
        <w:tblStyle w:val="TableGrid"/>
        <w:tblW w:w="0" w:type="auto"/>
        <w:tblLook w:val="04A0" w:firstRow="1" w:lastRow="0" w:firstColumn="1" w:lastColumn="0" w:noHBand="0" w:noVBand="1"/>
        <w:tblCaption w:val="Charter School Info Table"/>
      </w:tblPr>
      <w:tblGrid>
        <w:gridCol w:w="2338"/>
        <w:gridCol w:w="2352"/>
        <w:gridCol w:w="2338"/>
        <w:gridCol w:w="2322"/>
      </w:tblGrid>
      <w:tr w:rsidR="00040748" w:rsidRPr="001C0A28" w14:paraId="5893BFF5" w14:textId="77777777" w:rsidTr="00927374">
        <w:trPr>
          <w:tblHeader/>
        </w:trPr>
        <w:tc>
          <w:tcPr>
            <w:tcW w:w="9350" w:type="dxa"/>
            <w:gridSpan w:val="4"/>
            <w:shd w:val="clear" w:color="auto" w:fill="BFBFBF" w:themeFill="background1" w:themeFillShade="BF"/>
          </w:tcPr>
          <w:p w14:paraId="5519C47D" w14:textId="15153377" w:rsidR="00040748" w:rsidRPr="001C0A28" w:rsidRDefault="00040748" w:rsidP="00221967">
            <w:pPr>
              <w:widowControl/>
              <w:spacing w:before="80" w:after="80"/>
              <w:rPr>
                <w:rFonts w:eastAsiaTheme="minorEastAsia"/>
                <w:b/>
                <w:snapToGrid/>
                <w:szCs w:val="24"/>
                <w:lang w:bidi="en-US"/>
              </w:rPr>
            </w:pPr>
            <w:r w:rsidRPr="001C0A28">
              <w:rPr>
                <w:rFonts w:eastAsiaTheme="minorEastAsia"/>
                <w:b/>
                <w:snapToGrid/>
                <w:szCs w:val="24"/>
                <w:lang w:bidi="en-US"/>
              </w:rPr>
              <w:lastRenderedPageBreak/>
              <w:t>Boston Renaissance Charter Public School</w:t>
            </w:r>
            <w:r w:rsidR="00892680">
              <w:rPr>
                <w:rFonts w:eastAsiaTheme="minorEastAsia"/>
                <w:b/>
                <w:snapToGrid/>
                <w:szCs w:val="24"/>
                <w:lang w:bidi="en-US"/>
              </w:rPr>
              <w:t xml:space="preserve"> </w:t>
            </w:r>
          </w:p>
        </w:tc>
      </w:tr>
      <w:tr w:rsidR="00040748" w:rsidRPr="001C0A28" w14:paraId="5DEFDCDB" w14:textId="77777777" w:rsidTr="00927374">
        <w:trPr>
          <w:tblHeader/>
        </w:trPr>
        <w:tc>
          <w:tcPr>
            <w:tcW w:w="2338" w:type="dxa"/>
            <w:shd w:val="clear" w:color="auto" w:fill="F2F2F2" w:themeFill="background1" w:themeFillShade="F2"/>
          </w:tcPr>
          <w:p w14:paraId="3737FDF6"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Type of Charter</w:t>
            </w:r>
          </w:p>
        </w:tc>
        <w:tc>
          <w:tcPr>
            <w:tcW w:w="2352" w:type="dxa"/>
          </w:tcPr>
          <w:p w14:paraId="7A1685AE" w14:textId="77777777" w:rsidR="00040748" w:rsidRPr="001C0A28" w:rsidRDefault="00040748" w:rsidP="00221967">
            <w:pPr>
              <w:widowControl/>
              <w:spacing w:before="80" w:after="80"/>
              <w:rPr>
                <w:rFonts w:eastAsiaTheme="minorEastAsia"/>
                <w:snapToGrid/>
                <w:sz w:val="20"/>
                <w:szCs w:val="24"/>
                <w:lang w:bidi="en-US"/>
              </w:rPr>
            </w:pPr>
            <w:r w:rsidRPr="001C0A28">
              <w:rPr>
                <w:rFonts w:eastAsiaTheme="minorEastAsia"/>
                <w:snapToGrid/>
                <w:sz w:val="20"/>
                <w:szCs w:val="24"/>
                <w:lang w:bidi="en-US"/>
              </w:rPr>
              <w:t>Commonwealth</w:t>
            </w:r>
          </w:p>
        </w:tc>
        <w:tc>
          <w:tcPr>
            <w:tcW w:w="2338" w:type="dxa"/>
            <w:shd w:val="clear" w:color="auto" w:fill="F2F2F2" w:themeFill="background1" w:themeFillShade="F2"/>
          </w:tcPr>
          <w:p w14:paraId="4D1350B5"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Location</w:t>
            </w:r>
          </w:p>
        </w:tc>
        <w:tc>
          <w:tcPr>
            <w:tcW w:w="2322" w:type="dxa"/>
          </w:tcPr>
          <w:p w14:paraId="790C0A30" w14:textId="77777777" w:rsidR="00040748" w:rsidRPr="001C0A28" w:rsidRDefault="00040748" w:rsidP="00221967">
            <w:pPr>
              <w:widowControl/>
              <w:spacing w:before="80" w:after="80"/>
              <w:rPr>
                <w:rFonts w:eastAsiaTheme="minorEastAsia"/>
                <w:snapToGrid/>
                <w:sz w:val="20"/>
                <w:szCs w:val="24"/>
                <w:lang w:bidi="en-US"/>
              </w:rPr>
            </w:pPr>
            <w:r w:rsidRPr="001C0A28">
              <w:rPr>
                <w:rFonts w:eastAsiaTheme="minorEastAsia"/>
                <w:snapToGrid/>
                <w:sz w:val="20"/>
                <w:szCs w:val="24"/>
                <w:lang w:bidi="en-US"/>
              </w:rPr>
              <w:t>Boston</w:t>
            </w:r>
          </w:p>
        </w:tc>
      </w:tr>
      <w:tr w:rsidR="00040748" w:rsidRPr="001C0A28" w14:paraId="47AB2810" w14:textId="77777777" w:rsidTr="00927374">
        <w:trPr>
          <w:tblHeader/>
        </w:trPr>
        <w:tc>
          <w:tcPr>
            <w:tcW w:w="2338" w:type="dxa"/>
            <w:shd w:val="clear" w:color="auto" w:fill="F2F2F2" w:themeFill="background1" w:themeFillShade="F2"/>
          </w:tcPr>
          <w:p w14:paraId="55F89C7E"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Regional or Non-Regional</w:t>
            </w:r>
          </w:p>
        </w:tc>
        <w:tc>
          <w:tcPr>
            <w:tcW w:w="2352" w:type="dxa"/>
          </w:tcPr>
          <w:p w14:paraId="3D986CEF" w14:textId="77777777" w:rsidR="00040748" w:rsidRPr="001C0A28" w:rsidRDefault="00040748" w:rsidP="00221967">
            <w:pPr>
              <w:widowControl/>
              <w:spacing w:before="80" w:after="80"/>
              <w:rPr>
                <w:rFonts w:eastAsiaTheme="minorEastAsia"/>
                <w:snapToGrid/>
                <w:sz w:val="20"/>
                <w:szCs w:val="24"/>
                <w:lang w:bidi="en-US"/>
              </w:rPr>
            </w:pPr>
            <w:r w:rsidRPr="001C0A28">
              <w:rPr>
                <w:rFonts w:eastAsiaTheme="minorEastAsia"/>
                <w:snapToGrid/>
                <w:sz w:val="20"/>
                <w:szCs w:val="24"/>
                <w:lang w:bidi="en-US"/>
              </w:rPr>
              <w:t>Non-Regional</w:t>
            </w:r>
          </w:p>
        </w:tc>
        <w:tc>
          <w:tcPr>
            <w:tcW w:w="2338" w:type="dxa"/>
            <w:shd w:val="clear" w:color="auto" w:fill="F2F2F2" w:themeFill="background1" w:themeFillShade="F2"/>
          </w:tcPr>
          <w:p w14:paraId="1B97DA87"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Districts in Region</w:t>
            </w:r>
          </w:p>
        </w:tc>
        <w:tc>
          <w:tcPr>
            <w:tcW w:w="2322" w:type="dxa"/>
          </w:tcPr>
          <w:p w14:paraId="2BA72E62" w14:textId="77777777" w:rsidR="00040748" w:rsidRPr="001C0A28" w:rsidRDefault="00040748" w:rsidP="00221967">
            <w:pPr>
              <w:widowControl/>
              <w:spacing w:before="80" w:after="80"/>
              <w:rPr>
                <w:rFonts w:eastAsiaTheme="minorEastAsia"/>
                <w:snapToGrid/>
                <w:sz w:val="20"/>
                <w:szCs w:val="24"/>
                <w:lang w:bidi="en-US"/>
              </w:rPr>
            </w:pPr>
            <w:r w:rsidRPr="001C0A28">
              <w:rPr>
                <w:rFonts w:eastAsiaTheme="minorEastAsia"/>
                <w:snapToGrid/>
                <w:sz w:val="20"/>
                <w:szCs w:val="24"/>
                <w:lang w:bidi="en-US"/>
              </w:rPr>
              <w:t>N/A</w:t>
            </w:r>
          </w:p>
        </w:tc>
      </w:tr>
      <w:tr w:rsidR="00040748" w:rsidRPr="001C0A28" w14:paraId="0CA921D0" w14:textId="77777777" w:rsidTr="00927374">
        <w:trPr>
          <w:tblHeader/>
        </w:trPr>
        <w:tc>
          <w:tcPr>
            <w:tcW w:w="2338" w:type="dxa"/>
            <w:shd w:val="clear" w:color="auto" w:fill="F2F2F2" w:themeFill="background1" w:themeFillShade="F2"/>
          </w:tcPr>
          <w:p w14:paraId="0C2CCC13"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Maximum Enrollment</w:t>
            </w:r>
          </w:p>
        </w:tc>
        <w:tc>
          <w:tcPr>
            <w:tcW w:w="2352" w:type="dxa"/>
          </w:tcPr>
          <w:p w14:paraId="2D9DBBB6" w14:textId="77777777" w:rsidR="00040748" w:rsidRPr="001C0A28" w:rsidRDefault="00040748" w:rsidP="00221967">
            <w:pPr>
              <w:widowControl/>
              <w:spacing w:before="80" w:after="80"/>
              <w:rPr>
                <w:rFonts w:eastAsiaTheme="minorEastAsia"/>
                <w:snapToGrid/>
                <w:sz w:val="20"/>
                <w:szCs w:val="24"/>
                <w:lang w:bidi="en-US"/>
              </w:rPr>
            </w:pPr>
            <w:r w:rsidRPr="001C0A28">
              <w:rPr>
                <w:rFonts w:eastAsiaTheme="minorEastAsia"/>
                <w:snapToGrid/>
                <w:sz w:val="20"/>
                <w:szCs w:val="24"/>
                <w:lang w:bidi="en-US"/>
              </w:rPr>
              <w:t>944</w:t>
            </w:r>
          </w:p>
        </w:tc>
        <w:tc>
          <w:tcPr>
            <w:tcW w:w="2338" w:type="dxa"/>
            <w:shd w:val="clear" w:color="auto" w:fill="F2F2F2" w:themeFill="background1" w:themeFillShade="F2"/>
          </w:tcPr>
          <w:p w14:paraId="1737018C"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Chartered Grade Span</w:t>
            </w:r>
          </w:p>
        </w:tc>
        <w:tc>
          <w:tcPr>
            <w:tcW w:w="2322" w:type="dxa"/>
          </w:tcPr>
          <w:p w14:paraId="344315D3" w14:textId="77777777" w:rsidR="00040748" w:rsidRPr="001C0A28" w:rsidRDefault="00040748" w:rsidP="00221967">
            <w:pPr>
              <w:widowControl/>
              <w:spacing w:before="80" w:after="80"/>
              <w:rPr>
                <w:rFonts w:eastAsiaTheme="minorEastAsia"/>
                <w:snapToGrid/>
                <w:sz w:val="20"/>
                <w:szCs w:val="24"/>
                <w:lang w:bidi="en-US"/>
              </w:rPr>
            </w:pPr>
            <w:r w:rsidRPr="001C0A28">
              <w:rPr>
                <w:rFonts w:eastAsiaTheme="minorEastAsia"/>
                <w:snapToGrid/>
                <w:sz w:val="20"/>
                <w:szCs w:val="24"/>
                <w:lang w:bidi="en-US"/>
              </w:rPr>
              <w:t>PK-6</w:t>
            </w:r>
          </w:p>
        </w:tc>
      </w:tr>
      <w:tr w:rsidR="00927374" w:rsidRPr="005D2B51" w14:paraId="2E4CDA89" w14:textId="77777777" w:rsidTr="00927374">
        <w:trPr>
          <w:trHeight w:val="20"/>
        </w:trPr>
        <w:tc>
          <w:tcPr>
            <w:tcW w:w="2338" w:type="dxa"/>
            <w:shd w:val="clear" w:color="auto" w:fill="F2F2F2" w:themeFill="background1" w:themeFillShade="F2"/>
          </w:tcPr>
          <w:p w14:paraId="344D660F" w14:textId="77777777" w:rsidR="00927374" w:rsidRPr="005D2B51" w:rsidRDefault="00927374" w:rsidP="00D16E40">
            <w:pPr>
              <w:widowControl/>
              <w:tabs>
                <w:tab w:val="left" w:pos="1940"/>
              </w:tabs>
              <w:spacing w:before="80" w:after="80"/>
              <w:ind w:left="162" w:hanging="193"/>
              <w:rPr>
                <w:rFonts w:eastAsia="Batang"/>
                <w:b/>
                <w:sz w:val="20"/>
                <w:lang w:eastAsia="ko-KR"/>
              </w:rPr>
            </w:pPr>
            <w:r w:rsidRPr="00686936">
              <w:rPr>
                <w:rFonts w:eastAsia="Batang"/>
                <w:b/>
                <w:sz w:val="20"/>
                <w:lang w:eastAsia="ko-KR"/>
              </w:rPr>
              <w:t>Year Opened</w:t>
            </w:r>
          </w:p>
        </w:tc>
        <w:tc>
          <w:tcPr>
            <w:tcW w:w="2352" w:type="dxa"/>
          </w:tcPr>
          <w:p w14:paraId="1851196E" w14:textId="794439CD" w:rsidR="00927374" w:rsidRPr="005D2B51" w:rsidRDefault="006C621E" w:rsidP="00D16E40">
            <w:pPr>
              <w:widowControl/>
              <w:tabs>
                <w:tab w:val="left" w:pos="1940"/>
              </w:tabs>
              <w:spacing w:before="80" w:after="80"/>
              <w:ind w:left="162" w:hanging="193"/>
              <w:rPr>
                <w:rFonts w:eastAsia="Batang"/>
                <w:sz w:val="20"/>
                <w:lang w:eastAsia="ko-KR"/>
              </w:rPr>
            </w:pPr>
            <w:r>
              <w:rPr>
                <w:rFonts w:eastAsia="Batang"/>
                <w:sz w:val="20"/>
                <w:lang w:eastAsia="ko-KR"/>
              </w:rPr>
              <w:t>1995</w:t>
            </w:r>
          </w:p>
        </w:tc>
        <w:tc>
          <w:tcPr>
            <w:tcW w:w="2338" w:type="dxa"/>
            <w:shd w:val="clear" w:color="auto" w:fill="F2F2F2" w:themeFill="background1" w:themeFillShade="F2"/>
          </w:tcPr>
          <w:p w14:paraId="7A494B7A" w14:textId="77777777" w:rsidR="00927374" w:rsidRPr="005D2B51" w:rsidRDefault="00927374" w:rsidP="00D16E40">
            <w:pPr>
              <w:widowControl/>
              <w:tabs>
                <w:tab w:val="left" w:pos="1940"/>
              </w:tabs>
              <w:spacing w:before="80" w:after="80"/>
              <w:ind w:left="162" w:hanging="193"/>
              <w:rPr>
                <w:rFonts w:eastAsia="Batang"/>
                <w:b/>
                <w:sz w:val="20"/>
                <w:lang w:eastAsia="ko-KR"/>
              </w:rPr>
            </w:pPr>
            <w:r w:rsidRPr="00686936">
              <w:rPr>
                <w:rFonts w:eastAsia="Batang"/>
                <w:b/>
                <w:sz w:val="20"/>
                <w:lang w:eastAsia="ko-KR"/>
              </w:rPr>
              <w:t>Year(s) Renewed</w:t>
            </w:r>
          </w:p>
        </w:tc>
        <w:tc>
          <w:tcPr>
            <w:tcW w:w="2322" w:type="dxa"/>
          </w:tcPr>
          <w:p w14:paraId="68E18233" w14:textId="3A374B69" w:rsidR="00927374" w:rsidRPr="005D2B51" w:rsidRDefault="006C621E" w:rsidP="00D16E40">
            <w:pPr>
              <w:widowControl/>
              <w:tabs>
                <w:tab w:val="left" w:pos="1940"/>
              </w:tabs>
              <w:spacing w:before="80" w:after="80"/>
              <w:ind w:left="162" w:hanging="193"/>
              <w:rPr>
                <w:rFonts w:eastAsia="Batang"/>
                <w:sz w:val="20"/>
                <w:lang w:eastAsia="ko-KR"/>
              </w:rPr>
            </w:pPr>
            <w:r>
              <w:rPr>
                <w:rFonts w:eastAsia="Batang"/>
                <w:sz w:val="20"/>
                <w:lang w:eastAsia="ko-KR"/>
              </w:rPr>
              <w:t xml:space="preserve">2000, 2005, 2010, </w:t>
            </w:r>
            <w:r w:rsidR="00927374">
              <w:rPr>
                <w:rFonts w:eastAsia="Batang"/>
                <w:sz w:val="20"/>
                <w:lang w:eastAsia="ko-KR"/>
              </w:rPr>
              <w:t>201</w:t>
            </w:r>
            <w:r w:rsidR="002C161D">
              <w:rPr>
                <w:rFonts w:eastAsia="Batang"/>
                <w:sz w:val="20"/>
                <w:lang w:eastAsia="ko-KR"/>
              </w:rPr>
              <w:t>5</w:t>
            </w:r>
            <w:r w:rsidR="00927374">
              <w:rPr>
                <w:rFonts w:eastAsia="Batang"/>
                <w:sz w:val="20"/>
                <w:lang w:eastAsia="ko-KR"/>
              </w:rPr>
              <w:t>, 202</w:t>
            </w:r>
            <w:r w:rsidR="002C161D">
              <w:rPr>
                <w:rFonts w:eastAsia="Batang"/>
                <w:sz w:val="20"/>
                <w:lang w:eastAsia="ko-KR"/>
              </w:rPr>
              <w:t>0</w:t>
            </w:r>
          </w:p>
        </w:tc>
      </w:tr>
    </w:tbl>
    <w:p w14:paraId="4F82DA17" w14:textId="77777777" w:rsidR="00040748" w:rsidRPr="001C0A28" w:rsidRDefault="00040748" w:rsidP="00040748">
      <w:pPr>
        <w:widowControl/>
        <w:rPr>
          <w:szCs w:val="24"/>
          <w:u w:val="single"/>
        </w:rPr>
      </w:pPr>
    </w:p>
    <w:p w14:paraId="1002679F" w14:textId="645CD674" w:rsidR="00892680" w:rsidRDefault="00180562" w:rsidP="00892680">
      <w:pPr>
        <w:widowControl/>
        <w:rPr>
          <w:szCs w:val="22"/>
        </w:rPr>
      </w:pPr>
      <w:r>
        <w:rPr>
          <w:szCs w:val="22"/>
        </w:rPr>
        <w:t>BRCPS</w:t>
      </w:r>
      <w:r w:rsidR="00892680">
        <w:rPr>
          <w:szCs w:val="22"/>
        </w:rPr>
        <w:t xml:space="preserve"> was expected to demonstrate academic improvement by December 2023. I intend to extend th</w:t>
      </w:r>
      <w:r w:rsidR="00BB713B">
        <w:rPr>
          <w:szCs w:val="22"/>
        </w:rPr>
        <w:t>is</w:t>
      </w:r>
      <w:r w:rsidR="00892680">
        <w:rPr>
          <w:szCs w:val="22"/>
        </w:rPr>
        <w:t xml:space="preserve"> condition on the charter of B</w:t>
      </w:r>
      <w:r>
        <w:rPr>
          <w:szCs w:val="22"/>
        </w:rPr>
        <w:t>RCPS</w:t>
      </w:r>
      <w:r w:rsidR="00892680">
        <w:rPr>
          <w:szCs w:val="22"/>
        </w:rPr>
        <w:t xml:space="preserve"> </w:t>
      </w:r>
      <w:r w:rsidR="00892680">
        <w:t>as follows.</w:t>
      </w:r>
      <w:r w:rsidR="00D06C3A">
        <w:t xml:space="preserve"> The second condition remains unchanged. </w:t>
      </w:r>
    </w:p>
    <w:p w14:paraId="0A55F192" w14:textId="77777777" w:rsidR="00040748" w:rsidRPr="001C0A28" w:rsidRDefault="00040748" w:rsidP="00040748">
      <w:pPr>
        <w:widowControl/>
        <w:rPr>
          <w:color w:val="000000"/>
        </w:rPr>
      </w:pPr>
    </w:p>
    <w:p w14:paraId="31ADEAE5" w14:textId="589C049E" w:rsidR="00D06C3A" w:rsidRPr="008A7699" w:rsidRDefault="00D06C3A" w:rsidP="00D06C3A">
      <w:pPr>
        <w:widowControl/>
        <w:numPr>
          <w:ilvl w:val="0"/>
          <w:numId w:val="31"/>
        </w:numPr>
      </w:pPr>
      <w:r>
        <w:rPr>
          <w:color w:val="000000"/>
        </w:rPr>
        <w:t xml:space="preserve">By </w:t>
      </w:r>
      <w:r w:rsidRPr="00B257C7">
        <w:rPr>
          <w:b/>
          <w:iCs/>
          <w:color w:val="000000"/>
          <w:u w:val="single"/>
        </w:rPr>
        <w:t>December 31, 202</w:t>
      </w:r>
      <w:r>
        <w:rPr>
          <w:b/>
          <w:iCs/>
          <w:color w:val="000000"/>
          <w:u w:val="single"/>
        </w:rPr>
        <w:t>4</w:t>
      </w:r>
      <w:r w:rsidRPr="00122B09">
        <w:rPr>
          <w:color w:val="000000"/>
        </w:rPr>
        <w:t>, the school must demonstrate that it is an academic success by providing evidence that the school has exhibited significant and sustained academic improvement in mathematics, English language arts, and scienc</w:t>
      </w:r>
      <w:r>
        <w:rPr>
          <w:color w:val="000000"/>
        </w:rPr>
        <w:t xml:space="preserve">e. </w:t>
      </w:r>
      <w:r w:rsidRPr="00A777B5">
        <w:rPr>
          <w:b/>
          <w:bCs/>
          <w:u w:val="single"/>
        </w:rPr>
        <w:t xml:space="preserve">Should the school demonstrate significant and sustained academic improvement before 2024, the Commissioner </w:t>
      </w:r>
      <w:r w:rsidR="001A6821">
        <w:rPr>
          <w:b/>
          <w:bCs/>
          <w:u w:val="single"/>
        </w:rPr>
        <w:t>may</w:t>
      </w:r>
      <w:r w:rsidR="001A6821" w:rsidRPr="00A777B5">
        <w:rPr>
          <w:b/>
          <w:bCs/>
          <w:u w:val="single"/>
        </w:rPr>
        <w:t xml:space="preserve"> </w:t>
      </w:r>
      <w:r w:rsidRPr="00A777B5">
        <w:rPr>
          <w:b/>
          <w:bCs/>
          <w:u w:val="single"/>
        </w:rPr>
        <w:t>consider removing this condition, rather than wait until December 31, 2024.</w:t>
      </w:r>
    </w:p>
    <w:p w14:paraId="7A9C1944" w14:textId="77777777" w:rsidR="00040748" w:rsidRPr="001C0A28" w:rsidRDefault="00040748" w:rsidP="00040748">
      <w:pPr>
        <w:widowControl/>
        <w:ind w:left="720"/>
      </w:pPr>
    </w:p>
    <w:p w14:paraId="518236B2" w14:textId="77777777" w:rsidR="00040748" w:rsidRPr="001C0A28" w:rsidRDefault="00040748" w:rsidP="001145F4">
      <w:pPr>
        <w:widowControl/>
        <w:numPr>
          <w:ilvl w:val="0"/>
          <w:numId w:val="23"/>
        </w:numPr>
        <w:contextualSpacing/>
      </w:pPr>
      <w:r w:rsidRPr="001C0A28">
        <w:t xml:space="preserve">Until further notice, Boston Renaissance Charter Public School must submit on a quarterly basis to the Department of Elementary and Secondary Education (Department), at </w:t>
      </w:r>
      <w:hyperlink r:id="rId14" w:history="1">
        <w:r w:rsidRPr="001C0A28">
          <w:rPr>
            <w:color w:val="0000FF" w:themeColor="hyperlink"/>
            <w:u w:val="single"/>
          </w:rPr>
          <w:t>charterschools@doe.mass.edu</w:t>
        </w:r>
      </w:hyperlink>
      <w:r w:rsidRPr="001C0A28">
        <w:t xml:space="preserve"> or 75 Pleasant St., Malden, MA, 02148, board and committee meeting materials and minutes documenting the board’s efforts to ensure that the school is an academic success.</w:t>
      </w:r>
    </w:p>
    <w:p w14:paraId="0B792136" w14:textId="77777777" w:rsidR="00040748" w:rsidRDefault="00040748" w:rsidP="00040748">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2"/>
        <w:gridCol w:w="2338"/>
        <w:gridCol w:w="2322"/>
      </w:tblGrid>
      <w:tr w:rsidR="00040748" w:rsidRPr="001C0A28" w14:paraId="150A3FF9" w14:textId="77777777" w:rsidTr="00221967">
        <w:trPr>
          <w:tblHeader/>
        </w:trPr>
        <w:tc>
          <w:tcPr>
            <w:tcW w:w="9350" w:type="dxa"/>
            <w:gridSpan w:val="4"/>
            <w:shd w:val="clear" w:color="auto" w:fill="BFBFBF" w:themeFill="background1" w:themeFillShade="BF"/>
          </w:tcPr>
          <w:p w14:paraId="40FBC03A" w14:textId="3F74DCBF" w:rsidR="00040748" w:rsidRPr="001C0A28" w:rsidRDefault="00E60198" w:rsidP="00221967">
            <w:pPr>
              <w:widowControl/>
              <w:spacing w:before="80" w:after="80"/>
              <w:rPr>
                <w:rFonts w:eastAsiaTheme="minorEastAsia"/>
                <w:b/>
                <w:snapToGrid/>
                <w:szCs w:val="24"/>
                <w:lang w:bidi="en-US"/>
              </w:rPr>
            </w:pPr>
            <w:r w:rsidRPr="00DF631B">
              <w:rPr>
                <w:rFonts w:eastAsiaTheme="minorEastAsia"/>
                <w:b/>
                <w:snapToGrid/>
                <w:szCs w:val="24"/>
                <w:lang w:bidi="en-US"/>
              </w:rPr>
              <w:t>Codman Academy Charter Public School</w:t>
            </w:r>
            <w:r w:rsidR="00705DEB">
              <w:rPr>
                <w:rFonts w:eastAsiaTheme="minorEastAsia"/>
                <w:b/>
                <w:snapToGrid/>
                <w:szCs w:val="24"/>
                <w:lang w:bidi="en-US"/>
              </w:rPr>
              <w:t xml:space="preserve"> </w:t>
            </w:r>
          </w:p>
        </w:tc>
      </w:tr>
      <w:tr w:rsidR="00040748" w:rsidRPr="001C0A28" w14:paraId="2FF24DE0" w14:textId="77777777" w:rsidTr="00221967">
        <w:trPr>
          <w:tblHeader/>
        </w:trPr>
        <w:tc>
          <w:tcPr>
            <w:tcW w:w="2338" w:type="dxa"/>
            <w:shd w:val="clear" w:color="auto" w:fill="F2F2F2" w:themeFill="background1" w:themeFillShade="F2"/>
          </w:tcPr>
          <w:p w14:paraId="4544F133"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Type of Charter</w:t>
            </w:r>
          </w:p>
        </w:tc>
        <w:tc>
          <w:tcPr>
            <w:tcW w:w="2352" w:type="dxa"/>
          </w:tcPr>
          <w:p w14:paraId="00E5FEC8" w14:textId="77777777" w:rsidR="00040748" w:rsidRPr="001C0A28" w:rsidRDefault="00040748" w:rsidP="00221967">
            <w:pPr>
              <w:widowControl/>
              <w:spacing w:before="80" w:after="80"/>
              <w:rPr>
                <w:rFonts w:eastAsiaTheme="minorEastAsia"/>
                <w:snapToGrid/>
                <w:sz w:val="20"/>
                <w:szCs w:val="24"/>
                <w:lang w:bidi="en-US"/>
              </w:rPr>
            </w:pPr>
            <w:r w:rsidRPr="001C0A28">
              <w:rPr>
                <w:rFonts w:eastAsiaTheme="minorEastAsia"/>
                <w:snapToGrid/>
                <w:sz w:val="20"/>
                <w:szCs w:val="24"/>
                <w:lang w:bidi="en-US"/>
              </w:rPr>
              <w:t>Commonwealth</w:t>
            </w:r>
          </w:p>
        </w:tc>
        <w:tc>
          <w:tcPr>
            <w:tcW w:w="2338" w:type="dxa"/>
            <w:shd w:val="clear" w:color="auto" w:fill="F2F2F2" w:themeFill="background1" w:themeFillShade="F2"/>
          </w:tcPr>
          <w:p w14:paraId="126BFC8D"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Location</w:t>
            </w:r>
          </w:p>
        </w:tc>
        <w:tc>
          <w:tcPr>
            <w:tcW w:w="2322" w:type="dxa"/>
          </w:tcPr>
          <w:p w14:paraId="53C4620C" w14:textId="77777777" w:rsidR="00040748" w:rsidRPr="001C0A28" w:rsidRDefault="00040748" w:rsidP="00221967">
            <w:pPr>
              <w:widowControl/>
              <w:spacing w:before="80" w:after="80"/>
              <w:rPr>
                <w:rFonts w:eastAsiaTheme="minorEastAsia"/>
                <w:snapToGrid/>
                <w:sz w:val="20"/>
                <w:szCs w:val="24"/>
                <w:lang w:bidi="en-US"/>
              </w:rPr>
            </w:pPr>
            <w:r w:rsidRPr="001C0A28">
              <w:rPr>
                <w:rFonts w:eastAsiaTheme="minorEastAsia"/>
                <w:snapToGrid/>
                <w:sz w:val="20"/>
                <w:szCs w:val="24"/>
                <w:lang w:bidi="en-US"/>
              </w:rPr>
              <w:t>Boston</w:t>
            </w:r>
          </w:p>
        </w:tc>
      </w:tr>
      <w:tr w:rsidR="00040748" w:rsidRPr="001C0A28" w14:paraId="454D88DA" w14:textId="77777777" w:rsidTr="00221967">
        <w:trPr>
          <w:tblHeader/>
        </w:trPr>
        <w:tc>
          <w:tcPr>
            <w:tcW w:w="2338" w:type="dxa"/>
            <w:shd w:val="clear" w:color="auto" w:fill="F2F2F2" w:themeFill="background1" w:themeFillShade="F2"/>
          </w:tcPr>
          <w:p w14:paraId="7DA24E8E"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Regional or Non-Regional</w:t>
            </w:r>
          </w:p>
        </w:tc>
        <w:tc>
          <w:tcPr>
            <w:tcW w:w="2352" w:type="dxa"/>
          </w:tcPr>
          <w:p w14:paraId="56ACA907" w14:textId="77777777" w:rsidR="00040748" w:rsidRPr="001C0A28" w:rsidRDefault="00040748" w:rsidP="00221967">
            <w:pPr>
              <w:widowControl/>
              <w:spacing w:before="80" w:after="80"/>
              <w:rPr>
                <w:rFonts w:eastAsiaTheme="minorEastAsia"/>
                <w:snapToGrid/>
                <w:sz w:val="20"/>
                <w:szCs w:val="24"/>
                <w:lang w:bidi="en-US"/>
              </w:rPr>
            </w:pPr>
            <w:r w:rsidRPr="001C0A28">
              <w:rPr>
                <w:rFonts w:eastAsiaTheme="minorEastAsia"/>
                <w:snapToGrid/>
                <w:sz w:val="20"/>
                <w:szCs w:val="24"/>
                <w:lang w:bidi="en-US"/>
              </w:rPr>
              <w:t>Non-Regional</w:t>
            </w:r>
          </w:p>
        </w:tc>
        <w:tc>
          <w:tcPr>
            <w:tcW w:w="2338" w:type="dxa"/>
            <w:shd w:val="clear" w:color="auto" w:fill="F2F2F2" w:themeFill="background1" w:themeFillShade="F2"/>
          </w:tcPr>
          <w:p w14:paraId="38DD4CBB"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Districts in Region</w:t>
            </w:r>
          </w:p>
        </w:tc>
        <w:tc>
          <w:tcPr>
            <w:tcW w:w="2322" w:type="dxa"/>
          </w:tcPr>
          <w:p w14:paraId="1CD57DF3" w14:textId="77777777" w:rsidR="00040748" w:rsidRPr="001C0A28" w:rsidRDefault="00040748" w:rsidP="00221967">
            <w:pPr>
              <w:widowControl/>
              <w:spacing w:before="80" w:after="80"/>
              <w:rPr>
                <w:rFonts w:eastAsiaTheme="minorEastAsia"/>
                <w:snapToGrid/>
                <w:sz w:val="20"/>
                <w:szCs w:val="24"/>
                <w:lang w:bidi="en-US"/>
              </w:rPr>
            </w:pPr>
            <w:r w:rsidRPr="001C0A28">
              <w:rPr>
                <w:rFonts w:eastAsiaTheme="minorEastAsia"/>
                <w:snapToGrid/>
                <w:sz w:val="20"/>
                <w:szCs w:val="24"/>
                <w:lang w:bidi="en-US"/>
              </w:rPr>
              <w:t>N/A</w:t>
            </w:r>
          </w:p>
        </w:tc>
      </w:tr>
      <w:tr w:rsidR="00040748" w:rsidRPr="001C0A28" w14:paraId="7874C30F" w14:textId="77777777" w:rsidTr="00221967">
        <w:trPr>
          <w:tblHeader/>
        </w:trPr>
        <w:tc>
          <w:tcPr>
            <w:tcW w:w="2338" w:type="dxa"/>
            <w:shd w:val="clear" w:color="auto" w:fill="F2F2F2" w:themeFill="background1" w:themeFillShade="F2"/>
          </w:tcPr>
          <w:p w14:paraId="4A87E82A"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Maximum Enrollment</w:t>
            </w:r>
          </w:p>
        </w:tc>
        <w:tc>
          <w:tcPr>
            <w:tcW w:w="2352" w:type="dxa"/>
          </w:tcPr>
          <w:p w14:paraId="5AE26C59" w14:textId="5663DA32" w:rsidR="00040748" w:rsidRPr="001C0A28" w:rsidRDefault="000D15C4" w:rsidP="00221967">
            <w:pPr>
              <w:widowControl/>
              <w:spacing w:before="80" w:after="80"/>
              <w:rPr>
                <w:rFonts w:eastAsiaTheme="minorEastAsia"/>
                <w:snapToGrid/>
                <w:sz w:val="20"/>
                <w:szCs w:val="24"/>
                <w:lang w:bidi="en-US"/>
              </w:rPr>
            </w:pPr>
            <w:r>
              <w:rPr>
                <w:rFonts w:eastAsiaTheme="minorEastAsia"/>
                <w:snapToGrid/>
                <w:sz w:val="20"/>
                <w:szCs w:val="24"/>
                <w:lang w:bidi="en-US"/>
              </w:rPr>
              <w:t>345</w:t>
            </w:r>
          </w:p>
        </w:tc>
        <w:tc>
          <w:tcPr>
            <w:tcW w:w="2338" w:type="dxa"/>
            <w:shd w:val="clear" w:color="auto" w:fill="F2F2F2" w:themeFill="background1" w:themeFillShade="F2"/>
          </w:tcPr>
          <w:p w14:paraId="3B636B0C" w14:textId="77777777" w:rsidR="00040748" w:rsidRPr="001C0A28" w:rsidRDefault="00040748" w:rsidP="00221967">
            <w:pPr>
              <w:widowControl/>
              <w:spacing w:before="80" w:after="80"/>
              <w:rPr>
                <w:rFonts w:eastAsiaTheme="minorEastAsia"/>
                <w:b/>
                <w:snapToGrid/>
                <w:sz w:val="20"/>
                <w:szCs w:val="24"/>
                <w:lang w:bidi="en-US"/>
              </w:rPr>
            </w:pPr>
            <w:r w:rsidRPr="001C0A28">
              <w:rPr>
                <w:rFonts w:eastAsiaTheme="minorEastAsia"/>
                <w:b/>
                <w:snapToGrid/>
                <w:sz w:val="20"/>
                <w:szCs w:val="24"/>
                <w:lang w:bidi="en-US"/>
              </w:rPr>
              <w:t>Chartered Grade Span</w:t>
            </w:r>
          </w:p>
        </w:tc>
        <w:tc>
          <w:tcPr>
            <w:tcW w:w="2322" w:type="dxa"/>
          </w:tcPr>
          <w:p w14:paraId="700E8798" w14:textId="410C47B1" w:rsidR="00040748" w:rsidRPr="001C0A28" w:rsidRDefault="001B06BF" w:rsidP="00221967">
            <w:pPr>
              <w:widowControl/>
              <w:spacing w:before="80" w:after="80"/>
              <w:rPr>
                <w:rFonts w:eastAsiaTheme="minorEastAsia"/>
                <w:snapToGrid/>
                <w:sz w:val="20"/>
                <w:szCs w:val="24"/>
                <w:lang w:bidi="en-US"/>
              </w:rPr>
            </w:pPr>
            <w:r>
              <w:rPr>
                <w:rFonts w:eastAsiaTheme="minorEastAsia"/>
                <w:snapToGrid/>
                <w:sz w:val="20"/>
                <w:szCs w:val="24"/>
                <w:lang w:bidi="en-US"/>
              </w:rPr>
              <w:t>PK-12</w:t>
            </w:r>
          </w:p>
        </w:tc>
      </w:tr>
      <w:tr w:rsidR="001B06BF" w:rsidRPr="001C0A28" w14:paraId="46D0D741" w14:textId="77777777" w:rsidTr="00221967">
        <w:trPr>
          <w:tblHeader/>
        </w:trPr>
        <w:tc>
          <w:tcPr>
            <w:tcW w:w="2338" w:type="dxa"/>
            <w:shd w:val="clear" w:color="auto" w:fill="F2F2F2" w:themeFill="background1" w:themeFillShade="F2"/>
          </w:tcPr>
          <w:p w14:paraId="3A7F84FE" w14:textId="3E91E11B" w:rsidR="001B06BF" w:rsidRPr="001C0A28" w:rsidRDefault="005B3ED1" w:rsidP="00221967">
            <w:pPr>
              <w:widowControl/>
              <w:spacing w:before="80" w:after="80"/>
              <w:rPr>
                <w:rFonts w:eastAsiaTheme="minorEastAsia"/>
                <w:b/>
                <w:snapToGrid/>
                <w:sz w:val="20"/>
                <w:szCs w:val="24"/>
                <w:lang w:bidi="en-US"/>
              </w:rPr>
            </w:pPr>
            <w:r>
              <w:rPr>
                <w:rFonts w:eastAsiaTheme="minorEastAsia"/>
                <w:b/>
                <w:snapToGrid/>
                <w:sz w:val="20"/>
                <w:szCs w:val="24"/>
                <w:lang w:bidi="en-US"/>
              </w:rPr>
              <w:t>Year Opened</w:t>
            </w:r>
          </w:p>
        </w:tc>
        <w:tc>
          <w:tcPr>
            <w:tcW w:w="2352" w:type="dxa"/>
          </w:tcPr>
          <w:p w14:paraId="491DC563" w14:textId="613ABEA1" w:rsidR="001B06BF" w:rsidRDefault="005B3ED1" w:rsidP="00221967">
            <w:pPr>
              <w:widowControl/>
              <w:spacing w:before="80" w:after="80"/>
              <w:rPr>
                <w:rFonts w:eastAsiaTheme="minorEastAsia"/>
                <w:snapToGrid/>
                <w:sz w:val="20"/>
                <w:szCs w:val="24"/>
                <w:lang w:bidi="en-US"/>
              </w:rPr>
            </w:pPr>
            <w:r>
              <w:rPr>
                <w:rFonts w:eastAsiaTheme="minorEastAsia"/>
                <w:snapToGrid/>
                <w:sz w:val="20"/>
                <w:szCs w:val="24"/>
                <w:lang w:bidi="en-US"/>
              </w:rPr>
              <w:t>2001</w:t>
            </w:r>
          </w:p>
        </w:tc>
        <w:tc>
          <w:tcPr>
            <w:tcW w:w="2338" w:type="dxa"/>
            <w:shd w:val="clear" w:color="auto" w:fill="F2F2F2" w:themeFill="background1" w:themeFillShade="F2"/>
          </w:tcPr>
          <w:p w14:paraId="162A3AE3" w14:textId="309BFBC1" w:rsidR="001B06BF" w:rsidRPr="001C0A28" w:rsidRDefault="00D94D85" w:rsidP="00221967">
            <w:pPr>
              <w:widowControl/>
              <w:spacing w:before="80" w:after="80"/>
              <w:rPr>
                <w:rFonts w:eastAsiaTheme="minorEastAsia"/>
                <w:b/>
                <w:snapToGrid/>
                <w:sz w:val="20"/>
                <w:szCs w:val="24"/>
                <w:lang w:bidi="en-US"/>
              </w:rPr>
            </w:pPr>
            <w:r>
              <w:rPr>
                <w:rFonts w:eastAsiaTheme="minorEastAsia"/>
                <w:b/>
                <w:snapToGrid/>
                <w:sz w:val="20"/>
                <w:szCs w:val="24"/>
                <w:lang w:bidi="en-US"/>
              </w:rPr>
              <w:t>Year</w:t>
            </w:r>
            <w:r w:rsidR="00A70783">
              <w:rPr>
                <w:rFonts w:eastAsiaTheme="minorEastAsia"/>
                <w:b/>
                <w:snapToGrid/>
                <w:sz w:val="20"/>
                <w:szCs w:val="24"/>
                <w:lang w:bidi="en-US"/>
              </w:rPr>
              <w:t>(</w:t>
            </w:r>
            <w:r>
              <w:rPr>
                <w:rFonts w:eastAsiaTheme="minorEastAsia"/>
                <w:b/>
                <w:snapToGrid/>
                <w:sz w:val="20"/>
                <w:szCs w:val="24"/>
                <w:lang w:bidi="en-US"/>
              </w:rPr>
              <w:t>s</w:t>
            </w:r>
            <w:r w:rsidR="00A70783">
              <w:rPr>
                <w:rFonts w:eastAsiaTheme="minorEastAsia"/>
                <w:b/>
                <w:snapToGrid/>
                <w:sz w:val="20"/>
                <w:szCs w:val="24"/>
                <w:lang w:bidi="en-US"/>
              </w:rPr>
              <w:t>)</w:t>
            </w:r>
            <w:r>
              <w:rPr>
                <w:rFonts w:eastAsiaTheme="minorEastAsia"/>
                <w:b/>
                <w:snapToGrid/>
                <w:sz w:val="20"/>
                <w:szCs w:val="24"/>
                <w:lang w:bidi="en-US"/>
              </w:rPr>
              <w:t xml:space="preserve"> Renewed</w:t>
            </w:r>
          </w:p>
        </w:tc>
        <w:tc>
          <w:tcPr>
            <w:tcW w:w="2322" w:type="dxa"/>
          </w:tcPr>
          <w:p w14:paraId="6D21DAB9" w14:textId="178943FF" w:rsidR="001B06BF" w:rsidRDefault="00EB1A4E" w:rsidP="00221967">
            <w:pPr>
              <w:widowControl/>
              <w:spacing w:before="80" w:after="80"/>
              <w:rPr>
                <w:rFonts w:eastAsiaTheme="minorEastAsia"/>
                <w:snapToGrid/>
                <w:sz w:val="20"/>
                <w:szCs w:val="24"/>
                <w:lang w:bidi="en-US"/>
              </w:rPr>
            </w:pPr>
            <w:r w:rsidRPr="00DF631B">
              <w:rPr>
                <w:rFonts w:eastAsiaTheme="minorEastAsia"/>
                <w:snapToGrid/>
                <w:sz w:val="20"/>
                <w:szCs w:val="24"/>
                <w:lang w:bidi="en-US"/>
              </w:rPr>
              <w:t>2006, 2011, 2016</w:t>
            </w:r>
            <w:r>
              <w:rPr>
                <w:rFonts w:eastAsiaTheme="minorEastAsia"/>
                <w:snapToGrid/>
                <w:sz w:val="20"/>
                <w:szCs w:val="24"/>
                <w:lang w:bidi="en-US"/>
              </w:rPr>
              <w:t>, 2021</w:t>
            </w:r>
          </w:p>
        </w:tc>
      </w:tr>
    </w:tbl>
    <w:p w14:paraId="326C0592" w14:textId="77777777" w:rsidR="00040748" w:rsidRPr="00BB7ADF" w:rsidRDefault="00040748" w:rsidP="00040748">
      <w:pPr>
        <w:widowControl/>
        <w:rPr>
          <w:bCs/>
        </w:rPr>
      </w:pPr>
    </w:p>
    <w:p w14:paraId="2C5131CC" w14:textId="013696CB" w:rsidR="00040748" w:rsidRDefault="00237B59" w:rsidP="00040748">
      <w:pPr>
        <w:widowControl/>
        <w:rPr>
          <w:szCs w:val="22"/>
        </w:rPr>
      </w:pPr>
      <w:r>
        <w:rPr>
          <w:szCs w:val="22"/>
        </w:rPr>
        <w:t xml:space="preserve">CACPS was expected to demonstrate academic improvement by December 2023. I intend to extend the condition on the charter of </w:t>
      </w:r>
      <w:r w:rsidR="00FF1F0B">
        <w:rPr>
          <w:szCs w:val="22"/>
        </w:rPr>
        <w:t>CACPS</w:t>
      </w:r>
      <w:r>
        <w:rPr>
          <w:szCs w:val="22"/>
        </w:rPr>
        <w:t xml:space="preserve"> </w:t>
      </w:r>
      <w:r w:rsidR="00BB713B">
        <w:rPr>
          <w:szCs w:val="22"/>
        </w:rPr>
        <w:t>as follows</w:t>
      </w:r>
      <w:r>
        <w:rPr>
          <w:szCs w:val="22"/>
        </w:rPr>
        <w:t>.</w:t>
      </w:r>
    </w:p>
    <w:p w14:paraId="1A2C20F5" w14:textId="77777777" w:rsidR="00237B59" w:rsidRPr="00BB7ADF" w:rsidRDefault="00237B59" w:rsidP="00040748">
      <w:pPr>
        <w:widowControl/>
        <w:rPr>
          <w:bCs/>
        </w:rPr>
      </w:pPr>
    </w:p>
    <w:p w14:paraId="71FC0740" w14:textId="1BA8DAED" w:rsidR="00FF1F0B" w:rsidRPr="008A7699" w:rsidRDefault="00FF1F0B" w:rsidP="00FF1F0B">
      <w:pPr>
        <w:widowControl/>
        <w:numPr>
          <w:ilvl w:val="0"/>
          <w:numId w:val="32"/>
        </w:numPr>
      </w:pPr>
      <w:r>
        <w:rPr>
          <w:color w:val="000000"/>
        </w:rPr>
        <w:t xml:space="preserve">By </w:t>
      </w:r>
      <w:r w:rsidRPr="00B257C7">
        <w:rPr>
          <w:b/>
          <w:iCs/>
          <w:color w:val="000000"/>
          <w:u w:val="single"/>
        </w:rPr>
        <w:t>December 31, 202</w:t>
      </w:r>
      <w:r>
        <w:rPr>
          <w:b/>
          <w:iCs/>
          <w:color w:val="000000"/>
          <w:u w:val="single"/>
        </w:rPr>
        <w:t>4</w:t>
      </w:r>
      <w:r w:rsidRPr="00122B09">
        <w:rPr>
          <w:color w:val="000000"/>
        </w:rPr>
        <w:t>, the school must demonstrate that it is an academic success by providing evidence that the school has exhibited significant and sustained academic improvement in mathematics, English language arts, and scienc</w:t>
      </w:r>
      <w:r>
        <w:rPr>
          <w:color w:val="000000"/>
        </w:rPr>
        <w:t xml:space="preserve">e. </w:t>
      </w:r>
      <w:r w:rsidRPr="00A777B5">
        <w:rPr>
          <w:b/>
          <w:bCs/>
          <w:u w:val="single"/>
        </w:rPr>
        <w:t xml:space="preserve">Should the school demonstrate significant and sustained academic improvement before 2024, the Commissioner </w:t>
      </w:r>
      <w:r w:rsidR="00932CDC">
        <w:rPr>
          <w:b/>
          <w:bCs/>
          <w:u w:val="single"/>
        </w:rPr>
        <w:t>may</w:t>
      </w:r>
      <w:r w:rsidR="00932CDC" w:rsidRPr="00A777B5">
        <w:rPr>
          <w:b/>
          <w:bCs/>
          <w:u w:val="single"/>
        </w:rPr>
        <w:t xml:space="preserve"> </w:t>
      </w:r>
      <w:r w:rsidRPr="00A777B5">
        <w:rPr>
          <w:b/>
          <w:bCs/>
          <w:u w:val="single"/>
        </w:rPr>
        <w:t>consider removing this condition, rather than wait until December 31, 2024.</w:t>
      </w:r>
    </w:p>
    <w:p w14:paraId="1950745C" w14:textId="77777777" w:rsidR="00040748" w:rsidRDefault="00040748" w:rsidP="00040748">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040748" w:rsidRPr="00AE2208" w14:paraId="37276525" w14:textId="77777777" w:rsidTr="00221967">
        <w:trPr>
          <w:tblHeader/>
        </w:trPr>
        <w:tc>
          <w:tcPr>
            <w:tcW w:w="9350" w:type="dxa"/>
            <w:gridSpan w:val="4"/>
            <w:shd w:val="clear" w:color="auto" w:fill="BFBFBF" w:themeFill="background1" w:themeFillShade="BF"/>
          </w:tcPr>
          <w:p w14:paraId="3E8CB5CE" w14:textId="02FAF71D" w:rsidR="00040748" w:rsidRPr="00AE2208" w:rsidRDefault="00A70783" w:rsidP="00221967">
            <w:pPr>
              <w:widowControl/>
              <w:spacing w:before="80" w:after="80"/>
              <w:rPr>
                <w:rFonts w:eastAsiaTheme="minorEastAsia"/>
                <w:b/>
                <w:snapToGrid/>
                <w:szCs w:val="24"/>
                <w:lang w:bidi="en-US"/>
              </w:rPr>
            </w:pPr>
            <w:r>
              <w:rPr>
                <w:rFonts w:eastAsiaTheme="minorEastAsia"/>
                <w:b/>
                <w:snapToGrid/>
                <w:szCs w:val="24"/>
                <w:lang w:bidi="en-US"/>
              </w:rPr>
              <w:lastRenderedPageBreak/>
              <w:t>Springfield</w:t>
            </w:r>
            <w:r w:rsidR="00040748" w:rsidRPr="00AE2208">
              <w:rPr>
                <w:rFonts w:eastAsiaTheme="minorEastAsia"/>
                <w:b/>
                <w:snapToGrid/>
                <w:szCs w:val="24"/>
                <w:lang w:bidi="en-US"/>
              </w:rPr>
              <w:t xml:space="preserve"> International Charter School</w:t>
            </w:r>
          </w:p>
        </w:tc>
      </w:tr>
      <w:tr w:rsidR="00040748" w:rsidRPr="00AE2208" w14:paraId="7BAB73B0" w14:textId="77777777" w:rsidTr="00221967">
        <w:trPr>
          <w:tblHeader/>
        </w:trPr>
        <w:tc>
          <w:tcPr>
            <w:tcW w:w="2334" w:type="dxa"/>
            <w:shd w:val="clear" w:color="auto" w:fill="F2F2F2" w:themeFill="background1" w:themeFillShade="F2"/>
          </w:tcPr>
          <w:p w14:paraId="7D6016F4" w14:textId="77777777" w:rsidR="00040748" w:rsidRPr="00AE2208" w:rsidRDefault="00040748" w:rsidP="00221967">
            <w:pPr>
              <w:widowControl/>
              <w:spacing w:before="80" w:after="80"/>
              <w:rPr>
                <w:rFonts w:eastAsiaTheme="minorEastAsia"/>
                <w:b/>
                <w:snapToGrid/>
                <w:sz w:val="20"/>
                <w:lang w:bidi="en-US"/>
              </w:rPr>
            </w:pPr>
            <w:r w:rsidRPr="00AE2208">
              <w:rPr>
                <w:rFonts w:eastAsiaTheme="minorEastAsia"/>
                <w:b/>
                <w:snapToGrid/>
                <w:sz w:val="20"/>
                <w:lang w:bidi="en-US"/>
              </w:rPr>
              <w:t>Type of Charter</w:t>
            </w:r>
          </w:p>
        </w:tc>
        <w:tc>
          <w:tcPr>
            <w:tcW w:w="2350" w:type="dxa"/>
          </w:tcPr>
          <w:p w14:paraId="6A5D78A9" w14:textId="77777777" w:rsidR="00040748" w:rsidRPr="00AE2208" w:rsidRDefault="00040748" w:rsidP="00221967">
            <w:pPr>
              <w:widowControl/>
              <w:spacing w:before="80" w:after="80"/>
              <w:rPr>
                <w:rFonts w:eastAsiaTheme="minorEastAsia"/>
                <w:snapToGrid/>
                <w:sz w:val="20"/>
                <w:lang w:bidi="en-US"/>
              </w:rPr>
            </w:pPr>
            <w:r w:rsidRPr="00AE2208">
              <w:rPr>
                <w:rFonts w:eastAsiaTheme="minorEastAsia"/>
                <w:snapToGrid/>
                <w:sz w:val="20"/>
                <w:lang w:bidi="en-US"/>
              </w:rPr>
              <w:t>Commonwealth</w:t>
            </w:r>
          </w:p>
        </w:tc>
        <w:tc>
          <w:tcPr>
            <w:tcW w:w="2335" w:type="dxa"/>
            <w:shd w:val="clear" w:color="auto" w:fill="F2F2F2" w:themeFill="background1" w:themeFillShade="F2"/>
          </w:tcPr>
          <w:p w14:paraId="1EEAEC80" w14:textId="77777777" w:rsidR="00040748" w:rsidRPr="00AE2208" w:rsidRDefault="00040748" w:rsidP="00221967">
            <w:pPr>
              <w:widowControl/>
              <w:spacing w:before="80" w:after="80"/>
              <w:rPr>
                <w:rFonts w:eastAsiaTheme="minorEastAsia"/>
                <w:b/>
                <w:snapToGrid/>
                <w:sz w:val="20"/>
                <w:lang w:bidi="en-US"/>
              </w:rPr>
            </w:pPr>
            <w:r w:rsidRPr="00AE2208">
              <w:rPr>
                <w:rFonts w:eastAsiaTheme="minorEastAsia"/>
                <w:b/>
                <w:snapToGrid/>
                <w:sz w:val="20"/>
                <w:lang w:bidi="en-US"/>
              </w:rPr>
              <w:t>Location</w:t>
            </w:r>
          </w:p>
        </w:tc>
        <w:tc>
          <w:tcPr>
            <w:tcW w:w="2331" w:type="dxa"/>
          </w:tcPr>
          <w:p w14:paraId="357F9CB4" w14:textId="77777777" w:rsidR="00040748" w:rsidRPr="00AE2208" w:rsidRDefault="00040748" w:rsidP="00221967">
            <w:pPr>
              <w:widowControl/>
              <w:spacing w:before="80" w:after="80"/>
              <w:rPr>
                <w:rFonts w:eastAsiaTheme="minorEastAsia"/>
                <w:snapToGrid/>
                <w:sz w:val="20"/>
                <w:lang w:bidi="en-US"/>
              </w:rPr>
            </w:pPr>
            <w:r w:rsidRPr="00AE2208">
              <w:rPr>
                <w:rFonts w:eastAsiaTheme="minorEastAsia"/>
                <w:snapToGrid/>
                <w:sz w:val="20"/>
                <w:lang w:bidi="en-US"/>
              </w:rPr>
              <w:t>Springfield</w:t>
            </w:r>
          </w:p>
        </w:tc>
      </w:tr>
      <w:tr w:rsidR="00040748" w:rsidRPr="00AE2208" w14:paraId="226C3CED" w14:textId="77777777" w:rsidTr="00221967">
        <w:trPr>
          <w:tblHeader/>
        </w:trPr>
        <w:tc>
          <w:tcPr>
            <w:tcW w:w="2334" w:type="dxa"/>
            <w:shd w:val="clear" w:color="auto" w:fill="F2F2F2" w:themeFill="background1" w:themeFillShade="F2"/>
          </w:tcPr>
          <w:p w14:paraId="7B822005" w14:textId="77777777" w:rsidR="00040748" w:rsidRPr="00AE2208" w:rsidRDefault="00040748" w:rsidP="00221967">
            <w:pPr>
              <w:widowControl/>
              <w:spacing w:before="80" w:after="80"/>
              <w:rPr>
                <w:rFonts w:eastAsiaTheme="minorEastAsia"/>
                <w:b/>
                <w:snapToGrid/>
                <w:sz w:val="20"/>
                <w:lang w:bidi="en-US"/>
              </w:rPr>
            </w:pPr>
            <w:r w:rsidRPr="00AE2208">
              <w:rPr>
                <w:rFonts w:eastAsiaTheme="minorEastAsia"/>
                <w:b/>
                <w:snapToGrid/>
                <w:sz w:val="20"/>
                <w:lang w:bidi="en-US"/>
              </w:rPr>
              <w:t>Regional or Non-Regional</w:t>
            </w:r>
          </w:p>
        </w:tc>
        <w:tc>
          <w:tcPr>
            <w:tcW w:w="2350" w:type="dxa"/>
          </w:tcPr>
          <w:p w14:paraId="4A134E09" w14:textId="77777777" w:rsidR="00040748" w:rsidRPr="00AE2208" w:rsidRDefault="00040748" w:rsidP="00221967">
            <w:pPr>
              <w:widowControl/>
              <w:spacing w:before="80" w:after="80"/>
              <w:rPr>
                <w:rFonts w:eastAsiaTheme="minorEastAsia"/>
                <w:snapToGrid/>
                <w:sz w:val="20"/>
                <w:lang w:bidi="en-US"/>
              </w:rPr>
            </w:pPr>
            <w:r w:rsidRPr="00AE2208">
              <w:rPr>
                <w:rFonts w:eastAsiaTheme="minorEastAsia"/>
                <w:snapToGrid/>
                <w:sz w:val="20"/>
                <w:lang w:bidi="en-US"/>
              </w:rPr>
              <w:t>Non-Regional</w:t>
            </w:r>
          </w:p>
        </w:tc>
        <w:tc>
          <w:tcPr>
            <w:tcW w:w="2335" w:type="dxa"/>
            <w:shd w:val="clear" w:color="auto" w:fill="F2F2F2" w:themeFill="background1" w:themeFillShade="F2"/>
          </w:tcPr>
          <w:p w14:paraId="61A5909A" w14:textId="77777777" w:rsidR="00040748" w:rsidRPr="00AE2208" w:rsidRDefault="00040748" w:rsidP="00221967">
            <w:pPr>
              <w:widowControl/>
              <w:spacing w:before="80" w:after="80"/>
              <w:rPr>
                <w:rFonts w:eastAsiaTheme="minorEastAsia"/>
                <w:b/>
                <w:snapToGrid/>
                <w:sz w:val="20"/>
                <w:lang w:bidi="en-US"/>
              </w:rPr>
            </w:pPr>
            <w:r w:rsidRPr="00AE2208">
              <w:rPr>
                <w:rFonts w:eastAsiaTheme="minorEastAsia"/>
                <w:b/>
                <w:snapToGrid/>
                <w:sz w:val="20"/>
                <w:lang w:bidi="en-US"/>
              </w:rPr>
              <w:t>Districts in Region</w:t>
            </w:r>
          </w:p>
        </w:tc>
        <w:tc>
          <w:tcPr>
            <w:tcW w:w="2331" w:type="dxa"/>
          </w:tcPr>
          <w:p w14:paraId="27A93BEA" w14:textId="77777777" w:rsidR="00040748" w:rsidRPr="00AE2208" w:rsidRDefault="00040748" w:rsidP="00221967">
            <w:pPr>
              <w:widowControl/>
              <w:spacing w:before="80" w:after="80"/>
              <w:rPr>
                <w:rFonts w:eastAsiaTheme="minorEastAsia"/>
                <w:snapToGrid/>
                <w:sz w:val="20"/>
                <w:lang w:bidi="en-US"/>
              </w:rPr>
            </w:pPr>
            <w:r w:rsidRPr="00AE2208">
              <w:rPr>
                <w:rFonts w:eastAsiaTheme="minorEastAsia"/>
                <w:snapToGrid/>
                <w:sz w:val="20"/>
                <w:lang w:bidi="en-US"/>
              </w:rPr>
              <w:t>N/A</w:t>
            </w:r>
          </w:p>
        </w:tc>
      </w:tr>
      <w:tr w:rsidR="00040748" w:rsidRPr="00AE2208" w14:paraId="4DF39D03" w14:textId="77777777" w:rsidTr="00221967">
        <w:trPr>
          <w:tblHeader/>
        </w:trPr>
        <w:tc>
          <w:tcPr>
            <w:tcW w:w="2334" w:type="dxa"/>
            <w:shd w:val="clear" w:color="auto" w:fill="F2F2F2" w:themeFill="background1" w:themeFillShade="F2"/>
          </w:tcPr>
          <w:p w14:paraId="2D6A1D6D" w14:textId="77777777" w:rsidR="00040748" w:rsidRPr="00AE2208" w:rsidRDefault="00040748" w:rsidP="00221967">
            <w:pPr>
              <w:widowControl/>
              <w:spacing w:before="80" w:after="80"/>
              <w:rPr>
                <w:rFonts w:eastAsiaTheme="minorEastAsia"/>
                <w:b/>
                <w:snapToGrid/>
                <w:sz w:val="20"/>
                <w:lang w:bidi="en-US"/>
              </w:rPr>
            </w:pPr>
            <w:r w:rsidRPr="00AE2208">
              <w:rPr>
                <w:rFonts w:eastAsiaTheme="minorEastAsia"/>
                <w:b/>
                <w:snapToGrid/>
                <w:sz w:val="20"/>
                <w:lang w:bidi="en-US"/>
              </w:rPr>
              <w:t>Maximum Enrollment</w:t>
            </w:r>
          </w:p>
        </w:tc>
        <w:tc>
          <w:tcPr>
            <w:tcW w:w="2350" w:type="dxa"/>
          </w:tcPr>
          <w:p w14:paraId="5AF7A375" w14:textId="77777777" w:rsidR="00040748" w:rsidRPr="00AE2208" w:rsidRDefault="00040748" w:rsidP="00221967">
            <w:pPr>
              <w:widowControl/>
              <w:spacing w:before="80" w:after="80"/>
              <w:rPr>
                <w:rFonts w:eastAsiaTheme="minorEastAsia"/>
                <w:snapToGrid/>
                <w:sz w:val="20"/>
                <w:lang w:bidi="en-US"/>
              </w:rPr>
            </w:pPr>
            <w:r w:rsidRPr="00AE2208">
              <w:rPr>
                <w:rFonts w:eastAsiaTheme="minorEastAsia"/>
                <w:snapToGrid/>
                <w:sz w:val="20"/>
                <w:lang w:bidi="en-US"/>
              </w:rPr>
              <w:t>1,574</w:t>
            </w:r>
          </w:p>
        </w:tc>
        <w:tc>
          <w:tcPr>
            <w:tcW w:w="2335" w:type="dxa"/>
            <w:shd w:val="clear" w:color="auto" w:fill="F2F2F2" w:themeFill="background1" w:themeFillShade="F2"/>
          </w:tcPr>
          <w:p w14:paraId="69469692" w14:textId="77777777" w:rsidR="00040748" w:rsidRPr="00AE2208" w:rsidRDefault="00040748" w:rsidP="00221967">
            <w:pPr>
              <w:widowControl/>
              <w:spacing w:before="80" w:after="80"/>
              <w:rPr>
                <w:rFonts w:eastAsiaTheme="minorEastAsia"/>
                <w:b/>
                <w:snapToGrid/>
                <w:sz w:val="20"/>
                <w:lang w:bidi="en-US"/>
              </w:rPr>
            </w:pPr>
            <w:r w:rsidRPr="00AE2208">
              <w:rPr>
                <w:rFonts w:eastAsiaTheme="minorEastAsia"/>
                <w:b/>
                <w:snapToGrid/>
                <w:sz w:val="20"/>
                <w:lang w:bidi="en-US"/>
              </w:rPr>
              <w:t>Chartered Grade Span</w:t>
            </w:r>
          </w:p>
        </w:tc>
        <w:tc>
          <w:tcPr>
            <w:tcW w:w="2331" w:type="dxa"/>
          </w:tcPr>
          <w:p w14:paraId="540B3B6D" w14:textId="77777777" w:rsidR="00040748" w:rsidRPr="00AE2208" w:rsidRDefault="00040748" w:rsidP="00221967">
            <w:pPr>
              <w:widowControl/>
              <w:spacing w:before="80" w:after="80"/>
              <w:rPr>
                <w:rFonts w:eastAsiaTheme="minorEastAsia"/>
                <w:snapToGrid/>
                <w:sz w:val="20"/>
                <w:lang w:bidi="en-US"/>
              </w:rPr>
            </w:pPr>
            <w:r w:rsidRPr="00AE2208">
              <w:rPr>
                <w:rFonts w:eastAsiaTheme="minorEastAsia"/>
                <w:snapToGrid/>
                <w:sz w:val="20"/>
                <w:lang w:bidi="en-US"/>
              </w:rPr>
              <w:t>K-12</w:t>
            </w:r>
          </w:p>
        </w:tc>
      </w:tr>
      <w:tr w:rsidR="00A70783" w:rsidRPr="00AE2208" w14:paraId="6DB5C046" w14:textId="77777777" w:rsidTr="00221967">
        <w:trPr>
          <w:tblHeader/>
        </w:trPr>
        <w:tc>
          <w:tcPr>
            <w:tcW w:w="2334" w:type="dxa"/>
            <w:shd w:val="clear" w:color="auto" w:fill="F2F2F2" w:themeFill="background1" w:themeFillShade="F2"/>
          </w:tcPr>
          <w:p w14:paraId="53079BDB" w14:textId="58EC4970" w:rsidR="00A70783" w:rsidRPr="00AE2208" w:rsidRDefault="00A70783" w:rsidP="00221967">
            <w:pPr>
              <w:widowControl/>
              <w:spacing w:before="80" w:after="80"/>
              <w:rPr>
                <w:rFonts w:eastAsiaTheme="minorEastAsia"/>
                <w:b/>
                <w:snapToGrid/>
                <w:sz w:val="20"/>
                <w:lang w:bidi="en-US"/>
              </w:rPr>
            </w:pPr>
            <w:r>
              <w:rPr>
                <w:rFonts w:eastAsiaTheme="minorEastAsia"/>
                <w:b/>
                <w:snapToGrid/>
                <w:sz w:val="20"/>
                <w:lang w:bidi="en-US"/>
              </w:rPr>
              <w:t>Year Opened</w:t>
            </w:r>
          </w:p>
        </w:tc>
        <w:tc>
          <w:tcPr>
            <w:tcW w:w="2350" w:type="dxa"/>
          </w:tcPr>
          <w:p w14:paraId="65F3124C" w14:textId="3C836956" w:rsidR="00A70783" w:rsidRPr="00AE2208" w:rsidRDefault="0033682A" w:rsidP="00221967">
            <w:pPr>
              <w:widowControl/>
              <w:spacing w:before="80" w:after="80"/>
              <w:rPr>
                <w:rFonts w:eastAsiaTheme="minorEastAsia"/>
                <w:snapToGrid/>
                <w:sz w:val="20"/>
                <w:lang w:bidi="en-US"/>
              </w:rPr>
            </w:pPr>
            <w:r>
              <w:rPr>
                <w:rFonts w:eastAsiaTheme="minorEastAsia"/>
                <w:snapToGrid/>
                <w:sz w:val="20"/>
                <w:lang w:bidi="en-US"/>
              </w:rPr>
              <w:t>1995</w:t>
            </w:r>
          </w:p>
        </w:tc>
        <w:tc>
          <w:tcPr>
            <w:tcW w:w="2335" w:type="dxa"/>
            <w:shd w:val="clear" w:color="auto" w:fill="F2F2F2" w:themeFill="background1" w:themeFillShade="F2"/>
          </w:tcPr>
          <w:p w14:paraId="3911E379" w14:textId="44070A73" w:rsidR="00A70783" w:rsidRPr="00AE2208" w:rsidRDefault="00A70783" w:rsidP="00221967">
            <w:pPr>
              <w:widowControl/>
              <w:spacing w:before="80" w:after="80"/>
              <w:rPr>
                <w:rFonts w:eastAsiaTheme="minorEastAsia"/>
                <w:b/>
                <w:snapToGrid/>
                <w:sz w:val="20"/>
                <w:lang w:bidi="en-US"/>
              </w:rPr>
            </w:pPr>
            <w:r>
              <w:rPr>
                <w:rFonts w:eastAsiaTheme="minorEastAsia"/>
                <w:b/>
                <w:snapToGrid/>
                <w:sz w:val="20"/>
                <w:lang w:bidi="en-US"/>
              </w:rPr>
              <w:t>Year(s) Renewed</w:t>
            </w:r>
          </w:p>
        </w:tc>
        <w:tc>
          <w:tcPr>
            <w:tcW w:w="2331" w:type="dxa"/>
          </w:tcPr>
          <w:p w14:paraId="7E506814" w14:textId="21081563" w:rsidR="00A70783" w:rsidRPr="00AE2208" w:rsidRDefault="0033682A" w:rsidP="00221967">
            <w:pPr>
              <w:widowControl/>
              <w:spacing w:before="80" w:after="80"/>
              <w:rPr>
                <w:rFonts w:eastAsiaTheme="minorEastAsia"/>
                <w:snapToGrid/>
                <w:sz w:val="20"/>
                <w:lang w:bidi="en-US"/>
              </w:rPr>
            </w:pPr>
            <w:r>
              <w:rPr>
                <w:rFonts w:eastAsia="Batang"/>
                <w:sz w:val="20"/>
                <w:lang w:eastAsia="ko-KR"/>
              </w:rPr>
              <w:t>2000, 2005, 2010, 2015, 2020</w:t>
            </w:r>
          </w:p>
        </w:tc>
      </w:tr>
    </w:tbl>
    <w:p w14:paraId="15DB62D2" w14:textId="77777777" w:rsidR="00040748" w:rsidRPr="00AE2208" w:rsidRDefault="00040748" w:rsidP="00040748">
      <w:pPr>
        <w:widowControl/>
        <w:rPr>
          <w:szCs w:val="24"/>
        </w:rPr>
      </w:pPr>
    </w:p>
    <w:p w14:paraId="1C6AC6E4" w14:textId="6BAADB82" w:rsidR="00040748" w:rsidRDefault="005E5365" w:rsidP="00040748">
      <w:pPr>
        <w:widowControl/>
      </w:pPr>
      <w:r w:rsidRPr="3D8CFD10">
        <w:rPr>
          <w:color w:val="000000" w:themeColor="text1"/>
        </w:rPr>
        <w:t>SICS was expected to demonstrate academic improvement by December 20</w:t>
      </w:r>
      <w:r w:rsidR="001145F4" w:rsidRPr="3D8CFD10">
        <w:rPr>
          <w:color w:val="000000" w:themeColor="text1"/>
        </w:rPr>
        <w:t>2</w:t>
      </w:r>
      <w:r w:rsidRPr="3D8CFD10">
        <w:rPr>
          <w:color w:val="000000" w:themeColor="text1"/>
        </w:rPr>
        <w:t xml:space="preserve">3. </w:t>
      </w:r>
      <w:r w:rsidR="00040748" w:rsidRPr="3D8CFD10">
        <w:rPr>
          <w:color w:val="000000" w:themeColor="text1"/>
        </w:rPr>
        <w:t xml:space="preserve">I intend to extend the first condition imposed on the charter of SICS </w:t>
      </w:r>
      <w:r w:rsidR="00BF12EF" w:rsidRPr="3D8CFD10">
        <w:rPr>
          <w:color w:val="000000" w:themeColor="text1"/>
        </w:rPr>
        <w:t>as follows</w:t>
      </w:r>
      <w:r w:rsidRPr="3D8CFD10">
        <w:rPr>
          <w:color w:val="000000" w:themeColor="text1"/>
        </w:rPr>
        <w:t xml:space="preserve">. </w:t>
      </w:r>
    </w:p>
    <w:p w14:paraId="475CDFEF" w14:textId="77777777" w:rsidR="00040748" w:rsidRPr="00AE2208" w:rsidRDefault="00040748" w:rsidP="00040748">
      <w:pPr>
        <w:widowControl/>
        <w:rPr>
          <w:color w:val="000000"/>
          <w:szCs w:val="24"/>
        </w:rPr>
      </w:pPr>
    </w:p>
    <w:p w14:paraId="297E760A" w14:textId="6AEE595C" w:rsidR="005E5365" w:rsidRPr="008A7699" w:rsidRDefault="005E5365" w:rsidP="005E5365">
      <w:pPr>
        <w:widowControl/>
        <w:numPr>
          <w:ilvl w:val="0"/>
          <w:numId w:val="33"/>
        </w:numPr>
      </w:pPr>
      <w:r>
        <w:rPr>
          <w:color w:val="000000"/>
        </w:rPr>
        <w:t xml:space="preserve">By </w:t>
      </w:r>
      <w:r w:rsidRPr="00B257C7">
        <w:rPr>
          <w:b/>
          <w:iCs/>
          <w:color w:val="000000"/>
          <w:u w:val="single"/>
        </w:rPr>
        <w:t>December 31, 202</w:t>
      </w:r>
      <w:r>
        <w:rPr>
          <w:b/>
          <w:iCs/>
          <w:color w:val="000000"/>
          <w:u w:val="single"/>
        </w:rPr>
        <w:t>4</w:t>
      </w:r>
      <w:r w:rsidRPr="00122B09">
        <w:rPr>
          <w:color w:val="000000"/>
        </w:rPr>
        <w:t>, the school must demonstrate that it is an academic success by providing evidence that the school has exhibited significant and sustained academic improvement in mathematics, English language arts, and scienc</w:t>
      </w:r>
      <w:r>
        <w:rPr>
          <w:color w:val="000000"/>
        </w:rPr>
        <w:t xml:space="preserve">e. </w:t>
      </w:r>
      <w:r w:rsidRPr="00A777B5">
        <w:rPr>
          <w:b/>
          <w:bCs/>
          <w:u w:val="single"/>
        </w:rPr>
        <w:t xml:space="preserve">Should the school demonstrate significant and sustained academic improvement before 2024, the Commissioner </w:t>
      </w:r>
      <w:r w:rsidR="00BF12EF">
        <w:rPr>
          <w:b/>
          <w:bCs/>
          <w:u w:val="single"/>
        </w:rPr>
        <w:t>may</w:t>
      </w:r>
      <w:r w:rsidR="00BF12EF" w:rsidRPr="00A777B5">
        <w:rPr>
          <w:b/>
          <w:bCs/>
          <w:u w:val="single"/>
        </w:rPr>
        <w:t xml:space="preserve"> </w:t>
      </w:r>
      <w:r w:rsidRPr="00A777B5">
        <w:rPr>
          <w:b/>
          <w:bCs/>
          <w:u w:val="single"/>
        </w:rPr>
        <w:t>consider removing this condition, rather than wait until December 31, 2024.</w:t>
      </w:r>
    </w:p>
    <w:p w14:paraId="299CDA32" w14:textId="77777777" w:rsidR="00065E3B" w:rsidRDefault="00065E3B" w:rsidP="00065E3B">
      <w:pPr>
        <w:widowControl/>
        <w:ind w:left="360"/>
      </w:pPr>
    </w:p>
    <w:p w14:paraId="30C8EB79" w14:textId="1BD64411" w:rsidR="00040748" w:rsidRPr="00AE2208" w:rsidRDefault="00065E3B" w:rsidP="006A0C99">
      <w:pPr>
        <w:widowControl/>
        <w:ind w:left="360"/>
      </w:pPr>
      <w:r w:rsidRPr="00BB31E1">
        <w:t xml:space="preserve">The school was operating with a second condition, requiring the school’s board of trustees to update its bylaws and </w:t>
      </w:r>
      <w:r w:rsidR="00EC7587" w:rsidRPr="00BB31E1">
        <w:t xml:space="preserve">the </w:t>
      </w:r>
      <w:r w:rsidRPr="00BB31E1">
        <w:t xml:space="preserve">contract with its education management organization. As of February 2021, the board updated its bylaws. Additionally, on June 30, 2021, SICS </w:t>
      </w:r>
      <w:r w:rsidRPr="00BB31E1">
        <w:rPr>
          <w:color w:val="201F1E"/>
        </w:rPr>
        <w:t>severed its relationship with Springfield Education Management, LLC (SEM), the education management organization that had provided substantially all educational services</w:t>
      </w:r>
      <w:r w:rsidR="006D471B" w:rsidRPr="00BB31E1">
        <w:rPr>
          <w:color w:val="201F1E"/>
        </w:rPr>
        <w:t xml:space="preserve"> to the school. </w:t>
      </w:r>
      <w:r w:rsidRPr="00BB31E1">
        <w:rPr>
          <w:color w:val="201F1E"/>
        </w:rPr>
        <w:t xml:space="preserve">After </w:t>
      </w:r>
      <w:r w:rsidR="002014F9" w:rsidRPr="00BB31E1">
        <w:rPr>
          <w:color w:val="201F1E"/>
        </w:rPr>
        <w:t>the school submitted</w:t>
      </w:r>
      <w:r w:rsidRPr="00BB31E1">
        <w:rPr>
          <w:color w:val="201F1E"/>
        </w:rPr>
        <w:t xml:space="preserve"> a</w:t>
      </w:r>
      <w:r w:rsidR="002014F9" w:rsidRPr="00BB31E1">
        <w:rPr>
          <w:color w:val="201F1E"/>
        </w:rPr>
        <w:t xml:space="preserve"> </w:t>
      </w:r>
      <w:r w:rsidRPr="00BB31E1">
        <w:rPr>
          <w:color w:val="201F1E"/>
        </w:rPr>
        <w:t>plan</w:t>
      </w:r>
      <w:r w:rsidR="006D471B" w:rsidRPr="00BB31E1">
        <w:rPr>
          <w:color w:val="201F1E"/>
        </w:rPr>
        <w:t xml:space="preserve"> </w:t>
      </w:r>
      <w:r w:rsidR="002014F9" w:rsidRPr="00BB31E1">
        <w:rPr>
          <w:color w:val="201F1E"/>
        </w:rPr>
        <w:t>for</w:t>
      </w:r>
      <w:r w:rsidR="006D471B" w:rsidRPr="00BB31E1">
        <w:rPr>
          <w:color w:val="201F1E"/>
        </w:rPr>
        <w:t xml:space="preserve"> transition</w:t>
      </w:r>
      <w:r w:rsidR="00940474" w:rsidRPr="00BB31E1">
        <w:rPr>
          <w:color w:val="201F1E"/>
        </w:rPr>
        <w:t>ing</w:t>
      </w:r>
      <w:r w:rsidR="006D471B" w:rsidRPr="00BB31E1">
        <w:rPr>
          <w:color w:val="201F1E"/>
        </w:rPr>
        <w:t xml:space="preserve"> to self-management</w:t>
      </w:r>
      <w:r w:rsidRPr="00BB31E1">
        <w:rPr>
          <w:color w:val="201F1E"/>
        </w:rPr>
        <w:t xml:space="preserve">, I </w:t>
      </w:r>
      <w:r w:rsidRPr="00BB31E1">
        <w:rPr>
          <w:color w:val="000000" w:themeColor="text1"/>
        </w:rPr>
        <w:t>approved the school’s termination of its management relationship with SEM. In accordance with 603 CMR 1.10, this approval amended the charter as granted to the </w:t>
      </w:r>
      <w:r w:rsidRPr="00BB31E1">
        <w:t xml:space="preserve">SICS. Given these events, I have removed the second condition on the school’s charter. </w:t>
      </w:r>
      <w:r w:rsidR="00940474" w:rsidRPr="00BB31E1">
        <w:t>As noted above, t</w:t>
      </w:r>
      <w:r w:rsidRPr="00BB31E1">
        <w:t>he condition to demonstrate academic success remains.</w:t>
      </w:r>
      <w:r>
        <w:t xml:space="preserve"> </w:t>
      </w:r>
    </w:p>
    <w:p w14:paraId="02A6E70F" w14:textId="160786CE" w:rsidR="00040748" w:rsidRDefault="00040748" w:rsidP="00040748">
      <w:pPr>
        <w:widowControl/>
        <w:rPr>
          <w:szCs w:val="24"/>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3617F3" w:rsidRPr="00AE2208" w14:paraId="3701BB1C" w14:textId="77777777" w:rsidTr="00D16E40">
        <w:trPr>
          <w:tblHeader/>
        </w:trPr>
        <w:tc>
          <w:tcPr>
            <w:tcW w:w="9350" w:type="dxa"/>
            <w:gridSpan w:val="4"/>
            <w:shd w:val="clear" w:color="auto" w:fill="BFBFBF" w:themeFill="background1" w:themeFillShade="BF"/>
          </w:tcPr>
          <w:p w14:paraId="4549B06A" w14:textId="30D4390F" w:rsidR="003617F3" w:rsidRPr="00CB5FBB" w:rsidRDefault="00CB5FBB" w:rsidP="00D16E40">
            <w:pPr>
              <w:widowControl/>
              <w:spacing w:before="80" w:after="80"/>
              <w:rPr>
                <w:rFonts w:eastAsiaTheme="minorEastAsia"/>
                <w:b/>
                <w:szCs w:val="24"/>
                <w:lang w:bidi="en-US"/>
              </w:rPr>
            </w:pPr>
            <w:r>
              <w:rPr>
                <w:rFonts w:eastAsiaTheme="minorEastAsia"/>
                <w:b/>
                <w:szCs w:val="24"/>
                <w:lang w:bidi="en-US"/>
              </w:rPr>
              <w:t>UP Academy Charter School of Boston</w:t>
            </w:r>
          </w:p>
        </w:tc>
      </w:tr>
      <w:tr w:rsidR="003617F3" w:rsidRPr="00AE2208" w14:paraId="78AC3BE9" w14:textId="77777777" w:rsidTr="00D16E40">
        <w:trPr>
          <w:tblHeader/>
        </w:trPr>
        <w:tc>
          <w:tcPr>
            <w:tcW w:w="2334" w:type="dxa"/>
            <w:shd w:val="clear" w:color="auto" w:fill="F2F2F2" w:themeFill="background1" w:themeFillShade="F2"/>
          </w:tcPr>
          <w:p w14:paraId="5873EA87" w14:textId="77777777" w:rsidR="003617F3" w:rsidRPr="00AE2208" w:rsidRDefault="003617F3" w:rsidP="00D16E40">
            <w:pPr>
              <w:widowControl/>
              <w:spacing w:before="80" w:after="80"/>
              <w:rPr>
                <w:rFonts w:eastAsiaTheme="minorEastAsia"/>
                <w:b/>
                <w:snapToGrid/>
                <w:sz w:val="20"/>
                <w:lang w:bidi="en-US"/>
              </w:rPr>
            </w:pPr>
            <w:r w:rsidRPr="00AE2208">
              <w:rPr>
                <w:rFonts w:eastAsiaTheme="minorEastAsia"/>
                <w:b/>
                <w:snapToGrid/>
                <w:sz w:val="20"/>
                <w:lang w:bidi="en-US"/>
              </w:rPr>
              <w:t>Type of Charter</w:t>
            </w:r>
          </w:p>
        </w:tc>
        <w:tc>
          <w:tcPr>
            <w:tcW w:w="2350" w:type="dxa"/>
          </w:tcPr>
          <w:p w14:paraId="71F91036" w14:textId="1C83BB71" w:rsidR="003617F3" w:rsidRPr="00AE2208" w:rsidRDefault="00CB5FBB" w:rsidP="00D16E40">
            <w:pPr>
              <w:widowControl/>
              <w:spacing w:before="80" w:after="80"/>
              <w:rPr>
                <w:rFonts w:eastAsiaTheme="minorEastAsia"/>
                <w:snapToGrid/>
                <w:sz w:val="20"/>
                <w:lang w:bidi="en-US"/>
              </w:rPr>
            </w:pPr>
            <w:r>
              <w:rPr>
                <w:rFonts w:eastAsiaTheme="minorEastAsia"/>
                <w:snapToGrid/>
                <w:sz w:val="20"/>
                <w:lang w:bidi="en-US"/>
              </w:rPr>
              <w:t>Horace Mann</w:t>
            </w:r>
          </w:p>
        </w:tc>
        <w:tc>
          <w:tcPr>
            <w:tcW w:w="2335" w:type="dxa"/>
            <w:shd w:val="clear" w:color="auto" w:fill="F2F2F2" w:themeFill="background1" w:themeFillShade="F2"/>
          </w:tcPr>
          <w:p w14:paraId="7AEFD948" w14:textId="77777777" w:rsidR="003617F3" w:rsidRPr="00AE2208" w:rsidRDefault="003617F3" w:rsidP="00D16E40">
            <w:pPr>
              <w:widowControl/>
              <w:spacing w:before="80" w:after="80"/>
              <w:rPr>
                <w:rFonts w:eastAsiaTheme="minorEastAsia"/>
                <w:b/>
                <w:snapToGrid/>
                <w:sz w:val="20"/>
                <w:lang w:bidi="en-US"/>
              </w:rPr>
            </w:pPr>
            <w:r w:rsidRPr="00AE2208">
              <w:rPr>
                <w:rFonts w:eastAsiaTheme="minorEastAsia"/>
                <w:b/>
                <w:snapToGrid/>
                <w:sz w:val="20"/>
                <w:lang w:bidi="en-US"/>
              </w:rPr>
              <w:t>Location</w:t>
            </w:r>
          </w:p>
        </w:tc>
        <w:tc>
          <w:tcPr>
            <w:tcW w:w="2331" w:type="dxa"/>
          </w:tcPr>
          <w:p w14:paraId="5E6F8E20" w14:textId="1C1E69E7" w:rsidR="003617F3" w:rsidRPr="00AE2208" w:rsidRDefault="00CB5FBB" w:rsidP="00D16E40">
            <w:pPr>
              <w:widowControl/>
              <w:spacing w:before="80" w:after="80"/>
              <w:rPr>
                <w:rFonts w:eastAsiaTheme="minorEastAsia"/>
                <w:snapToGrid/>
                <w:sz w:val="20"/>
                <w:lang w:bidi="en-US"/>
              </w:rPr>
            </w:pPr>
            <w:r>
              <w:rPr>
                <w:rFonts w:eastAsiaTheme="minorEastAsia"/>
                <w:snapToGrid/>
                <w:sz w:val="20"/>
                <w:lang w:bidi="en-US"/>
              </w:rPr>
              <w:t>Boston</w:t>
            </w:r>
          </w:p>
        </w:tc>
      </w:tr>
      <w:tr w:rsidR="003617F3" w:rsidRPr="00AE2208" w14:paraId="6834140B" w14:textId="77777777" w:rsidTr="00D16E40">
        <w:trPr>
          <w:tblHeader/>
        </w:trPr>
        <w:tc>
          <w:tcPr>
            <w:tcW w:w="2334" w:type="dxa"/>
            <w:shd w:val="clear" w:color="auto" w:fill="F2F2F2" w:themeFill="background1" w:themeFillShade="F2"/>
          </w:tcPr>
          <w:p w14:paraId="02835521" w14:textId="77777777" w:rsidR="003617F3" w:rsidRPr="00AE2208" w:rsidRDefault="003617F3" w:rsidP="00D16E40">
            <w:pPr>
              <w:widowControl/>
              <w:spacing w:before="80" w:after="80"/>
              <w:rPr>
                <w:rFonts w:eastAsiaTheme="minorEastAsia"/>
                <w:b/>
                <w:snapToGrid/>
                <w:sz w:val="20"/>
                <w:lang w:bidi="en-US"/>
              </w:rPr>
            </w:pPr>
            <w:r w:rsidRPr="00AE2208">
              <w:rPr>
                <w:rFonts w:eastAsiaTheme="minorEastAsia"/>
                <w:b/>
                <w:snapToGrid/>
                <w:sz w:val="20"/>
                <w:lang w:bidi="en-US"/>
              </w:rPr>
              <w:t>Regional or Non-Regional</w:t>
            </w:r>
          </w:p>
        </w:tc>
        <w:tc>
          <w:tcPr>
            <w:tcW w:w="2350" w:type="dxa"/>
          </w:tcPr>
          <w:p w14:paraId="036593A8" w14:textId="77777777" w:rsidR="003617F3" w:rsidRPr="00AE2208" w:rsidRDefault="003617F3" w:rsidP="00D16E40">
            <w:pPr>
              <w:widowControl/>
              <w:spacing w:before="80" w:after="80"/>
              <w:rPr>
                <w:rFonts w:eastAsiaTheme="minorEastAsia"/>
                <w:snapToGrid/>
                <w:sz w:val="20"/>
                <w:lang w:bidi="en-US"/>
              </w:rPr>
            </w:pPr>
            <w:r w:rsidRPr="00AE2208">
              <w:rPr>
                <w:rFonts w:eastAsiaTheme="minorEastAsia"/>
                <w:snapToGrid/>
                <w:sz w:val="20"/>
                <w:lang w:bidi="en-US"/>
              </w:rPr>
              <w:t>Non-Regional</w:t>
            </w:r>
          </w:p>
        </w:tc>
        <w:tc>
          <w:tcPr>
            <w:tcW w:w="2335" w:type="dxa"/>
            <w:shd w:val="clear" w:color="auto" w:fill="F2F2F2" w:themeFill="background1" w:themeFillShade="F2"/>
          </w:tcPr>
          <w:p w14:paraId="6ADE3E24" w14:textId="77777777" w:rsidR="003617F3" w:rsidRPr="00AE2208" w:rsidRDefault="003617F3" w:rsidP="00D16E40">
            <w:pPr>
              <w:widowControl/>
              <w:spacing w:before="80" w:after="80"/>
              <w:rPr>
                <w:rFonts w:eastAsiaTheme="minorEastAsia"/>
                <w:b/>
                <w:snapToGrid/>
                <w:sz w:val="20"/>
                <w:lang w:bidi="en-US"/>
              </w:rPr>
            </w:pPr>
            <w:r w:rsidRPr="00AE2208">
              <w:rPr>
                <w:rFonts w:eastAsiaTheme="minorEastAsia"/>
                <w:b/>
                <w:snapToGrid/>
                <w:sz w:val="20"/>
                <w:lang w:bidi="en-US"/>
              </w:rPr>
              <w:t>Districts in Region</w:t>
            </w:r>
          </w:p>
        </w:tc>
        <w:tc>
          <w:tcPr>
            <w:tcW w:w="2331" w:type="dxa"/>
          </w:tcPr>
          <w:p w14:paraId="6B02DF0E" w14:textId="77777777" w:rsidR="003617F3" w:rsidRPr="00AE2208" w:rsidRDefault="003617F3" w:rsidP="00D16E40">
            <w:pPr>
              <w:widowControl/>
              <w:spacing w:before="80" w:after="80"/>
              <w:rPr>
                <w:rFonts w:eastAsiaTheme="minorEastAsia"/>
                <w:snapToGrid/>
                <w:sz w:val="20"/>
                <w:lang w:bidi="en-US"/>
              </w:rPr>
            </w:pPr>
            <w:r w:rsidRPr="00AE2208">
              <w:rPr>
                <w:rFonts w:eastAsiaTheme="minorEastAsia"/>
                <w:snapToGrid/>
                <w:sz w:val="20"/>
                <w:lang w:bidi="en-US"/>
              </w:rPr>
              <w:t>N/A</w:t>
            </w:r>
          </w:p>
        </w:tc>
      </w:tr>
      <w:tr w:rsidR="003617F3" w:rsidRPr="00AE2208" w14:paraId="095C952D" w14:textId="77777777" w:rsidTr="00D16E40">
        <w:trPr>
          <w:tblHeader/>
        </w:trPr>
        <w:tc>
          <w:tcPr>
            <w:tcW w:w="2334" w:type="dxa"/>
            <w:shd w:val="clear" w:color="auto" w:fill="F2F2F2" w:themeFill="background1" w:themeFillShade="F2"/>
          </w:tcPr>
          <w:p w14:paraId="30F1E2DB" w14:textId="77777777" w:rsidR="003617F3" w:rsidRPr="00AE2208" w:rsidRDefault="003617F3" w:rsidP="00D16E40">
            <w:pPr>
              <w:widowControl/>
              <w:spacing w:before="80" w:after="80"/>
              <w:rPr>
                <w:rFonts w:eastAsiaTheme="minorEastAsia"/>
                <w:b/>
                <w:snapToGrid/>
                <w:sz w:val="20"/>
                <w:lang w:bidi="en-US"/>
              </w:rPr>
            </w:pPr>
            <w:r w:rsidRPr="00AE2208">
              <w:rPr>
                <w:rFonts w:eastAsiaTheme="minorEastAsia"/>
                <w:b/>
                <w:snapToGrid/>
                <w:sz w:val="20"/>
                <w:lang w:bidi="en-US"/>
              </w:rPr>
              <w:t>Maximum Enrollment</w:t>
            </w:r>
          </w:p>
        </w:tc>
        <w:tc>
          <w:tcPr>
            <w:tcW w:w="2350" w:type="dxa"/>
          </w:tcPr>
          <w:p w14:paraId="4A98C4DF" w14:textId="0B8A4F5F" w:rsidR="003617F3" w:rsidRPr="00AE2208" w:rsidRDefault="00A90EFB" w:rsidP="00D16E40">
            <w:pPr>
              <w:widowControl/>
              <w:spacing w:before="80" w:after="80"/>
              <w:rPr>
                <w:rFonts w:eastAsiaTheme="minorEastAsia"/>
                <w:snapToGrid/>
                <w:sz w:val="20"/>
                <w:lang w:bidi="en-US"/>
              </w:rPr>
            </w:pPr>
            <w:r>
              <w:rPr>
                <w:rFonts w:eastAsiaTheme="minorEastAsia"/>
                <w:snapToGrid/>
                <w:sz w:val="20"/>
                <w:lang w:bidi="en-US"/>
              </w:rPr>
              <w:t>540</w:t>
            </w:r>
          </w:p>
        </w:tc>
        <w:tc>
          <w:tcPr>
            <w:tcW w:w="2335" w:type="dxa"/>
            <w:shd w:val="clear" w:color="auto" w:fill="F2F2F2" w:themeFill="background1" w:themeFillShade="F2"/>
          </w:tcPr>
          <w:p w14:paraId="61C58CA1" w14:textId="77777777" w:rsidR="003617F3" w:rsidRPr="00AE2208" w:rsidRDefault="003617F3" w:rsidP="00D16E40">
            <w:pPr>
              <w:widowControl/>
              <w:spacing w:before="80" w:after="80"/>
              <w:rPr>
                <w:rFonts w:eastAsiaTheme="minorEastAsia"/>
                <w:b/>
                <w:snapToGrid/>
                <w:sz w:val="20"/>
                <w:lang w:bidi="en-US"/>
              </w:rPr>
            </w:pPr>
            <w:r w:rsidRPr="00AE2208">
              <w:rPr>
                <w:rFonts w:eastAsiaTheme="minorEastAsia"/>
                <w:b/>
                <w:snapToGrid/>
                <w:sz w:val="20"/>
                <w:lang w:bidi="en-US"/>
              </w:rPr>
              <w:t>Chartered Grade Span</w:t>
            </w:r>
          </w:p>
        </w:tc>
        <w:tc>
          <w:tcPr>
            <w:tcW w:w="2331" w:type="dxa"/>
          </w:tcPr>
          <w:p w14:paraId="72B0F2B9" w14:textId="7B9362B3" w:rsidR="003617F3" w:rsidRPr="00AE2208" w:rsidRDefault="00A21480" w:rsidP="00D16E40">
            <w:pPr>
              <w:widowControl/>
              <w:spacing w:before="80" w:after="80"/>
              <w:rPr>
                <w:rFonts w:eastAsiaTheme="minorEastAsia"/>
                <w:snapToGrid/>
                <w:sz w:val="20"/>
                <w:lang w:bidi="en-US"/>
              </w:rPr>
            </w:pPr>
            <w:r>
              <w:rPr>
                <w:rFonts w:eastAsiaTheme="minorEastAsia"/>
                <w:snapToGrid/>
                <w:sz w:val="20"/>
                <w:lang w:bidi="en-US"/>
              </w:rPr>
              <w:t>6-8</w:t>
            </w:r>
          </w:p>
        </w:tc>
      </w:tr>
      <w:tr w:rsidR="003617F3" w:rsidRPr="00AE2208" w14:paraId="15398882" w14:textId="77777777" w:rsidTr="00D16E40">
        <w:trPr>
          <w:tblHeader/>
        </w:trPr>
        <w:tc>
          <w:tcPr>
            <w:tcW w:w="2334" w:type="dxa"/>
            <w:shd w:val="clear" w:color="auto" w:fill="F2F2F2" w:themeFill="background1" w:themeFillShade="F2"/>
          </w:tcPr>
          <w:p w14:paraId="3FD39D77" w14:textId="77777777" w:rsidR="003617F3" w:rsidRPr="00AE2208" w:rsidRDefault="003617F3" w:rsidP="00D16E40">
            <w:pPr>
              <w:widowControl/>
              <w:spacing w:before="80" w:after="80"/>
              <w:rPr>
                <w:rFonts w:eastAsiaTheme="minorEastAsia"/>
                <w:b/>
                <w:snapToGrid/>
                <w:sz w:val="20"/>
                <w:lang w:bidi="en-US"/>
              </w:rPr>
            </w:pPr>
            <w:r>
              <w:rPr>
                <w:rFonts w:eastAsiaTheme="minorEastAsia"/>
                <w:b/>
                <w:snapToGrid/>
                <w:sz w:val="20"/>
                <w:lang w:bidi="en-US"/>
              </w:rPr>
              <w:t>Year Opened</w:t>
            </w:r>
          </w:p>
        </w:tc>
        <w:tc>
          <w:tcPr>
            <w:tcW w:w="2350" w:type="dxa"/>
          </w:tcPr>
          <w:p w14:paraId="344CA7F6" w14:textId="499A7BB1" w:rsidR="003617F3" w:rsidRPr="00AE2208" w:rsidRDefault="007A7752" w:rsidP="00D16E40">
            <w:pPr>
              <w:widowControl/>
              <w:spacing w:before="80" w:after="80"/>
              <w:rPr>
                <w:rFonts w:eastAsiaTheme="minorEastAsia"/>
                <w:snapToGrid/>
                <w:sz w:val="20"/>
                <w:lang w:bidi="en-US"/>
              </w:rPr>
            </w:pPr>
            <w:r>
              <w:rPr>
                <w:rFonts w:eastAsiaTheme="minorEastAsia"/>
                <w:snapToGrid/>
                <w:sz w:val="20"/>
                <w:lang w:bidi="en-US"/>
              </w:rPr>
              <w:t>2011</w:t>
            </w:r>
          </w:p>
        </w:tc>
        <w:tc>
          <w:tcPr>
            <w:tcW w:w="2335" w:type="dxa"/>
            <w:shd w:val="clear" w:color="auto" w:fill="F2F2F2" w:themeFill="background1" w:themeFillShade="F2"/>
          </w:tcPr>
          <w:p w14:paraId="7BD45803" w14:textId="77777777" w:rsidR="003617F3" w:rsidRPr="00AE2208" w:rsidRDefault="003617F3" w:rsidP="00D16E40">
            <w:pPr>
              <w:widowControl/>
              <w:spacing w:before="80" w:after="80"/>
              <w:rPr>
                <w:rFonts w:eastAsiaTheme="minorEastAsia"/>
                <w:b/>
                <w:snapToGrid/>
                <w:sz w:val="20"/>
                <w:lang w:bidi="en-US"/>
              </w:rPr>
            </w:pPr>
            <w:r>
              <w:rPr>
                <w:rFonts w:eastAsiaTheme="minorEastAsia"/>
                <w:b/>
                <w:snapToGrid/>
                <w:sz w:val="20"/>
                <w:lang w:bidi="en-US"/>
              </w:rPr>
              <w:t>Year(s) Renewed</w:t>
            </w:r>
          </w:p>
        </w:tc>
        <w:tc>
          <w:tcPr>
            <w:tcW w:w="2331" w:type="dxa"/>
          </w:tcPr>
          <w:p w14:paraId="1C416E84" w14:textId="29F527DF" w:rsidR="003617F3" w:rsidRPr="00AE2208" w:rsidRDefault="00DF6B03" w:rsidP="00D16E40">
            <w:pPr>
              <w:widowControl/>
              <w:spacing w:before="80" w:after="80"/>
              <w:rPr>
                <w:rFonts w:eastAsiaTheme="minorEastAsia"/>
                <w:snapToGrid/>
                <w:sz w:val="20"/>
                <w:lang w:bidi="en-US"/>
              </w:rPr>
            </w:pPr>
            <w:r>
              <w:rPr>
                <w:rFonts w:eastAsiaTheme="minorEastAsia"/>
                <w:sz w:val="20"/>
                <w:szCs w:val="24"/>
                <w:lang w:bidi="en-US"/>
              </w:rPr>
              <w:t>2016, 2021</w:t>
            </w:r>
          </w:p>
        </w:tc>
      </w:tr>
    </w:tbl>
    <w:p w14:paraId="5B36B2CD" w14:textId="77777777" w:rsidR="003617F3" w:rsidRPr="00AE2208" w:rsidRDefault="003617F3" w:rsidP="003617F3">
      <w:pPr>
        <w:widowControl/>
        <w:rPr>
          <w:szCs w:val="24"/>
        </w:rPr>
      </w:pPr>
    </w:p>
    <w:p w14:paraId="5C763890" w14:textId="240E7F8A" w:rsidR="003617F3" w:rsidRDefault="00DF6B03" w:rsidP="003617F3">
      <w:pPr>
        <w:widowControl/>
        <w:rPr>
          <w:color w:val="000000"/>
          <w:szCs w:val="24"/>
        </w:rPr>
      </w:pPr>
      <w:r>
        <w:rPr>
          <w:color w:val="000000"/>
          <w:szCs w:val="24"/>
        </w:rPr>
        <w:t>UAB</w:t>
      </w:r>
      <w:r w:rsidR="003617F3">
        <w:rPr>
          <w:color w:val="000000"/>
          <w:szCs w:val="24"/>
        </w:rPr>
        <w:t xml:space="preserve"> was expected to demonstrate academic improvement by December 20</w:t>
      </w:r>
      <w:r w:rsidR="00D07F74">
        <w:rPr>
          <w:color w:val="000000"/>
          <w:szCs w:val="24"/>
        </w:rPr>
        <w:t>2</w:t>
      </w:r>
      <w:r w:rsidR="003617F3">
        <w:rPr>
          <w:color w:val="000000"/>
          <w:szCs w:val="24"/>
        </w:rPr>
        <w:t xml:space="preserve">3. I intend to extend the first condition imposed on the charter of </w:t>
      </w:r>
      <w:r w:rsidR="00BF12EF">
        <w:rPr>
          <w:color w:val="000000"/>
          <w:szCs w:val="24"/>
        </w:rPr>
        <w:t>UAB as follows</w:t>
      </w:r>
      <w:r w:rsidR="003617F3">
        <w:rPr>
          <w:color w:val="000000"/>
          <w:szCs w:val="24"/>
        </w:rPr>
        <w:t xml:space="preserve">. </w:t>
      </w:r>
      <w:r w:rsidR="003617F3">
        <w:t>The second condition remains unchanged.</w:t>
      </w:r>
    </w:p>
    <w:p w14:paraId="3E64E133" w14:textId="77777777" w:rsidR="003617F3" w:rsidRPr="00AE2208" w:rsidRDefault="003617F3" w:rsidP="003617F3">
      <w:pPr>
        <w:widowControl/>
        <w:rPr>
          <w:color w:val="000000"/>
          <w:szCs w:val="24"/>
        </w:rPr>
      </w:pPr>
    </w:p>
    <w:p w14:paraId="3F204927" w14:textId="2654D409" w:rsidR="003617F3" w:rsidRPr="008A7699" w:rsidRDefault="003617F3" w:rsidP="003617F3">
      <w:pPr>
        <w:widowControl/>
        <w:numPr>
          <w:ilvl w:val="0"/>
          <w:numId w:val="34"/>
        </w:numPr>
      </w:pPr>
      <w:r>
        <w:rPr>
          <w:color w:val="000000"/>
        </w:rPr>
        <w:t xml:space="preserve">By </w:t>
      </w:r>
      <w:r w:rsidRPr="00B257C7">
        <w:rPr>
          <w:b/>
          <w:iCs/>
          <w:color w:val="000000"/>
          <w:u w:val="single"/>
        </w:rPr>
        <w:t>December 31, 202</w:t>
      </w:r>
      <w:r>
        <w:rPr>
          <w:b/>
          <w:iCs/>
          <w:color w:val="000000"/>
          <w:u w:val="single"/>
        </w:rPr>
        <w:t>4</w:t>
      </w:r>
      <w:r w:rsidRPr="00122B09">
        <w:rPr>
          <w:color w:val="000000"/>
        </w:rPr>
        <w:t xml:space="preserve">, the school must demonstrate that it is an academic success by providing evidence that the school has exhibited significant and sustained academic </w:t>
      </w:r>
      <w:r w:rsidRPr="00122B09">
        <w:rPr>
          <w:color w:val="000000"/>
        </w:rPr>
        <w:lastRenderedPageBreak/>
        <w:t>improvement in mathematics, English language arts, and scienc</w:t>
      </w:r>
      <w:r>
        <w:rPr>
          <w:color w:val="000000"/>
        </w:rPr>
        <w:t xml:space="preserve">e. </w:t>
      </w:r>
      <w:r w:rsidRPr="00A777B5">
        <w:rPr>
          <w:b/>
          <w:bCs/>
          <w:u w:val="single"/>
        </w:rPr>
        <w:t xml:space="preserve">Should the school demonstrate significant and sustained academic improvement before 2024, the Commissioner </w:t>
      </w:r>
      <w:r w:rsidR="004F6344">
        <w:rPr>
          <w:b/>
          <w:bCs/>
          <w:u w:val="single"/>
        </w:rPr>
        <w:t>may</w:t>
      </w:r>
      <w:r w:rsidR="004F6344" w:rsidRPr="00A777B5">
        <w:rPr>
          <w:b/>
          <w:bCs/>
          <w:u w:val="single"/>
        </w:rPr>
        <w:t xml:space="preserve"> </w:t>
      </w:r>
      <w:r w:rsidRPr="00A777B5">
        <w:rPr>
          <w:b/>
          <w:bCs/>
          <w:u w:val="single"/>
        </w:rPr>
        <w:t>consider removing this condition, rather than wait until December 31, 2024.</w:t>
      </w:r>
    </w:p>
    <w:p w14:paraId="54A33F06" w14:textId="77777777" w:rsidR="003617F3" w:rsidRPr="00AE2208" w:rsidRDefault="003617F3" w:rsidP="003617F3">
      <w:pPr>
        <w:widowControl/>
        <w:ind w:left="720"/>
        <w:rPr>
          <w:szCs w:val="24"/>
        </w:rPr>
      </w:pPr>
    </w:p>
    <w:p w14:paraId="16637083" w14:textId="01D9C56C" w:rsidR="00645D04" w:rsidRDefault="00645D04" w:rsidP="000B400D">
      <w:pPr>
        <w:pStyle w:val="ListParagraph"/>
        <w:numPr>
          <w:ilvl w:val="0"/>
          <w:numId w:val="34"/>
        </w:numPr>
      </w:pPr>
      <w:r>
        <w:t>By July 31, 2021, UP Academy Charter School of Boston must conduct a comprehensive review of the school’s program and submit an action plan to the Department that addresses areas in need of improvement as outlined in the Summary of Review.</w:t>
      </w:r>
    </w:p>
    <w:p w14:paraId="39CB3F57" w14:textId="77777777" w:rsidR="003617F3" w:rsidRPr="00AE2208" w:rsidRDefault="003617F3" w:rsidP="00040748">
      <w:pPr>
        <w:widowControl/>
        <w:rPr>
          <w:szCs w:val="24"/>
        </w:rPr>
      </w:pPr>
    </w:p>
    <w:p w14:paraId="57FADAB4" w14:textId="77777777" w:rsidR="00040748" w:rsidRPr="00AE2208" w:rsidRDefault="00040748" w:rsidP="00040748">
      <w:pPr>
        <w:widowControl/>
        <w:rPr>
          <w:b/>
          <w:szCs w:val="24"/>
          <w:u w:val="single"/>
        </w:rPr>
      </w:pPr>
    </w:p>
    <w:p w14:paraId="4DA50455" w14:textId="77777777" w:rsidR="00040748" w:rsidRDefault="00040748" w:rsidP="00040748">
      <w:pPr>
        <w:widowControl/>
        <w:jc w:val="center"/>
        <w:rPr>
          <w:szCs w:val="24"/>
        </w:rPr>
      </w:pPr>
      <w:r>
        <w:rPr>
          <w:szCs w:val="24"/>
        </w:rPr>
        <w:t>**********************</w:t>
      </w:r>
    </w:p>
    <w:p w14:paraId="4EA412A9" w14:textId="77777777" w:rsidR="00040748" w:rsidRDefault="00040748" w:rsidP="00040748">
      <w:pPr>
        <w:widowControl/>
        <w:rPr>
          <w:b/>
          <w:szCs w:val="24"/>
        </w:rPr>
      </w:pPr>
    </w:p>
    <w:p w14:paraId="076CB8D0" w14:textId="77777777" w:rsidR="00040748" w:rsidRPr="007C3DF6" w:rsidRDefault="00040748" w:rsidP="00040748">
      <w:pPr>
        <w:widowControl/>
        <w:rPr>
          <w:color w:val="000000"/>
          <w:szCs w:val="24"/>
        </w:rPr>
      </w:pPr>
      <w:r>
        <w:rPr>
          <w:color w:val="000000"/>
          <w:szCs w:val="24"/>
        </w:rPr>
        <w:t>If you have any questions regarding these intended actions or require additional information, please contact Alison Bagg, Director of the Office of Charter Schools and School Redesign (781-338-3218); Cliff Chuang, Senior Associate Commissioner (781-338-3222); or me.</w:t>
      </w:r>
    </w:p>
    <w:p w14:paraId="70FAA7C0" w14:textId="77777777" w:rsidR="00040748" w:rsidRDefault="00040748" w:rsidP="00040748">
      <w:pPr>
        <w:widowControl/>
        <w:rPr>
          <w:b/>
          <w:u w:val="single"/>
        </w:rPr>
      </w:pPr>
    </w:p>
    <w:p w14:paraId="5B0266B0" w14:textId="77777777" w:rsidR="00040748" w:rsidRPr="003F208C" w:rsidRDefault="00040748" w:rsidP="00040748">
      <w:pPr>
        <w:widowControl/>
        <w:rPr>
          <w:b/>
          <w:u w:val="single"/>
        </w:rPr>
      </w:pPr>
    </w:p>
    <w:p w14:paraId="1FA174EB" w14:textId="2EB075E0" w:rsidR="0039533A" w:rsidRDefault="0039533A"/>
    <w:sectPr w:rsidR="0039533A" w:rsidSect="007B3EE1">
      <w:footerReference w:type="default" r:id="rId15"/>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6D237" w14:textId="77777777" w:rsidR="00D84548" w:rsidRDefault="00D84548">
      <w:r>
        <w:separator/>
      </w:r>
    </w:p>
  </w:endnote>
  <w:endnote w:type="continuationSeparator" w:id="0">
    <w:p w14:paraId="6853989B" w14:textId="77777777" w:rsidR="00D84548" w:rsidRDefault="00D84548">
      <w:r>
        <w:continuationSeparator/>
      </w:r>
    </w:p>
  </w:endnote>
  <w:endnote w:type="continuationNotice" w:id="1">
    <w:p w14:paraId="5B5EFB35" w14:textId="77777777" w:rsidR="00D84548" w:rsidRDefault="00D84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7B68B" w14:textId="77777777" w:rsidR="00D84548" w:rsidRDefault="00D84548">
      <w:r>
        <w:separator/>
      </w:r>
    </w:p>
  </w:footnote>
  <w:footnote w:type="continuationSeparator" w:id="0">
    <w:p w14:paraId="50D9DB34" w14:textId="77777777" w:rsidR="00D84548" w:rsidRDefault="00D84548">
      <w:r>
        <w:continuationSeparator/>
      </w:r>
    </w:p>
  </w:footnote>
  <w:footnote w:type="continuationNotice" w:id="1">
    <w:p w14:paraId="3965F6FA" w14:textId="77777777" w:rsidR="00D84548" w:rsidRDefault="00D84548"/>
  </w:footnote>
  <w:footnote w:id="2">
    <w:p w14:paraId="062A442F" w14:textId="77777777" w:rsidR="00040748" w:rsidRDefault="00040748" w:rsidP="00040748">
      <w:pPr>
        <w:pStyle w:val="FootnoteText"/>
      </w:pPr>
      <w:r w:rsidRPr="00A24954">
        <w:rPr>
          <w:rStyle w:val="FootnoteReference"/>
          <w:vertAlign w:val="superscript"/>
        </w:rPr>
        <w:footnoteRef/>
      </w:r>
      <w:r>
        <w:t xml:space="preserve"> </w:t>
      </w:r>
      <w:r w:rsidRPr="003F1D2A">
        <w:t>Pursuant to 603 CMR 1.12(1), the Commissioner may “impose conditions on a school's charter for violations of law or failure to make progress with student achievement, failure to adhere to and enhance its recruitment and retention plan, failure to comply with the terms of its charter, or failure to remain viable.”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6916D1"/>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77BF9"/>
    <w:multiLevelType w:val="hybridMultilevel"/>
    <w:tmpl w:val="71B6F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CA7526"/>
    <w:multiLevelType w:val="hybridMultilevel"/>
    <w:tmpl w:val="78BA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3353A"/>
    <w:multiLevelType w:val="hybridMultilevel"/>
    <w:tmpl w:val="8622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10"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DF45A93"/>
    <w:multiLevelType w:val="hybridMultilevel"/>
    <w:tmpl w:val="07D02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249CC"/>
    <w:multiLevelType w:val="hybridMultilevel"/>
    <w:tmpl w:val="157A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D7031"/>
    <w:multiLevelType w:val="hybridMultilevel"/>
    <w:tmpl w:val="DCE24A56"/>
    <w:lvl w:ilvl="0" w:tplc="0D109F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7905920"/>
    <w:multiLevelType w:val="hybridMultilevel"/>
    <w:tmpl w:val="E85804B4"/>
    <w:lvl w:ilvl="0" w:tplc="F33606E6">
      <w:start w:val="1"/>
      <w:numFmt w:val="decimal"/>
      <w:lvlText w:val="%1."/>
      <w:lvlJc w:val="left"/>
      <w:pPr>
        <w:tabs>
          <w:tab w:val="num" w:pos="720"/>
        </w:tabs>
        <w:ind w:left="720" w:hanging="360"/>
      </w:pPr>
    </w:lvl>
    <w:lvl w:ilvl="1" w:tplc="FC88B940">
      <w:start w:val="1"/>
      <w:numFmt w:val="decimal"/>
      <w:lvlText w:val="%2."/>
      <w:lvlJc w:val="left"/>
      <w:pPr>
        <w:tabs>
          <w:tab w:val="num" w:pos="1440"/>
        </w:tabs>
        <w:ind w:left="1440" w:hanging="360"/>
      </w:pPr>
    </w:lvl>
    <w:lvl w:ilvl="2" w:tplc="62B40FF8">
      <w:start w:val="1"/>
      <w:numFmt w:val="decimal"/>
      <w:lvlText w:val="%3."/>
      <w:lvlJc w:val="left"/>
      <w:pPr>
        <w:tabs>
          <w:tab w:val="num" w:pos="2160"/>
        </w:tabs>
        <w:ind w:left="2160" w:hanging="360"/>
      </w:pPr>
    </w:lvl>
    <w:lvl w:ilvl="3" w:tplc="12A8F54C">
      <w:start w:val="1"/>
      <w:numFmt w:val="decimal"/>
      <w:lvlText w:val="%4."/>
      <w:lvlJc w:val="left"/>
      <w:pPr>
        <w:tabs>
          <w:tab w:val="num" w:pos="2880"/>
        </w:tabs>
        <w:ind w:left="2880" w:hanging="360"/>
      </w:pPr>
    </w:lvl>
    <w:lvl w:ilvl="4" w:tplc="07965840">
      <w:start w:val="1"/>
      <w:numFmt w:val="decimal"/>
      <w:lvlText w:val="%5."/>
      <w:lvlJc w:val="left"/>
      <w:pPr>
        <w:tabs>
          <w:tab w:val="num" w:pos="3600"/>
        </w:tabs>
        <w:ind w:left="3600" w:hanging="360"/>
      </w:pPr>
    </w:lvl>
    <w:lvl w:ilvl="5" w:tplc="EB885A7A">
      <w:start w:val="1"/>
      <w:numFmt w:val="decimal"/>
      <w:lvlText w:val="%6."/>
      <w:lvlJc w:val="left"/>
      <w:pPr>
        <w:tabs>
          <w:tab w:val="num" w:pos="4320"/>
        </w:tabs>
        <w:ind w:left="4320" w:hanging="360"/>
      </w:pPr>
    </w:lvl>
    <w:lvl w:ilvl="6" w:tplc="5A9A4EC2">
      <w:start w:val="1"/>
      <w:numFmt w:val="decimal"/>
      <w:lvlText w:val="%7."/>
      <w:lvlJc w:val="left"/>
      <w:pPr>
        <w:tabs>
          <w:tab w:val="num" w:pos="5040"/>
        </w:tabs>
        <w:ind w:left="5040" w:hanging="360"/>
      </w:pPr>
    </w:lvl>
    <w:lvl w:ilvl="7" w:tplc="E00CCE10">
      <w:start w:val="1"/>
      <w:numFmt w:val="decimal"/>
      <w:lvlText w:val="%8."/>
      <w:lvlJc w:val="left"/>
      <w:pPr>
        <w:tabs>
          <w:tab w:val="num" w:pos="5760"/>
        </w:tabs>
        <w:ind w:left="5760" w:hanging="360"/>
      </w:pPr>
    </w:lvl>
    <w:lvl w:ilvl="8" w:tplc="B33C9202">
      <w:start w:val="1"/>
      <w:numFmt w:val="decimal"/>
      <w:lvlText w:val="%9."/>
      <w:lvlJc w:val="left"/>
      <w:pPr>
        <w:tabs>
          <w:tab w:val="num" w:pos="6480"/>
        </w:tabs>
        <w:ind w:left="6480" w:hanging="360"/>
      </w:pPr>
    </w:lvl>
  </w:abstractNum>
  <w:abstractNum w:abstractNumId="26" w15:restartNumberingAfterBreak="0">
    <w:nsid w:val="6CAE123D"/>
    <w:multiLevelType w:val="hybridMultilevel"/>
    <w:tmpl w:val="71B6F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8"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82098C"/>
    <w:multiLevelType w:val="hybridMultilevel"/>
    <w:tmpl w:val="71B6F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824FE1"/>
    <w:multiLevelType w:val="hybridMultilevel"/>
    <w:tmpl w:val="71B6F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187825"/>
    <w:multiLevelType w:val="hybridMultilevel"/>
    <w:tmpl w:val="71B6F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5"/>
  </w:num>
  <w:num w:numId="4">
    <w:abstractNumId w:val="23"/>
  </w:num>
  <w:num w:numId="5">
    <w:abstractNumId w:val="10"/>
  </w:num>
  <w:num w:numId="6">
    <w:abstractNumId w:val="18"/>
  </w:num>
  <w:num w:numId="7">
    <w:abstractNumId w:val="12"/>
  </w:num>
  <w:num w:numId="8">
    <w:abstractNumId w:val="4"/>
  </w:num>
  <w:num w:numId="9">
    <w:abstractNumId w:val="3"/>
  </w:num>
  <w:num w:numId="10">
    <w:abstractNumId w:val="0"/>
  </w:num>
  <w:num w:numId="11">
    <w:abstractNumId w:val="24"/>
  </w:num>
  <w:num w:numId="12">
    <w:abstractNumId w:val="13"/>
  </w:num>
  <w:num w:numId="13">
    <w:abstractNumId w:val="28"/>
  </w:num>
  <w:num w:numId="14">
    <w:abstractNumId w:val="17"/>
  </w:num>
  <w:num w:numId="15">
    <w:abstractNumId w:val="8"/>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1"/>
  </w:num>
  <w:num w:numId="19">
    <w:abstractNumId w:val="21"/>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5"/>
  </w:num>
  <w:num w:numId="23">
    <w:abstractNumId w:val="20"/>
  </w:num>
  <w:num w:numId="24">
    <w:abstractNumId w:val="1"/>
  </w:num>
  <w:num w:numId="25">
    <w:abstractNumId w:val="6"/>
  </w:num>
  <w:num w:numId="26">
    <w:abstractNumId w:val="22"/>
  </w:num>
  <w:num w:numId="27">
    <w:abstractNumId w:val="7"/>
  </w:num>
  <w:num w:numId="28">
    <w:abstractNumId w:val="19"/>
  </w:num>
  <w:num w:numId="29">
    <w:abstractNumId w:val="16"/>
  </w:num>
  <w:num w:numId="30">
    <w:abstractNumId w:val="2"/>
  </w:num>
  <w:num w:numId="31">
    <w:abstractNumId w:val="32"/>
  </w:num>
  <w:num w:numId="32">
    <w:abstractNumId w:val="26"/>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14E99"/>
    <w:rsid w:val="00021821"/>
    <w:rsid w:val="00025507"/>
    <w:rsid w:val="00034CDD"/>
    <w:rsid w:val="0004066E"/>
    <w:rsid w:val="00040748"/>
    <w:rsid w:val="00041CA1"/>
    <w:rsid w:val="00043ADE"/>
    <w:rsid w:val="000457B9"/>
    <w:rsid w:val="00046685"/>
    <w:rsid w:val="000475B1"/>
    <w:rsid w:val="00052EFE"/>
    <w:rsid w:val="000556C1"/>
    <w:rsid w:val="000558CE"/>
    <w:rsid w:val="000576C5"/>
    <w:rsid w:val="00060656"/>
    <w:rsid w:val="00062FA8"/>
    <w:rsid w:val="00064857"/>
    <w:rsid w:val="00065E3B"/>
    <w:rsid w:val="0008197B"/>
    <w:rsid w:val="00085950"/>
    <w:rsid w:val="000A065E"/>
    <w:rsid w:val="000A0D6A"/>
    <w:rsid w:val="000A0F1D"/>
    <w:rsid w:val="000A59A0"/>
    <w:rsid w:val="000B1C0A"/>
    <w:rsid w:val="000B400D"/>
    <w:rsid w:val="000B726B"/>
    <w:rsid w:val="000C2726"/>
    <w:rsid w:val="000C2BCD"/>
    <w:rsid w:val="000D0DB3"/>
    <w:rsid w:val="000D15C4"/>
    <w:rsid w:val="000D1D52"/>
    <w:rsid w:val="000D23B5"/>
    <w:rsid w:val="000E0994"/>
    <w:rsid w:val="000E49AC"/>
    <w:rsid w:val="000E5E95"/>
    <w:rsid w:val="000F4D5B"/>
    <w:rsid w:val="000F6E99"/>
    <w:rsid w:val="0010052A"/>
    <w:rsid w:val="0010114E"/>
    <w:rsid w:val="00102369"/>
    <w:rsid w:val="0011409B"/>
    <w:rsid w:val="001144C3"/>
    <w:rsid w:val="001145F4"/>
    <w:rsid w:val="001258EC"/>
    <w:rsid w:val="00134901"/>
    <w:rsid w:val="00136904"/>
    <w:rsid w:val="001449CB"/>
    <w:rsid w:val="00147580"/>
    <w:rsid w:val="001511A4"/>
    <w:rsid w:val="0015328C"/>
    <w:rsid w:val="00155B7C"/>
    <w:rsid w:val="001579CF"/>
    <w:rsid w:val="00164507"/>
    <w:rsid w:val="001652E5"/>
    <w:rsid w:val="00167E8F"/>
    <w:rsid w:val="00170340"/>
    <w:rsid w:val="001710B3"/>
    <w:rsid w:val="00180562"/>
    <w:rsid w:val="00185E9E"/>
    <w:rsid w:val="00190AEB"/>
    <w:rsid w:val="00196311"/>
    <w:rsid w:val="0019703B"/>
    <w:rsid w:val="001A1F9B"/>
    <w:rsid w:val="001A3384"/>
    <w:rsid w:val="001A6821"/>
    <w:rsid w:val="001B01BA"/>
    <w:rsid w:val="001B06BF"/>
    <w:rsid w:val="001C0E08"/>
    <w:rsid w:val="001D1735"/>
    <w:rsid w:val="001D2934"/>
    <w:rsid w:val="001D4709"/>
    <w:rsid w:val="001D4F6E"/>
    <w:rsid w:val="001E57B5"/>
    <w:rsid w:val="001F1BC3"/>
    <w:rsid w:val="001F3ED6"/>
    <w:rsid w:val="001F4121"/>
    <w:rsid w:val="001F5005"/>
    <w:rsid w:val="001F56D8"/>
    <w:rsid w:val="001F5825"/>
    <w:rsid w:val="00200F90"/>
    <w:rsid w:val="00201172"/>
    <w:rsid w:val="002014F9"/>
    <w:rsid w:val="00203233"/>
    <w:rsid w:val="00210C78"/>
    <w:rsid w:val="002111CB"/>
    <w:rsid w:val="00213AD5"/>
    <w:rsid w:val="00215FA9"/>
    <w:rsid w:val="002163A1"/>
    <w:rsid w:val="002308C1"/>
    <w:rsid w:val="00237B59"/>
    <w:rsid w:val="002416E7"/>
    <w:rsid w:val="00241A1F"/>
    <w:rsid w:val="00243A55"/>
    <w:rsid w:val="002502CB"/>
    <w:rsid w:val="00261BFC"/>
    <w:rsid w:val="002654B4"/>
    <w:rsid w:val="00271228"/>
    <w:rsid w:val="002713FC"/>
    <w:rsid w:val="00273152"/>
    <w:rsid w:val="002813B0"/>
    <w:rsid w:val="00284391"/>
    <w:rsid w:val="00291F01"/>
    <w:rsid w:val="002A0EF6"/>
    <w:rsid w:val="002A3E22"/>
    <w:rsid w:val="002A68B5"/>
    <w:rsid w:val="002B030B"/>
    <w:rsid w:val="002B09A2"/>
    <w:rsid w:val="002B1689"/>
    <w:rsid w:val="002B48F5"/>
    <w:rsid w:val="002B4B10"/>
    <w:rsid w:val="002B57E5"/>
    <w:rsid w:val="002C0CF9"/>
    <w:rsid w:val="002C161D"/>
    <w:rsid w:val="002C2CDF"/>
    <w:rsid w:val="002C56BD"/>
    <w:rsid w:val="002C622E"/>
    <w:rsid w:val="002D4EB8"/>
    <w:rsid w:val="002D6DA3"/>
    <w:rsid w:val="002F3534"/>
    <w:rsid w:val="002F50D1"/>
    <w:rsid w:val="002F5424"/>
    <w:rsid w:val="00306095"/>
    <w:rsid w:val="00307FDD"/>
    <w:rsid w:val="0031024D"/>
    <w:rsid w:val="00315230"/>
    <w:rsid w:val="0031613D"/>
    <w:rsid w:val="003166C8"/>
    <w:rsid w:val="00316F05"/>
    <w:rsid w:val="00323265"/>
    <w:rsid w:val="00329642"/>
    <w:rsid w:val="003300A8"/>
    <w:rsid w:val="00330D15"/>
    <w:rsid w:val="0033682A"/>
    <w:rsid w:val="00341984"/>
    <w:rsid w:val="00344DB1"/>
    <w:rsid w:val="0035445A"/>
    <w:rsid w:val="00354C15"/>
    <w:rsid w:val="003550DC"/>
    <w:rsid w:val="00360559"/>
    <w:rsid w:val="00361467"/>
    <w:rsid w:val="003617F3"/>
    <w:rsid w:val="00363A77"/>
    <w:rsid w:val="00363EC5"/>
    <w:rsid w:val="00365F2F"/>
    <w:rsid w:val="00380DAE"/>
    <w:rsid w:val="0039194F"/>
    <w:rsid w:val="0039533A"/>
    <w:rsid w:val="003953C8"/>
    <w:rsid w:val="003A2F60"/>
    <w:rsid w:val="003B20BC"/>
    <w:rsid w:val="003B43E3"/>
    <w:rsid w:val="003C4139"/>
    <w:rsid w:val="003D0F91"/>
    <w:rsid w:val="003D25FA"/>
    <w:rsid w:val="003D335F"/>
    <w:rsid w:val="003F4E18"/>
    <w:rsid w:val="003F74A5"/>
    <w:rsid w:val="00401D50"/>
    <w:rsid w:val="00404B36"/>
    <w:rsid w:val="00405677"/>
    <w:rsid w:val="0040659C"/>
    <w:rsid w:val="00410D7E"/>
    <w:rsid w:val="0041210C"/>
    <w:rsid w:val="004127FF"/>
    <w:rsid w:val="004159AD"/>
    <w:rsid w:val="004173F3"/>
    <w:rsid w:val="004202BA"/>
    <w:rsid w:val="004233C3"/>
    <w:rsid w:val="004242A3"/>
    <w:rsid w:val="0042756A"/>
    <w:rsid w:val="00435E8F"/>
    <w:rsid w:val="00442409"/>
    <w:rsid w:val="00442F66"/>
    <w:rsid w:val="004500F8"/>
    <w:rsid w:val="004621DF"/>
    <w:rsid w:val="00466D00"/>
    <w:rsid w:val="00471607"/>
    <w:rsid w:val="00473F1D"/>
    <w:rsid w:val="00481D9E"/>
    <w:rsid w:val="0048228A"/>
    <w:rsid w:val="00484D70"/>
    <w:rsid w:val="00485687"/>
    <w:rsid w:val="00487EF3"/>
    <w:rsid w:val="0049325F"/>
    <w:rsid w:val="00493CB7"/>
    <w:rsid w:val="004A33E4"/>
    <w:rsid w:val="004A3A99"/>
    <w:rsid w:val="004A4B97"/>
    <w:rsid w:val="004A669E"/>
    <w:rsid w:val="004A6F54"/>
    <w:rsid w:val="004A7299"/>
    <w:rsid w:val="004A7C2E"/>
    <w:rsid w:val="004B2D72"/>
    <w:rsid w:val="004B3C8A"/>
    <w:rsid w:val="004D040A"/>
    <w:rsid w:val="004D2264"/>
    <w:rsid w:val="004D4CF2"/>
    <w:rsid w:val="004D790C"/>
    <w:rsid w:val="004E060F"/>
    <w:rsid w:val="004E5697"/>
    <w:rsid w:val="004F2ACF"/>
    <w:rsid w:val="004F6344"/>
    <w:rsid w:val="005002A8"/>
    <w:rsid w:val="00501082"/>
    <w:rsid w:val="00507BF7"/>
    <w:rsid w:val="00511E41"/>
    <w:rsid w:val="005135B4"/>
    <w:rsid w:val="00516A0F"/>
    <w:rsid w:val="00516B62"/>
    <w:rsid w:val="005217FC"/>
    <w:rsid w:val="00534FF2"/>
    <w:rsid w:val="00536648"/>
    <w:rsid w:val="005430E2"/>
    <w:rsid w:val="005463E4"/>
    <w:rsid w:val="0055308F"/>
    <w:rsid w:val="00554B85"/>
    <w:rsid w:val="00554F3B"/>
    <w:rsid w:val="00555019"/>
    <w:rsid w:val="00557BF5"/>
    <w:rsid w:val="00560A3A"/>
    <w:rsid w:val="00563066"/>
    <w:rsid w:val="00571660"/>
    <w:rsid w:val="00571666"/>
    <w:rsid w:val="0057373A"/>
    <w:rsid w:val="00580DFA"/>
    <w:rsid w:val="0058702A"/>
    <w:rsid w:val="0059178C"/>
    <w:rsid w:val="00595D74"/>
    <w:rsid w:val="00596375"/>
    <w:rsid w:val="005A3DFB"/>
    <w:rsid w:val="005A4C11"/>
    <w:rsid w:val="005B0DAB"/>
    <w:rsid w:val="005B3ED1"/>
    <w:rsid w:val="005C1013"/>
    <w:rsid w:val="005D013E"/>
    <w:rsid w:val="005D1011"/>
    <w:rsid w:val="005D2B51"/>
    <w:rsid w:val="005E2F48"/>
    <w:rsid w:val="005E3535"/>
    <w:rsid w:val="005E4C60"/>
    <w:rsid w:val="005E5365"/>
    <w:rsid w:val="005E5C82"/>
    <w:rsid w:val="005F1ADD"/>
    <w:rsid w:val="005F2DD8"/>
    <w:rsid w:val="005F4333"/>
    <w:rsid w:val="005F6432"/>
    <w:rsid w:val="00603C4D"/>
    <w:rsid w:val="00603CA0"/>
    <w:rsid w:val="00607C24"/>
    <w:rsid w:val="00616E24"/>
    <w:rsid w:val="00620208"/>
    <w:rsid w:val="00622645"/>
    <w:rsid w:val="00630B70"/>
    <w:rsid w:val="00634EB6"/>
    <w:rsid w:val="00635070"/>
    <w:rsid w:val="006375F6"/>
    <w:rsid w:val="00645D04"/>
    <w:rsid w:val="0064770F"/>
    <w:rsid w:val="006524E0"/>
    <w:rsid w:val="00653DA3"/>
    <w:rsid w:val="00656E10"/>
    <w:rsid w:val="00661252"/>
    <w:rsid w:val="006624A4"/>
    <w:rsid w:val="0066458A"/>
    <w:rsid w:val="006646C8"/>
    <w:rsid w:val="00666136"/>
    <w:rsid w:val="006667C0"/>
    <w:rsid w:val="0066789B"/>
    <w:rsid w:val="00680CCF"/>
    <w:rsid w:val="00681C2D"/>
    <w:rsid w:val="0068283F"/>
    <w:rsid w:val="00686936"/>
    <w:rsid w:val="00687DF1"/>
    <w:rsid w:val="00691197"/>
    <w:rsid w:val="006925C9"/>
    <w:rsid w:val="00696F69"/>
    <w:rsid w:val="006A0C99"/>
    <w:rsid w:val="006A0F24"/>
    <w:rsid w:val="006A3D35"/>
    <w:rsid w:val="006A5EC7"/>
    <w:rsid w:val="006C0F45"/>
    <w:rsid w:val="006C32D4"/>
    <w:rsid w:val="006C3B24"/>
    <w:rsid w:val="006C621E"/>
    <w:rsid w:val="006D27CB"/>
    <w:rsid w:val="006D3A42"/>
    <w:rsid w:val="006D471B"/>
    <w:rsid w:val="006D4E62"/>
    <w:rsid w:val="006F339C"/>
    <w:rsid w:val="006F5210"/>
    <w:rsid w:val="006F57AE"/>
    <w:rsid w:val="007039AB"/>
    <w:rsid w:val="0070548F"/>
    <w:rsid w:val="00705DEB"/>
    <w:rsid w:val="007072FB"/>
    <w:rsid w:val="00711AB6"/>
    <w:rsid w:val="00713DC9"/>
    <w:rsid w:val="00714801"/>
    <w:rsid w:val="007155C0"/>
    <w:rsid w:val="007256AB"/>
    <w:rsid w:val="00731B88"/>
    <w:rsid w:val="00735232"/>
    <w:rsid w:val="007374CB"/>
    <w:rsid w:val="00741038"/>
    <w:rsid w:val="0074263B"/>
    <w:rsid w:val="0074422E"/>
    <w:rsid w:val="00750959"/>
    <w:rsid w:val="00750D49"/>
    <w:rsid w:val="00753925"/>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A7752"/>
    <w:rsid w:val="007B3EE1"/>
    <w:rsid w:val="007B5827"/>
    <w:rsid w:val="007B5BEB"/>
    <w:rsid w:val="007C6735"/>
    <w:rsid w:val="007D2CAF"/>
    <w:rsid w:val="007E2623"/>
    <w:rsid w:val="007E2E1E"/>
    <w:rsid w:val="007E62A6"/>
    <w:rsid w:val="00803008"/>
    <w:rsid w:val="00807EBF"/>
    <w:rsid w:val="008126E8"/>
    <w:rsid w:val="008163FF"/>
    <w:rsid w:val="00822AA2"/>
    <w:rsid w:val="00824A61"/>
    <w:rsid w:val="0083108B"/>
    <w:rsid w:val="00831CE9"/>
    <w:rsid w:val="00832A24"/>
    <w:rsid w:val="0083611B"/>
    <w:rsid w:val="00841589"/>
    <w:rsid w:val="00843308"/>
    <w:rsid w:val="00844114"/>
    <w:rsid w:val="00844D0E"/>
    <w:rsid w:val="008475E5"/>
    <w:rsid w:val="008551A3"/>
    <w:rsid w:val="00856EA1"/>
    <w:rsid w:val="008657F1"/>
    <w:rsid w:val="00865C47"/>
    <w:rsid w:val="00867C54"/>
    <w:rsid w:val="008862AD"/>
    <w:rsid w:val="00892680"/>
    <w:rsid w:val="0089434C"/>
    <w:rsid w:val="00896E27"/>
    <w:rsid w:val="008A07BF"/>
    <w:rsid w:val="008A5685"/>
    <w:rsid w:val="008A6FE5"/>
    <w:rsid w:val="008A7699"/>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21BB"/>
    <w:rsid w:val="009048AD"/>
    <w:rsid w:val="00917F9D"/>
    <w:rsid w:val="00917FC7"/>
    <w:rsid w:val="00925140"/>
    <w:rsid w:val="00927374"/>
    <w:rsid w:val="00932810"/>
    <w:rsid w:val="00932C66"/>
    <w:rsid w:val="00932CDA"/>
    <w:rsid w:val="00932CDC"/>
    <w:rsid w:val="00936F13"/>
    <w:rsid w:val="00937BC3"/>
    <w:rsid w:val="00940474"/>
    <w:rsid w:val="00945020"/>
    <w:rsid w:val="00946156"/>
    <w:rsid w:val="009468E4"/>
    <w:rsid w:val="00947C0C"/>
    <w:rsid w:val="00955888"/>
    <w:rsid w:val="0096377A"/>
    <w:rsid w:val="0097067C"/>
    <w:rsid w:val="00972AD9"/>
    <w:rsid w:val="00976F4C"/>
    <w:rsid w:val="00977277"/>
    <w:rsid w:val="009778D0"/>
    <w:rsid w:val="00986215"/>
    <w:rsid w:val="00986649"/>
    <w:rsid w:val="00991EB3"/>
    <w:rsid w:val="009948D1"/>
    <w:rsid w:val="00996805"/>
    <w:rsid w:val="009A3F37"/>
    <w:rsid w:val="009A76CD"/>
    <w:rsid w:val="009B3502"/>
    <w:rsid w:val="009B4B18"/>
    <w:rsid w:val="009B6942"/>
    <w:rsid w:val="009C1350"/>
    <w:rsid w:val="009C1707"/>
    <w:rsid w:val="009C3E4C"/>
    <w:rsid w:val="009D11E3"/>
    <w:rsid w:val="009D49B8"/>
    <w:rsid w:val="009D638D"/>
    <w:rsid w:val="009E48AC"/>
    <w:rsid w:val="009E5DE8"/>
    <w:rsid w:val="009F5663"/>
    <w:rsid w:val="009F7A16"/>
    <w:rsid w:val="00A02608"/>
    <w:rsid w:val="00A05461"/>
    <w:rsid w:val="00A0727F"/>
    <w:rsid w:val="00A20194"/>
    <w:rsid w:val="00A21480"/>
    <w:rsid w:val="00A274B2"/>
    <w:rsid w:val="00A327E4"/>
    <w:rsid w:val="00A37BA6"/>
    <w:rsid w:val="00A37CC3"/>
    <w:rsid w:val="00A4251A"/>
    <w:rsid w:val="00A4297E"/>
    <w:rsid w:val="00A464FB"/>
    <w:rsid w:val="00A47AAC"/>
    <w:rsid w:val="00A555FD"/>
    <w:rsid w:val="00A567B4"/>
    <w:rsid w:val="00A64182"/>
    <w:rsid w:val="00A669F1"/>
    <w:rsid w:val="00A70783"/>
    <w:rsid w:val="00A70FE3"/>
    <w:rsid w:val="00A73C30"/>
    <w:rsid w:val="00A7577A"/>
    <w:rsid w:val="00A76105"/>
    <w:rsid w:val="00A7681B"/>
    <w:rsid w:val="00A90EFB"/>
    <w:rsid w:val="00A9121F"/>
    <w:rsid w:val="00A91FF8"/>
    <w:rsid w:val="00A925C1"/>
    <w:rsid w:val="00A9378C"/>
    <w:rsid w:val="00A93A5E"/>
    <w:rsid w:val="00A94F83"/>
    <w:rsid w:val="00A954F1"/>
    <w:rsid w:val="00AA2087"/>
    <w:rsid w:val="00AA2C45"/>
    <w:rsid w:val="00AA46CF"/>
    <w:rsid w:val="00AA4D66"/>
    <w:rsid w:val="00AA53EA"/>
    <w:rsid w:val="00AB5330"/>
    <w:rsid w:val="00AC0BB2"/>
    <w:rsid w:val="00AC1A57"/>
    <w:rsid w:val="00AC1C82"/>
    <w:rsid w:val="00AC355B"/>
    <w:rsid w:val="00AD3989"/>
    <w:rsid w:val="00AD461E"/>
    <w:rsid w:val="00AD55A0"/>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2D4B"/>
    <w:rsid w:val="00B43A89"/>
    <w:rsid w:val="00B46222"/>
    <w:rsid w:val="00B6230A"/>
    <w:rsid w:val="00B74A99"/>
    <w:rsid w:val="00B81971"/>
    <w:rsid w:val="00B836AF"/>
    <w:rsid w:val="00B83F08"/>
    <w:rsid w:val="00B84176"/>
    <w:rsid w:val="00B9714D"/>
    <w:rsid w:val="00BA1BA6"/>
    <w:rsid w:val="00BA6910"/>
    <w:rsid w:val="00BA7399"/>
    <w:rsid w:val="00BB208C"/>
    <w:rsid w:val="00BB31E1"/>
    <w:rsid w:val="00BB31FB"/>
    <w:rsid w:val="00BB5D8F"/>
    <w:rsid w:val="00BB713B"/>
    <w:rsid w:val="00BB7BB2"/>
    <w:rsid w:val="00BC0B4A"/>
    <w:rsid w:val="00BD2885"/>
    <w:rsid w:val="00BD7402"/>
    <w:rsid w:val="00BE2178"/>
    <w:rsid w:val="00BF12EF"/>
    <w:rsid w:val="00BF4ECA"/>
    <w:rsid w:val="00BF65B8"/>
    <w:rsid w:val="00C003E1"/>
    <w:rsid w:val="00C20A80"/>
    <w:rsid w:val="00C24857"/>
    <w:rsid w:val="00C34091"/>
    <w:rsid w:val="00C35831"/>
    <w:rsid w:val="00C37E40"/>
    <w:rsid w:val="00C41BE1"/>
    <w:rsid w:val="00C46D5F"/>
    <w:rsid w:val="00C47D72"/>
    <w:rsid w:val="00C53142"/>
    <w:rsid w:val="00C57023"/>
    <w:rsid w:val="00C60409"/>
    <w:rsid w:val="00C65880"/>
    <w:rsid w:val="00C67032"/>
    <w:rsid w:val="00C7137A"/>
    <w:rsid w:val="00C7397D"/>
    <w:rsid w:val="00C750B5"/>
    <w:rsid w:val="00C81340"/>
    <w:rsid w:val="00C87116"/>
    <w:rsid w:val="00C8776E"/>
    <w:rsid w:val="00C93ABB"/>
    <w:rsid w:val="00C974A6"/>
    <w:rsid w:val="00CB0D38"/>
    <w:rsid w:val="00CB3E17"/>
    <w:rsid w:val="00CB5FBB"/>
    <w:rsid w:val="00CB70FF"/>
    <w:rsid w:val="00CC0358"/>
    <w:rsid w:val="00CC0D5A"/>
    <w:rsid w:val="00CC51B8"/>
    <w:rsid w:val="00CC62B2"/>
    <w:rsid w:val="00CC66FF"/>
    <w:rsid w:val="00CC6C12"/>
    <w:rsid w:val="00CC756F"/>
    <w:rsid w:val="00CD5E79"/>
    <w:rsid w:val="00CD6BD9"/>
    <w:rsid w:val="00CD77AA"/>
    <w:rsid w:val="00CE5315"/>
    <w:rsid w:val="00CF66F0"/>
    <w:rsid w:val="00D00F0A"/>
    <w:rsid w:val="00D0526F"/>
    <w:rsid w:val="00D06C3A"/>
    <w:rsid w:val="00D07F74"/>
    <w:rsid w:val="00D135F0"/>
    <w:rsid w:val="00D15B98"/>
    <w:rsid w:val="00D16D83"/>
    <w:rsid w:val="00D1782C"/>
    <w:rsid w:val="00D21283"/>
    <w:rsid w:val="00D21D82"/>
    <w:rsid w:val="00D2509D"/>
    <w:rsid w:val="00D341AE"/>
    <w:rsid w:val="00D40C5B"/>
    <w:rsid w:val="00D456B8"/>
    <w:rsid w:val="00D46269"/>
    <w:rsid w:val="00D54AED"/>
    <w:rsid w:val="00D56242"/>
    <w:rsid w:val="00D63336"/>
    <w:rsid w:val="00D73B50"/>
    <w:rsid w:val="00D73C51"/>
    <w:rsid w:val="00D744BC"/>
    <w:rsid w:val="00D84548"/>
    <w:rsid w:val="00D854CB"/>
    <w:rsid w:val="00D875E3"/>
    <w:rsid w:val="00D87AA2"/>
    <w:rsid w:val="00D93DB6"/>
    <w:rsid w:val="00D9488D"/>
    <w:rsid w:val="00D94D85"/>
    <w:rsid w:val="00DA1886"/>
    <w:rsid w:val="00DA6385"/>
    <w:rsid w:val="00DB4613"/>
    <w:rsid w:val="00DB5DFB"/>
    <w:rsid w:val="00DC10F4"/>
    <w:rsid w:val="00DD1603"/>
    <w:rsid w:val="00DD1E7A"/>
    <w:rsid w:val="00DE73A8"/>
    <w:rsid w:val="00DF544F"/>
    <w:rsid w:val="00DF6B03"/>
    <w:rsid w:val="00E00E93"/>
    <w:rsid w:val="00E01297"/>
    <w:rsid w:val="00E03D02"/>
    <w:rsid w:val="00E06DAC"/>
    <w:rsid w:val="00E11954"/>
    <w:rsid w:val="00E247C1"/>
    <w:rsid w:val="00E25398"/>
    <w:rsid w:val="00E31C9C"/>
    <w:rsid w:val="00E3387C"/>
    <w:rsid w:val="00E429C8"/>
    <w:rsid w:val="00E42BBF"/>
    <w:rsid w:val="00E43496"/>
    <w:rsid w:val="00E43720"/>
    <w:rsid w:val="00E466AE"/>
    <w:rsid w:val="00E47D6B"/>
    <w:rsid w:val="00E520CA"/>
    <w:rsid w:val="00E555C3"/>
    <w:rsid w:val="00E60198"/>
    <w:rsid w:val="00E609E5"/>
    <w:rsid w:val="00E70C10"/>
    <w:rsid w:val="00E730C5"/>
    <w:rsid w:val="00E76581"/>
    <w:rsid w:val="00E77FAD"/>
    <w:rsid w:val="00E83D56"/>
    <w:rsid w:val="00E91B1E"/>
    <w:rsid w:val="00E93CFB"/>
    <w:rsid w:val="00E95F74"/>
    <w:rsid w:val="00E961C6"/>
    <w:rsid w:val="00EA1367"/>
    <w:rsid w:val="00EA6329"/>
    <w:rsid w:val="00EB17D8"/>
    <w:rsid w:val="00EB1A4E"/>
    <w:rsid w:val="00EC112C"/>
    <w:rsid w:val="00EC2F8B"/>
    <w:rsid w:val="00EC3C27"/>
    <w:rsid w:val="00EC6991"/>
    <w:rsid w:val="00EC7587"/>
    <w:rsid w:val="00EC7A18"/>
    <w:rsid w:val="00ED05A8"/>
    <w:rsid w:val="00ED7240"/>
    <w:rsid w:val="00ED7872"/>
    <w:rsid w:val="00EE0A55"/>
    <w:rsid w:val="00EE24FC"/>
    <w:rsid w:val="00EE34CD"/>
    <w:rsid w:val="00EF3C80"/>
    <w:rsid w:val="00F01D55"/>
    <w:rsid w:val="00F03233"/>
    <w:rsid w:val="00F04445"/>
    <w:rsid w:val="00F0494E"/>
    <w:rsid w:val="00F071C7"/>
    <w:rsid w:val="00F0768F"/>
    <w:rsid w:val="00F12B42"/>
    <w:rsid w:val="00F1469B"/>
    <w:rsid w:val="00F15A05"/>
    <w:rsid w:val="00F2396B"/>
    <w:rsid w:val="00F25840"/>
    <w:rsid w:val="00F259BE"/>
    <w:rsid w:val="00F26989"/>
    <w:rsid w:val="00F27F99"/>
    <w:rsid w:val="00F30A81"/>
    <w:rsid w:val="00F321E4"/>
    <w:rsid w:val="00F425FD"/>
    <w:rsid w:val="00F47B52"/>
    <w:rsid w:val="00F55CDD"/>
    <w:rsid w:val="00F56B5C"/>
    <w:rsid w:val="00F56BD3"/>
    <w:rsid w:val="00F635EF"/>
    <w:rsid w:val="00F64018"/>
    <w:rsid w:val="00F66B73"/>
    <w:rsid w:val="00F71DB4"/>
    <w:rsid w:val="00F74AEF"/>
    <w:rsid w:val="00F7557C"/>
    <w:rsid w:val="00F76E32"/>
    <w:rsid w:val="00F878C5"/>
    <w:rsid w:val="00FA2965"/>
    <w:rsid w:val="00FA4B46"/>
    <w:rsid w:val="00FB0D18"/>
    <w:rsid w:val="00FB1F4A"/>
    <w:rsid w:val="00FB46CC"/>
    <w:rsid w:val="00FB640A"/>
    <w:rsid w:val="00FB722E"/>
    <w:rsid w:val="00FB7A44"/>
    <w:rsid w:val="00FC03AD"/>
    <w:rsid w:val="00FC1E1D"/>
    <w:rsid w:val="00FC4C0A"/>
    <w:rsid w:val="00FD5A0C"/>
    <w:rsid w:val="00FD6A74"/>
    <w:rsid w:val="00FE14E0"/>
    <w:rsid w:val="00FF111F"/>
    <w:rsid w:val="00FF1F0B"/>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49895B9"/>
    <w:rsid w:val="36EB56B1"/>
    <w:rsid w:val="3D5D5370"/>
    <w:rsid w:val="3D8CFD1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680919B"/>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semiHidden/>
    <w:rsid w:val="000B726B"/>
    <w:pPr>
      <w:widowControl/>
    </w:pPr>
    <w:rPr>
      <w:snapToGrid/>
      <w:sz w:val="20"/>
    </w:rPr>
  </w:style>
  <w:style w:type="character" w:customStyle="1" w:styleId="FootnoteTextChar">
    <w:name w:val="Footnote Text Char"/>
    <w:basedOn w:val="DefaultParagraphFont"/>
    <w:link w:val="FootnoteText"/>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A567B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676883889">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323581857">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ese.ed.gov/files/2021/04/ma-acct-waiver-respons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terschool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DESE-231-75976</_dlc_DocId>
    <_dlc_DocIdUrl xmlns="733efe1c-5bbe-4968-87dc-d400e65c879f">
      <Url>https://sharepoint.doemass.org/ese/webteam/cps/_layouts/DocIdRedir.aspx?ID=DESE-231-75976</Url>
      <Description>DESE-231-75976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14BB8-A686-424D-A3DC-444F90ACA503}">
  <ds:schemaRefs>
    <ds:schemaRef ds:uri="http://schemas.microsoft.com/sharepoint/events"/>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BDF6354-4C35-4123-A710-9D34F4508BA6}">
  <ds:schemaRefs>
    <ds:schemaRef ds:uri="http://schemas.microsoft.com/sharepoint/v3/contenttype/forms"/>
  </ds:schemaRefs>
</ds:datastoreItem>
</file>

<file path=customXml/itemProps4.xml><?xml version="1.0" encoding="utf-8"?>
<ds:datastoreItem xmlns:ds="http://schemas.openxmlformats.org/officeDocument/2006/customXml" ds:itemID="{C61984F0-2E4B-4C1B-A7DF-B19DE225E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BESE January 25, 2022 Item 7a Attachment: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25, 2022 Item 7a Attachment: Charter Schools – Notification of Intended Actions (December 3, 2021)</dc:title>
  <dc:subject/>
  <dc:creator>DESE</dc:creator>
  <cp:keywords/>
  <cp:lastModifiedBy>Zou, Dong (EOE)</cp:lastModifiedBy>
  <cp:revision>8</cp:revision>
  <cp:lastPrinted>2008-03-05T18:17:00Z</cp:lastPrinted>
  <dcterms:created xsi:type="dcterms:W3CDTF">2021-12-03T15:48:00Z</dcterms:created>
  <dcterms:modified xsi:type="dcterms:W3CDTF">2022-01-18T17:03:00Z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