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E31E3"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7DE7CD9" wp14:editId="4119DF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CECC1B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1D01A5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B4C8915" wp14:editId="10A2656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EBE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78F506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Default="0059178C" w:rsidP="0059178C">
      <w:pPr>
        <w:pStyle w:val="Footer"/>
        <w:widowControl w:val="0"/>
        <w:tabs>
          <w:tab w:val="clear" w:pos="4320"/>
          <w:tab w:val="clear" w:pos="8640"/>
        </w:tabs>
        <w:rPr>
          <w:snapToGrid w:val="0"/>
          <w:szCs w:val="20"/>
        </w:rPr>
      </w:pPr>
    </w:p>
    <w:p w14:paraId="6B600C6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rsidRPr="00246773" w14:paraId="0EC662C8" w14:textId="77777777" w:rsidTr="000F0746">
        <w:tc>
          <w:tcPr>
            <w:tcW w:w="1188" w:type="dxa"/>
          </w:tcPr>
          <w:p w14:paraId="5EC9A62F" w14:textId="77777777" w:rsidR="0059178C" w:rsidRPr="00246773" w:rsidRDefault="0059178C" w:rsidP="000F0746">
            <w:pPr>
              <w:rPr>
                <w:b/>
                <w:szCs w:val="24"/>
              </w:rPr>
            </w:pPr>
            <w:r w:rsidRPr="00246773">
              <w:rPr>
                <w:b/>
                <w:szCs w:val="24"/>
              </w:rPr>
              <w:t>To:</w:t>
            </w:r>
          </w:p>
        </w:tc>
        <w:tc>
          <w:tcPr>
            <w:tcW w:w="8388" w:type="dxa"/>
          </w:tcPr>
          <w:p w14:paraId="78F94B30" w14:textId="77777777" w:rsidR="0059178C" w:rsidRPr="00246773" w:rsidRDefault="0059178C" w:rsidP="000F0746">
            <w:pPr>
              <w:pStyle w:val="Footer"/>
              <w:widowControl w:val="0"/>
              <w:tabs>
                <w:tab w:val="clear" w:pos="4320"/>
                <w:tab w:val="clear" w:pos="8640"/>
              </w:tabs>
              <w:rPr>
                <w:bCs/>
                <w:snapToGrid w:val="0"/>
              </w:rPr>
            </w:pPr>
            <w:r w:rsidRPr="00246773">
              <w:rPr>
                <w:bCs/>
                <w:snapToGrid w:val="0"/>
              </w:rPr>
              <w:t>Members of the Board of Elementary and Secondary Education</w:t>
            </w:r>
          </w:p>
        </w:tc>
      </w:tr>
      <w:tr w:rsidR="0059178C" w:rsidRPr="00246773" w14:paraId="29A06D39" w14:textId="77777777" w:rsidTr="000F0746">
        <w:tc>
          <w:tcPr>
            <w:tcW w:w="1188" w:type="dxa"/>
          </w:tcPr>
          <w:p w14:paraId="6BC84D53" w14:textId="77777777" w:rsidR="0059178C" w:rsidRPr="00246773" w:rsidRDefault="0059178C" w:rsidP="000F0746">
            <w:pPr>
              <w:rPr>
                <w:b/>
                <w:szCs w:val="24"/>
              </w:rPr>
            </w:pPr>
            <w:r w:rsidRPr="00246773">
              <w:rPr>
                <w:b/>
                <w:szCs w:val="24"/>
              </w:rPr>
              <w:t>From:</w:t>
            </w:r>
            <w:r w:rsidRPr="00246773">
              <w:rPr>
                <w:szCs w:val="24"/>
              </w:rPr>
              <w:tab/>
            </w:r>
          </w:p>
        </w:tc>
        <w:tc>
          <w:tcPr>
            <w:tcW w:w="8388" w:type="dxa"/>
          </w:tcPr>
          <w:p w14:paraId="7E4B4B9B" w14:textId="700B5F18" w:rsidR="00D54A13" w:rsidRPr="00246773" w:rsidRDefault="0059178C" w:rsidP="000F0746">
            <w:pPr>
              <w:pStyle w:val="Footer"/>
              <w:widowControl w:val="0"/>
              <w:tabs>
                <w:tab w:val="clear" w:pos="4320"/>
                <w:tab w:val="clear" w:pos="8640"/>
              </w:tabs>
              <w:rPr>
                <w:bCs/>
                <w:snapToGrid w:val="0"/>
              </w:rPr>
            </w:pPr>
            <w:r w:rsidRPr="00246773">
              <w:rPr>
                <w:bCs/>
                <w:snapToGrid w:val="0"/>
              </w:rPr>
              <w:t>Jeffrey C. Riley, Commissioner</w:t>
            </w:r>
          </w:p>
        </w:tc>
      </w:tr>
      <w:tr w:rsidR="0059178C" w:rsidRPr="00246773" w14:paraId="2199FBCC" w14:textId="77777777" w:rsidTr="000F0746">
        <w:tc>
          <w:tcPr>
            <w:tcW w:w="1188" w:type="dxa"/>
          </w:tcPr>
          <w:p w14:paraId="0A8AFD8D" w14:textId="77777777" w:rsidR="0059178C" w:rsidRPr="00246773" w:rsidRDefault="0059178C" w:rsidP="000F0746">
            <w:pPr>
              <w:rPr>
                <w:b/>
                <w:szCs w:val="24"/>
              </w:rPr>
            </w:pPr>
            <w:r w:rsidRPr="00246773">
              <w:rPr>
                <w:b/>
                <w:szCs w:val="24"/>
              </w:rPr>
              <w:t>Date:</w:t>
            </w:r>
            <w:r w:rsidRPr="00246773">
              <w:rPr>
                <w:szCs w:val="24"/>
              </w:rPr>
              <w:tab/>
            </w:r>
          </w:p>
        </w:tc>
        <w:tc>
          <w:tcPr>
            <w:tcW w:w="8388" w:type="dxa"/>
          </w:tcPr>
          <w:p w14:paraId="112DB589" w14:textId="5B0B61C9" w:rsidR="0059178C" w:rsidRPr="00246773" w:rsidRDefault="00594666" w:rsidP="000F0746">
            <w:pPr>
              <w:pStyle w:val="Footer"/>
              <w:widowControl w:val="0"/>
              <w:tabs>
                <w:tab w:val="clear" w:pos="4320"/>
                <w:tab w:val="clear" w:pos="8640"/>
              </w:tabs>
              <w:rPr>
                <w:bCs/>
                <w:snapToGrid w:val="0"/>
              </w:rPr>
            </w:pPr>
            <w:r w:rsidRPr="00246773">
              <w:rPr>
                <w:bCs/>
                <w:snapToGrid w:val="0"/>
              </w:rPr>
              <w:t xml:space="preserve">April </w:t>
            </w:r>
            <w:r w:rsidR="00971A70" w:rsidRPr="00246773">
              <w:rPr>
                <w:bCs/>
                <w:snapToGrid w:val="0"/>
              </w:rPr>
              <w:t>1</w:t>
            </w:r>
            <w:r w:rsidR="00971A70">
              <w:rPr>
                <w:bCs/>
                <w:snapToGrid w:val="0"/>
              </w:rPr>
              <w:t>9</w:t>
            </w:r>
            <w:r w:rsidRPr="00246773">
              <w:rPr>
                <w:bCs/>
                <w:snapToGrid w:val="0"/>
              </w:rPr>
              <w:t>, 2022</w:t>
            </w:r>
          </w:p>
        </w:tc>
      </w:tr>
      <w:tr w:rsidR="0059178C" w:rsidRPr="00246773" w14:paraId="13637F9E" w14:textId="77777777" w:rsidTr="000934B1">
        <w:trPr>
          <w:trHeight w:val="324"/>
        </w:trPr>
        <w:tc>
          <w:tcPr>
            <w:tcW w:w="1188" w:type="dxa"/>
          </w:tcPr>
          <w:p w14:paraId="2B5D8F56" w14:textId="77777777" w:rsidR="0059178C" w:rsidRPr="00246773" w:rsidRDefault="0059178C" w:rsidP="000F0746">
            <w:pPr>
              <w:rPr>
                <w:b/>
                <w:szCs w:val="24"/>
              </w:rPr>
            </w:pPr>
            <w:r w:rsidRPr="00246773">
              <w:rPr>
                <w:b/>
                <w:szCs w:val="24"/>
              </w:rPr>
              <w:t>Subject:</w:t>
            </w:r>
          </w:p>
        </w:tc>
        <w:tc>
          <w:tcPr>
            <w:tcW w:w="8388" w:type="dxa"/>
          </w:tcPr>
          <w:p w14:paraId="3F50A1FF" w14:textId="0433E68A" w:rsidR="0059178C" w:rsidRPr="00246773" w:rsidRDefault="003D67D6" w:rsidP="000F0746">
            <w:pPr>
              <w:pStyle w:val="Footer"/>
              <w:widowControl w:val="0"/>
              <w:tabs>
                <w:tab w:val="clear" w:pos="4320"/>
                <w:tab w:val="clear" w:pos="8640"/>
              </w:tabs>
              <w:rPr>
                <w:bCs/>
                <w:snapToGrid w:val="0"/>
              </w:rPr>
            </w:pPr>
            <w:r w:rsidRPr="00246773">
              <w:rPr>
                <w:bCs/>
                <w:snapToGrid w:val="0"/>
              </w:rPr>
              <w:t>Quarter 3 Update on Chronically Underperforming Schools</w:t>
            </w:r>
          </w:p>
        </w:tc>
      </w:tr>
    </w:tbl>
    <w:p w14:paraId="6B238AEA" w14:textId="77777777" w:rsidR="0059178C" w:rsidRPr="000934B1" w:rsidRDefault="0059178C" w:rsidP="0059178C">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widowControl/>
        <w:autoSpaceDE w:val="0"/>
        <w:autoSpaceDN w:val="0"/>
        <w:adjustRightInd w:val="0"/>
        <w:rPr>
          <w:sz w:val="23"/>
          <w:szCs w:val="23"/>
        </w:rPr>
      </w:pPr>
    </w:p>
    <w:p w14:paraId="123BF8C0" w14:textId="27DB9BE7" w:rsidR="00905F9A" w:rsidRPr="00905F9A" w:rsidRDefault="00A34405" w:rsidP="00246773">
      <w:pPr>
        <w:pStyle w:val="NoSpacing"/>
      </w:pPr>
      <w:r w:rsidRPr="000934B1">
        <w:t xml:space="preserve">This month, I am presenting the </w:t>
      </w:r>
      <w:r w:rsidR="0016144B">
        <w:t>third</w:t>
      </w:r>
      <w:r w:rsidRPr="000934B1">
        <w:t xml:space="preserve"> of four quarterly progress updates to the Board </w:t>
      </w:r>
      <w:r w:rsidRPr="6931514C">
        <w:t>of Elementary and Secondary Education</w:t>
      </w:r>
      <w:r w:rsidRPr="000934B1">
        <w:t xml:space="preserve"> (Board) on the four chronically underperforming schools</w:t>
      </w:r>
      <w:r w:rsidR="005142B7" w:rsidRPr="000934B1">
        <w:t xml:space="preserve"> and their</w:t>
      </w:r>
      <w:r w:rsidR="00596E7A" w:rsidRPr="000934B1">
        <w:t xml:space="preserve"> </w:t>
      </w:r>
      <w:r w:rsidRPr="000934B1">
        <w:t>implementation of their school turnaround plans</w:t>
      </w:r>
      <w:r w:rsidR="006137E3" w:rsidRPr="000934B1">
        <w:t>.</w:t>
      </w:r>
      <w:r w:rsidR="00596E7A" w:rsidRPr="000934B1">
        <w:t xml:space="preserve"> </w:t>
      </w:r>
      <w:r w:rsidR="005142B7" w:rsidRPr="000934B1">
        <w:t>These updates</w:t>
      </w:r>
      <w:r w:rsidR="00596E7A" w:rsidRPr="000934B1">
        <w:t xml:space="preserve"> </w:t>
      </w:r>
      <w:r w:rsidR="005142B7" w:rsidRPr="000934B1">
        <w:t xml:space="preserve">are focused </w:t>
      </w:r>
      <w:r w:rsidRPr="000934B1">
        <w:t>on activities from November</w:t>
      </w:r>
      <w:r w:rsidR="005142B7" w:rsidRPr="000934B1">
        <w:t xml:space="preserve"> </w:t>
      </w:r>
      <w:r w:rsidRPr="000934B1">
        <w:t>20</w:t>
      </w:r>
      <w:r w:rsidR="002E4B82">
        <w:t>2</w:t>
      </w:r>
      <w:r w:rsidR="00EF029A">
        <w:t>1 through January 2022</w:t>
      </w:r>
      <w:r w:rsidRPr="000934B1">
        <w:t xml:space="preserve">. </w:t>
      </w:r>
      <w:r w:rsidRPr="00944151">
        <w:t xml:space="preserve">As described in the first </w:t>
      </w:r>
      <w:r w:rsidR="00261746" w:rsidRPr="00944151">
        <w:t xml:space="preserve">two </w:t>
      </w:r>
      <w:r w:rsidRPr="00944151">
        <w:t>quarterly report</w:t>
      </w:r>
      <w:r w:rsidR="00261746" w:rsidRPr="00944151">
        <w:t>s</w:t>
      </w:r>
      <w:r w:rsidRPr="003B51BA">
        <w:rPr>
          <w:rStyle w:val="FootnoteReference"/>
          <w:vertAlign w:val="superscript"/>
        </w:rPr>
        <w:footnoteReference w:id="1"/>
      </w:r>
      <w:r w:rsidRPr="00944151">
        <w:t>,</w:t>
      </w:r>
      <w:r w:rsidRPr="000934B1">
        <w:t xml:space="preserve"> </w:t>
      </w:r>
      <w:r w:rsidR="00BF265D" w:rsidRPr="000934B1">
        <w:t>the narrative</w:t>
      </w:r>
      <w:r w:rsidR="00CD0C40">
        <w:t>s</w:t>
      </w:r>
      <w:r w:rsidR="00BF265D" w:rsidRPr="000934B1">
        <w:t xml:space="preserve"> </w:t>
      </w:r>
      <w:r w:rsidRPr="000934B1">
        <w:t>for th</w:t>
      </w:r>
      <w:r w:rsidR="00CD0C40">
        <w:t>ese</w:t>
      </w:r>
      <w:r w:rsidRPr="000934B1">
        <w:t xml:space="preserve"> progress update</w:t>
      </w:r>
      <w:r w:rsidR="00CD0C40">
        <w:t>s</w:t>
      </w:r>
      <w:r w:rsidRPr="000934B1">
        <w:t xml:space="preserve"> ha</w:t>
      </w:r>
      <w:r w:rsidR="00CD0C40">
        <w:t>ve</w:t>
      </w:r>
      <w:r w:rsidRPr="000934B1">
        <w:t xml:space="preserve"> been provided by the School Empowerment Network</w:t>
      </w:r>
      <w:r w:rsidR="005142B7" w:rsidRPr="000934B1">
        <w:t>, based on classroom observations led by that group during that timeframe</w:t>
      </w:r>
      <w:r w:rsidRPr="000934B1">
        <w:t>.</w:t>
      </w:r>
      <w:r w:rsidR="00DE2311">
        <w:t xml:space="preserve"> </w:t>
      </w:r>
      <w:r w:rsidR="00DE2311" w:rsidRPr="00DE2311">
        <w:t>The focus of these updates is the instructional core (curriculum, pedagogy</w:t>
      </w:r>
      <w:r w:rsidR="00EE6CCA">
        <w:t>,</w:t>
      </w:r>
      <w:r w:rsidR="00DE2311" w:rsidRPr="00DE2311">
        <w:t xml:space="preserve"> and assessments)</w:t>
      </w:r>
      <w:r w:rsidR="00177636">
        <w:t>.</w:t>
      </w:r>
      <w:r w:rsidR="007276F4">
        <w:t xml:space="preserve"> A final</w:t>
      </w:r>
      <w:r w:rsidR="00E7095B">
        <w:t xml:space="preserve"> </w:t>
      </w:r>
      <w:r w:rsidR="007276F4">
        <w:t xml:space="preserve">annual review </w:t>
      </w:r>
      <w:r w:rsidR="005142B7" w:rsidRPr="000934B1">
        <w:t xml:space="preserve">will </w:t>
      </w:r>
      <w:r w:rsidR="00BD565E">
        <w:t xml:space="preserve">be </w:t>
      </w:r>
      <w:r w:rsidR="00050ACC">
        <w:t>presented</w:t>
      </w:r>
      <w:r w:rsidR="00BD565E">
        <w:t xml:space="preserve"> in June 2022</w:t>
      </w:r>
      <w:r w:rsidR="00165689">
        <w:t xml:space="preserve"> and will be based on the summative school quality reviews conducted in </w:t>
      </w:r>
      <w:r w:rsidR="00EB5414">
        <w:t>May.</w:t>
      </w:r>
      <w:r w:rsidR="00905F9A" w:rsidRPr="00905F9A">
        <w:t xml:space="preserve">  </w:t>
      </w:r>
    </w:p>
    <w:p w14:paraId="56AF516A" w14:textId="77777777" w:rsidR="00865CA6" w:rsidRPr="000934B1" w:rsidRDefault="00865CA6" w:rsidP="00A34405">
      <w:pPr>
        <w:widowControl/>
        <w:autoSpaceDE w:val="0"/>
        <w:autoSpaceDN w:val="0"/>
        <w:adjustRightInd w:val="0"/>
        <w:rPr>
          <w:sz w:val="23"/>
          <w:szCs w:val="23"/>
        </w:rPr>
      </w:pPr>
    </w:p>
    <w:p w14:paraId="3EE3C409" w14:textId="77777777" w:rsidR="00A34405" w:rsidRPr="00246773" w:rsidRDefault="00A34405" w:rsidP="00A34405">
      <w:pPr>
        <w:widowControl/>
        <w:autoSpaceDE w:val="0"/>
        <w:autoSpaceDN w:val="0"/>
        <w:adjustRightInd w:val="0"/>
        <w:rPr>
          <w:b/>
          <w:szCs w:val="24"/>
          <w:u w:val="single"/>
        </w:rPr>
      </w:pPr>
      <w:r w:rsidRPr="00246773">
        <w:rPr>
          <w:b/>
          <w:szCs w:val="24"/>
          <w:u w:val="single"/>
        </w:rPr>
        <w:t>Chronically Underperforming Schools</w:t>
      </w:r>
    </w:p>
    <w:p w14:paraId="42E453A1" w14:textId="77777777" w:rsidR="00A34405" w:rsidRPr="000934B1" w:rsidRDefault="00A34405" w:rsidP="00A34405">
      <w:pPr>
        <w:widowControl/>
        <w:autoSpaceDE w:val="0"/>
        <w:autoSpaceDN w:val="0"/>
        <w:adjustRightInd w:val="0"/>
        <w:rPr>
          <w:sz w:val="23"/>
          <w:szCs w:val="23"/>
        </w:rPr>
      </w:pPr>
    </w:p>
    <w:p w14:paraId="4C691078" w14:textId="0FE4F29F" w:rsidR="00A34405" w:rsidRPr="000934B1" w:rsidRDefault="00A34405" w:rsidP="00246773">
      <w:pPr>
        <w:pStyle w:val="NoSpacing"/>
      </w:pPr>
      <w:r w:rsidRPr="000934B1">
        <w:t xml:space="preserve">In the fall of 2013, four schools were designated as chronically underperforming schools in response to their low performance and lack of improvement while in underperforming status: </w:t>
      </w:r>
      <w:r w:rsidR="000272E0" w:rsidRPr="000934B1">
        <w:t xml:space="preserve">Paul A. </w:t>
      </w:r>
      <w:proofErr w:type="spellStart"/>
      <w:r w:rsidR="000272E0" w:rsidRPr="000934B1">
        <w:t>Dever</w:t>
      </w:r>
      <w:proofErr w:type="spellEnd"/>
      <w:r w:rsidR="000272E0" w:rsidRPr="000934B1">
        <w:t xml:space="preserve"> Elementary School (</w:t>
      </w:r>
      <w:proofErr w:type="spellStart"/>
      <w:r w:rsidR="000272E0" w:rsidRPr="000934B1">
        <w:t>Dever</w:t>
      </w:r>
      <w:proofErr w:type="spellEnd"/>
      <w:r w:rsidR="000272E0" w:rsidRPr="000934B1">
        <w:t xml:space="preserve">) </w:t>
      </w:r>
      <w:r w:rsidR="000272E0">
        <w:t xml:space="preserve">and </w:t>
      </w:r>
      <w:r w:rsidR="000272E0" w:rsidRPr="000934B1">
        <w:t>John P. Holland Elementary School (UP Academy Holland) in Boston, Morgan Full Service Community School (Morgan) in Holyoke, and John Avery Parker Elementary School (Parker) in New Bedford.</w:t>
      </w:r>
    </w:p>
    <w:p w14:paraId="75A9A248" w14:textId="57CEB3DF" w:rsidR="00A34405" w:rsidRDefault="00A34405" w:rsidP="00A34405">
      <w:pPr>
        <w:widowControl/>
        <w:autoSpaceDE w:val="0"/>
        <w:autoSpaceDN w:val="0"/>
        <w:adjustRightInd w:val="0"/>
        <w:rPr>
          <w:sz w:val="23"/>
          <w:szCs w:val="23"/>
        </w:rPr>
      </w:pPr>
    </w:p>
    <w:p w14:paraId="2CC630B2" w14:textId="2757FDA3" w:rsidR="00AE1766" w:rsidRPr="000934B1" w:rsidRDefault="00A34405" w:rsidP="004369B7">
      <w:pPr>
        <w:rPr>
          <w:b/>
          <w:sz w:val="23"/>
          <w:szCs w:val="23"/>
        </w:rPr>
      </w:pPr>
      <w:r w:rsidRPr="000934B1">
        <w:rPr>
          <w:b/>
          <w:sz w:val="23"/>
          <w:szCs w:val="23"/>
        </w:rPr>
        <w:br w:type="page"/>
      </w:r>
    </w:p>
    <w:p w14:paraId="24D10B56" w14:textId="77777777" w:rsidR="00D86C8B" w:rsidRPr="00246773" w:rsidRDefault="00D86C8B" w:rsidP="00D86C8B">
      <w:pPr>
        <w:rPr>
          <w:b/>
          <w:szCs w:val="24"/>
        </w:rPr>
      </w:pPr>
      <w:r w:rsidRPr="00246773">
        <w:rPr>
          <w:b/>
          <w:szCs w:val="24"/>
        </w:rPr>
        <w:lastRenderedPageBreak/>
        <w:t xml:space="preserve">Paul A. </w:t>
      </w:r>
      <w:proofErr w:type="spellStart"/>
      <w:r w:rsidRPr="00246773">
        <w:rPr>
          <w:b/>
          <w:szCs w:val="24"/>
        </w:rPr>
        <w:t>Dever</w:t>
      </w:r>
      <w:proofErr w:type="spellEnd"/>
      <w:r w:rsidRPr="00246773">
        <w:rPr>
          <w:b/>
          <w:szCs w:val="24"/>
        </w:rPr>
        <w:t xml:space="preserve"> Elementary School, Boston, MA</w:t>
      </w:r>
    </w:p>
    <w:p w14:paraId="28632A48" w14:textId="77777777" w:rsidR="004E4257" w:rsidRPr="00246773" w:rsidRDefault="004E4257" w:rsidP="002B37F7">
      <w:pPr>
        <w:widowControl/>
        <w:ind w:left="360" w:hanging="360"/>
        <w:rPr>
          <w:b/>
          <w:bCs/>
          <w:snapToGrid/>
          <w:szCs w:val="24"/>
        </w:rPr>
      </w:pPr>
    </w:p>
    <w:p w14:paraId="53EF3D35" w14:textId="5767137B" w:rsidR="002B37F7" w:rsidRPr="00246773" w:rsidRDefault="002B37F7" w:rsidP="002B37F7">
      <w:pPr>
        <w:widowControl/>
        <w:ind w:left="360" w:hanging="360"/>
        <w:rPr>
          <w:snapToGrid/>
          <w:szCs w:val="24"/>
        </w:rPr>
      </w:pPr>
      <w:r w:rsidRPr="00246773">
        <w:rPr>
          <w:b/>
          <w:bCs/>
          <w:snapToGrid/>
          <w:szCs w:val="24"/>
        </w:rPr>
        <w:t>School Strengths</w:t>
      </w:r>
    </w:p>
    <w:p w14:paraId="1C0BF37F" w14:textId="77777777" w:rsidR="002B37F7" w:rsidRPr="00246773" w:rsidRDefault="002B37F7" w:rsidP="00787A6C">
      <w:pPr>
        <w:widowControl/>
        <w:rPr>
          <w:snapToGrid/>
          <w:szCs w:val="24"/>
        </w:rPr>
      </w:pPr>
    </w:p>
    <w:p w14:paraId="52219C97" w14:textId="019EA732" w:rsidR="002B37F7" w:rsidRPr="00246773" w:rsidRDefault="002B37F7" w:rsidP="00D86C8B">
      <w:pPr>
        <w:widowControl/>
        <w:rPr>
          <w:snapToGrid/>
          <w:szCs w:val="24"/>
        </w:rPr>
      </w:pPr>
      <w:r w:rsidRPr="00246773">
        <w:rPr>
          <w:snapToGrid/>
          <w:szCs w:val="24"/>
        </w:rPr>
        <w:t>Area of Strength #1 </w:t>
      </w:r>
    </w:p>
    <w:p w14:paraId="0961A3EB" w14:textId="71F213D1" w:rsidR="00D60900" w:rsidRPr="00246773" w:rsidRDefault="00BC53F6" w:rsidP="00D60900">
      <w:pPr>
        <w:widowControl/>
        <w:rPr>
          <w:snapToGrid/>
          <w:szCs w:val="24"/>
        </w:rPr>
      </w:pPr>
      <w:r w:rsidRPr="00246773">
        <w:rPr>
          <w:snapToGrid/>
          <w:szCs w:val="24"/>
        </w:rPr>
        <w:t>Pedagogy</w:t>
      </w:r>
    </w:p>
    <w:p w14:paraId="6EEF1A41" w14:textId="77777777" w:rsidR="00D60900" w:rsidRPr="00246773" w:rsidRDefault="00D60900" w:rsidP="00D60900">
      <w:pPr>
        <w:widowControl/>
        <w:rPr>
          <w:snapToGrid/>
          <w:szCs w:val="24"/>
        </w:rPr>
      </w:pPr>
    </w:p>
    <w:p w14:paraId="58CC780C" w14:textId="459BE9B5" w:rsidR="002B37F7" w:rsidRPr="00246773" w:rsidRDefault="002B37F7" w:rsidP="00D60900">
      <w:pPr>
        <w:widowControl/>
        <w:spacing w:before="40" w:after="120"/>
        <w:rPr>
          <w:snapToGrid/>
          <w:szCs w:val="24"/>
        </w:rPr>
      </w:pPr>
      <w:r w:rsidRPr="00246773">
        <w:rPr>
          <w:i/>
          <w:iCs/>
          <w:snapToGrid/>
          <w:szCs w:val="24"/>
        </w:rPr>
        <w:t>Description</w:t>
      </w:r>
      <w:r w:rsidRPr="00246773">
        <w:rPr>
          <w:snapToGrid/>
          <w:szCs w:val="24"/>
        </w:rPr>
        <w:t>:</w:t>
      </w:r>
    </w:p>
    <w:p w14:paraId="26CEA558" w14:textId="6A6E89B7" w:rsidR="00BC53F6" w:rsidRDefault="0010615C" w:rsidP="00791745">
      <w:pPr>
        <w:pStyle w:val="NoSpacing"/>
        <w:rPr>
          <w:snapToGrid/>
        </w:rPr>
      </w:pPr>
      <w:r w:rsidRPr="00AB479D">
        <w:rPr>
          <w:snapToGrid/>
        </w:rPr>
        <w:t>P</w:t>
      </w:r>
      <w:r w:rsidR="00BC53F6" w:rsidRPr="00BC53F6">
        <w:rPr>
          <w:snapToGrid/>
        </w:rPr>
        <w:t>edagogy has become a strength among the three instructional core indicators</w:t>
      </w:r>
      <w:r w:rsidR="00A53A1E">
        <w:rPr>
          <w:snapToGrid/>
        </w:rPr>
        <w:t xml:space="preserve">.  In most classrooms, </w:t>
      </w:r>
      <w:r w:rsidR="00E231BF">
        <w:rPr>
          <w:snapToGrid/>
        </w:rPr>
        <w:t xml:space="preserve">teachers are enacting the </w:t>
      </w:r>
      <w:proofErr w:type="spellStart"/>
      <w:r w:rsidR="00DA5FE7" w:rsidRPr="00AB479D">
        <w:rPr>
          <w:snapToGrid/>
        </w:rPr>
        <w:t>Dever</w:t>
      </w:r>
      <w:proofErr w:type="spellEnd"/>
      <w:r w:rsidR="00DA5FE7" w:rsidRPr="00AB479D">
        <w:rPr>
          <w:snapToGrid/>
        </w:rPr>
        <w:t xml:space="preserve"> s</w:t>
      </w:r>
      <w:r w:rsidR="001912FA" w:rsidRPr="00AB479D">
        <w:rPr>
          <w:snapToGrid/>
        </w:rPr>
        <w:t>chool leaders’ vision for instruction through both t</w:t>
      </w:r>
      <w:r w:rsidR="00BC53F6" w:rsidRPr="00BC53F6">
        <w:rPr>
          <w:snapToGrid/>
        </w:rPr>
        <w:t>he</w:t>
      </w:r>
      <w:r w:rsidR="001912FA" w:rsidRPr="00AB479D">
        <w:rPr>
          <w:snapToGrid/>
        </w:rPr>
        <w:t xml:space="preserve"> schoolwide</w:t>
      </w:r>
      <w:r w:rsidR="00BC53F6" w:rsidRPr="00BC53F6">
        <w:rPr>
          <w:snapToGrid/>
        </w:rPr>
        <w:t xml:space="preserve"> instructional model</w:t>
      </w:r>
      <w:r w:rsidR="001912FA" w:rsidRPr="00AB479D">
        <w:rPr>
          <w:snapToGrid/>
        </w:rPr>
        <w:t xml:space="preserve"> </w:t>
      </w:r>
      <w:r w:rsidR="00E231BF">
        <w:rPr>
          <w:snapToGrid/>
        </w:rPr>
        <w:t>–</w:t>
      </w:r>
      <w:r w:rsidR="001912FA" w:rsidRPr="00AB479D">
        <w:rPr>
          <w:snapToGrid/>
        </w:rPr>
        <w:t xml:space="preserve"> </w:t>
      </w:r>
      <w:r w:rsidR="00BC53F6" w:rsidRPr="00BC53F6">
        <w:rPr>
          <w:snapToGrid/>
        </w:rPr>
        <w:t xml:space="preserve">Ignite, Chew, Chunk, and Review </w:t>
      </w:r>
      <w:r w:rsidR="001912FA" w:rsidRPr="00AB479D">
        <w:rPr>
          <w:snapToGrid/>
        </w:rPr>
        <w:t>(</w:t>
      </w:r>
      <w:r w:rsidR="00BC53F6" w:rsidRPr="00BC53F6">
        <w:rPr>
          <w:snapToGrid/>
        </w:rPr>
        <w:t>ICCR</w:t>
      </w:r>
      <w:r w:rsidR="001912FA" w:rsidRPr="00AB479D">
        <w:rPr>
          <w:snapToGrid/>
        </w:rPr>
        <w:t>)</w:t>
      </w:r>
      <w:r w:rsidR="00E231BF">
        <w:rPr>
          <w:snapToGrid/>
        </w:rPr>
        <w:t xml:space="preserve"> –</w:t>
      </w:r>
      <w:r w:rsidR="00BC53F6" w:rsidRPr="00BC53F6">
        <w:rPr>
          <w:snapToGrid/>
        </w:rPr>
        <w:t xml:space="preserve"> and</w:t>
      </w:r>
      <w:r w:rsidR="00E231BF">
        <w:rPr>
          <w:snapToGrid/>
        </w:rPr>
        <w:t xml:space="preserve"> </w:t>
      </w:r>
      <w:r w:rsidR="00BC53F6" w:rsidRPr="00BC53F6">
        <w:rPr>
          <w:snapToGrid/>
        </w:rPr>
        <w:t xml:space="preserve">teacher actions to support social-emotional learning (SEL). </w:t>
      </w:r>
    </w:p>
    <w:p w14:paraId="276FB859" w14:textId="77777777" w:rsidR="00791745" w:rsidRPr="00E231BF" w:rsidRDefault="00791745" w:rsidP="00791745">
      <w:pPr>
        <w:pStyle w:val="NoSpacing"/>
        <w:rPr>
          <w:snapToGrid/>
        </w:rPr>
      </w:pPr>
    </w:p>
    <w:p w14:paraId="673EEA8B" w14:textId="4949C75C" w:rsidR="00BC53F6" w:rsidRDefault="00BC53F6" w:rsidP="00791745">
      <w:pPr>
        <w:pStyle w:val="NoSpacing"/>
        <w:rPr>
          <w:snapToGrid/>
        </w:rPr>
      </w:pPr>
      <w:r w:rsidRPr="00BC53F6">
        <w:rPr>
          <w:snapToGrid/>
        </w:rPr>
        <w:t>In the majority of classrooms, teaching align</w:t>
      </w:r>
      <w:r w:rsidR="001912FA" w:rsidRPr="00AB479D">
        <w:rPr>
          <w:snapToGrid/>
        </w:rPr>
        <w:t>s</w:t>
      </w:r>
      <w:r w:rsidRPr="00BC53F6">
        <w:rPr>
          <w:snapToGrid/>
        </w:rPr>
        <w:t xml:space="preserve"> with the grade-level curricula. </w:t>
      </w:r>
      <w:r w:rsidR="00DA5FE7" w:rsidRPr="00AB479D">
        <w:rPr>
          <w:snapToGrid/>
        </w:rPr>
        <w:t>In addition, i</w:t>
      </w:r>
      <w:r w:rsidR="00DA5FE7" w:rsidRPr="00BC53F6">
        <w:rPr>
          <w:snapToGrid/>
        </w:rPr>
        <w:t>n most classrooms,</w:t>
      </w:r>
      <w:r w:rsidR="00DA5FE7" w:rsidRPr="00AB479D">
        <w:rPr>
          <w:snapToGrid/>
        </w:rPr>
        <w:t xml:space="preserve"> </w:t>
      </w:r>
      <w:r w:rsidR="00DA5FE7" w:rsidRPr="00BC53F6">
        <w:rPr>
          <w:snapToGrid/>
        </w:rPr>
        <w:t xml:space="preserve">instructional practices </w:t>
      </w:r>
      <w:r w:rsidR="00DA5FE7" w:rsidRPr="00AB479D">
        <w:rPr>
          <w:snapToGrid/>
        </w:rPr>
        <w:t xml:space="preserve">are </w:t>
      </w:r>
      <w:r w:rsidR="00DA5FE7" w:rsidRPr="00BC53F6">
        <w:rPr>
          <w:snapToGrid/>
        </w:rPr>
        <w:t>culturally responsive</w:t>
      </w:r>
      <w:r w:rsidRPr="00BC53F6">
        <w:rPr>
          <w:snapToGrid/>
        </w:rPr>
        <w:t>. In all classrooms,</w:t>
      </w:r>
      <w:r w:rsidR="008B1BF9">
        <w:rPr>
          <w:snapToGrid/>
        </w:rPr>
        <w:t xml:space="preserve"> planned instructional strategies emphasize </w:t>
      </w:r>
      <w:r w:rsidRPr="00BC53F6">
        <w:rPr>
          <w:snapToGrid/>
        </w:rPr>
        <w:t xml:space="preserve">time-on-task, eliciting student thinking, or building independence. In many classrooms, </w:t>
      </w:r>
      <w:r w:rsidR="009F4E9C">
        <w:rPr>
          <w:snapToGrid/>
        </w:rPr>
        <w:t xml:space="preserve">teachers are fully utilizing </w:t>
      </w:r>
      <w:r w:rsidRPr="00BC53F6">
        <w:rPr>
          <w:snapToGrid/>
        </w:rPr>
        <w:t xml:space="preserve">these strategies. For example, in a math lesson, one group of students </w:t>
      </w:r>
      <w:r w:rsidRPr="00BC53F6">
        <w:rPr>
          <w:i/>
          <w:iCs/>
          <w:snapToGrid/>
        </w:rPr>
        <w:t>discovered</w:t>
      </w:r>
      <w:r w:rsidRPr="00BC53F6">
        <w:rPr>
          <w:snapToGrid/>
        </w:rPr>
        <w:t xml:space="preserve"> that a smaller number in the denominator can actually mean a larger piece of </w:t>
      </w:r>
      <w:r w:rsidR="00A01108" w:rsidRPr="00AB479D">
        <w:rPr>
          <w:snapToGrid/>
        </w:rPr>
        <w:t xml:space="preserve">a whole while comparing </w:t>
      </w:r>
      <w:r w:rsidRPr="00BC53F6">
        <w:rPr>
          <w:snapToGrid/>
        </w:rPr>
        <w:t xml:space="preserve">one-third to one-sixth. These students had ample time to </w:t>
      </w:r>
      <w:r w:rsidR="00A01108" w:rsidRPr="00AB479D">
        <w:rPr>
          <w:snapToGrid/>
        </w:rPr>
        <w:t>build an</w:t>
      </w:r>
      <w:r w:rsidRPr="00BC53F6">
        <w:rPr>
          <w:snapToGrid/>
        </w:rPr>
        <w:t xml:space="preserve"> understanding of equivalent fractions based upon part-to-whole relationships. </w:t>
      </w:r>
    </w:p>
    <w:p w14:paraId="0D4F73CD" w14:textId="77777777" w:rsidR="00791745" w:rsidRPr="008B1BF9" w:rsidRDefault="00791745" w:rsidP="00791745">
      <w:pPr>
        <w:pStyle w:val="NoSpacing"/>
        <w:rPr>
          <w:snapToGrid/>
        </w:rPr>
      </w:pPr>
    </w:p>
    <w:p w14:paraId="51017919" w14:textId="3A84E9B5" w:rsidR="008756B6" w:rsidRPr="00AB479D" w:rsidRDefault="006E091A" w:rsidP="00791745">
      <w:pPr>
        <w:pStyle w:val="NoSpacing"/>
        <w:rPr>
          <w:snapToGrid/>
        </w:rPr>
      </w:pPr>
      <w:r w:rsidRPr="00246773">
        <w:t>Moving forward, school leaders should c</w:t>
      </w:r>
      <w:r w:rsidR="00BC53F6" w:rsidRPr="00246773">
        <w:t xml:space="preserve">ontinue </w:t>
      </w:r>
      <w:r w:rsidRPr="00246773">
        <w:t xml:space="preserve">to make time for teachers </w:t>
      </w:r>
      <w:r w:rsidR="00BC53F6" w:rsidRPr="00246773">
        <w:t xml:space="preserve">to visit one another’s classrooms. </w:t>
      </w:r>
      <w:r w:rsidRPr="00246773">
        <w:t>School leaders should</w:t>
      </w:r>
      <w:r w:rsidR="00BC53F6" w:rsidRPr="00246773">
        <w:t xml:space="preserve"> continue </w:t>
      </w:r>
      <w:r w:rsidR="00A01108" w:rsidRPr="00246773">
        <w:t xml:space="preserve">to </w:t>
      </w:r>
      <w:r w:rsidR="00BC53F6" w:rsidRPr="00246773">
        <w:t>provide feedback</w:t>
      </w:r>
      <w:r w:rsidR="00A01108" w:rsidRPr="00246773">
        <w:t xml:space="preserve"> to teachers frequently</w:t>
      </w:r>
      <w:r w:rsidR="008D52A7" w:rsidRPr="00246773">
        <w:t xml:space="preserve">. They should </w:t>
      </w:r>
      <w:r w:rsidR="00A01108" w:rsidRPr="00246773">
        <w:t xml:space="preserve">use the tracker to monitor </w:t>
      </w:r>
      <w:r w:rsidR="008D52A7" w:rsidRPr="00246773">
        <w:t xml:space="preserve">teacher progress, note trends, and plan </w:t>
      </w:r>
      <w:r w:rsidR="00BC53F6" w:rsidRPr="00246773">
        <w:t>professional development priorities</w:t>
      </w:r>
      <w:r w:rsidR="00BC53F6" w:rsidRPr="00BC53F6">
        <w:rPr>
          <w:snapToGrid/>
        </w:rPr>
        <w:t>.</w:t>
      </w:r>
    </w:p>
    <w:p w14:paraId="44F9029D" w14:textId="77777777" w:rsidR="00A34405" w:rsidRPr="00AB479D" w:rsidRDefault="00A34405" w:rsidP="00A34405">
      <w:pPr>
        <w:rPr>
          <w:sz w:val="23"/>
          <w:szCs w:val="23"/>
        </w:rPr>
      </w:pPr>
    </w:p>
    <w:p w14:paraId="1FE609A5" w14:textId="176E1271" w:rsidR="00A34405" w:rsidRPr="00246773" w:rsidRDefault="00817A51" w:rsidP="00A34405">
      <w:pPr>
        <w:rPr>
          <w:b/>
          <w:bCs/>
          <w:szCs w:val="24"/>
        </w:rPr>
        <w:sectPr w:rsidR="00A34405" w:rsidRPr="00246773" w:rsidSect="00BE0438">
          <w:footerReference w:type="default" r:id="rId12"/>
          <w:endnotePr>
            <w:numFmt w:val="decimal"/>
          </w:endnotePr>
          <w:type w:val="continuous"/>
          <w:pgSz w:w="12240" w:h="15840"/>
          <w:pgMar w:top="1008" w:right="1440" w:bottom="1008" w:left="1440" w:header="1440" w:footer="1440" w:gutter="0"/>
          <w:cols w:space="720"/>
          <w:formProt w:val="0"/>
          <w:noEndnote/>
          <w:docGrid w:linePitch="326"/>
        </w:sectPr>
      </w:pPr>
      <w:r w:rsidRPr="00246773">
        <w:rPr>
          <w:b/>
          <w:bCs/>
          <w:szCs w:val="24"/>
        </w:rPr>
        <w:t>Areas of Focus</w:t>
      </w:r>
    </w:p>
    <w:p w14:paraId="6AD9E54C" w14:textId="4B0C2931" w:rsidR="002B37F7" w:rsidRPr="00246773" w:rsidRDefault="002B37F7" w:rsidP="00E77B95">
      <w:pPr>
        <w:widowControl/>
        <w:spacing w:before="104"/>
        <w:rPr>
          <w:snapToGrid/>
          <w:szCs w:val="24"/>
        </w:rPr>
      </w:pPr>
      <w:r w:rsidRPr="00246773">
        <w:rPr>
          <w:snapToGrid/>
          <w:szCs w:val="24"/>
        </w:rPr>
        <w:t>Area of Focus #1</w:t>
      </w:r>
    </w:p>
    <w:p w14:paraId="2D841C78" w14:textId="6BF151F0" w:rsidR="002B37F7" w:rsidRPr="00246773" w:rsidRDefault="00E860C0" w:rsidP="00E77B95">
      <w:pPr>
        <w:widowControl/>
        <w:rPr>
          <w:snapToGrid/>
          <w:szCs w:val="24"/>
        </w:rPr>
      </w:pPr>
      <w:r w:rsidRPr="00246773">
        <w:rPr>
          <w:snapToGrid/>
          <w:szCs w:val="24"/>
        </w:rPr>
        <w:t>Assessment</w:t>
      </w:r>
    </w:p>
    <w:p w14:paraId="2070E526" w14:textId="77777777" w:rsidR="00E860C0" w:rsidRPr="00246773" w:rsidRDefault="00E860C0" w:rsidP="002B37F7">
      <w:pPr>
        <w:widowControl/>
        <w:ind w:left="86"/>
        <w:rPr>
          <w:snapToGrid/>
          <w:szCs w:val="24"/>
        </w:rPr>
      </w:pPr>
    </w:p>
    <w:p w14:paraId="4044F705" w14:textId="0ADA23A2" w:rsidR="002B37F7" w:rsidRPr="00246773" w:rsidRDefault="002B37F7" w:rsidP="00E77B95">
      <w:pPr>
        <w:widowControl/>
        <w:spacing w:after="120"/>
        <w:rPr>
          <w:snapToGrid/>
          <w:szCs w:val="24"/>
        </w:rPr>
      </w:pPr>
      <w:r w:rsidRPr="00246773">
        <w:rPr>
          <w:i/>
          <w:iCs/>
          <w:snapToGrid/>
          <w:szCs w:val="24"/>
        </w:rPr>
        <w:t>Description</w:t>
      </w:r>
      <w:r w:rsidRPr="00246773">
        <w:rPr>
          <w:snapToGrid/>
          <w:szCs w:val="24"/>
        </w:rPr>
        <w:t>:</w:t>
      </w:r>
    </w:p>
    <w:p w14:paraId="479E8689" w14:textId="4A725784" w:rsidR="00BC53F6" w:rsidRPr="00246773" w:rsidRDefault="008D52A7" w:rsidP="00246773">
      <w:pPr>
        <w:pStyle w:val="NoSpacing"/>
      </w:pPr>
      <w:r>
        <w:t>S</w:t>
      </w:r>
      <w:r w:rsidR="00BC53F6">
        <w:t>ome grade level</w:t>
      </w:r>
      <w:r>
        <w:t xml:space="preserve"> teams </w:t>
      </w:r>
      <w:r w:rsidR="00BC53F6">
        <w:t xml:space="preserve">are utilizing common assessments to measure progress toward goals. Teachers administer </w:t>
      </w:r>
      <w:r>
        <w:t xml:space="preserve">the </w:t>
      </w:r>
      <w:r w:rsidR="00BC53F6">
        <w:t>common unit assessments</w:t>
      </w:r>
      <w:r>
        <w:t xml:space="preserve"> embedded</w:t>
      </w:r>
      <w:r w:rsidR="00BC53F6">
        <w:t xml:space="preserve"> in the </w:t>
      </w:r>
      <w:r>
        <w:t xml:space="preserve">selected math and </w:t>
      </w:r>
      <w:r w:rsidR="00EE1C7F">
        <w:t>English language arts (ELA)</w:t>
      </w:r>
      <w:r w:rsidR="00BC53F6">
        <w:t xml:space="preserve"> curricula. </w:t>
      </w:r>
      <w:r w:rsidR="00955423">
        <w:t>Based on feedback from the previous SQR site</w:t>
      </w:r>
      <w:r w:rsidR="00810C0F">
        <w:t xml:space="preserve"> </w:t>
      </w:r>
      <w:r w:rsidR="00955423">
        <w:t xml:space="preserve">visit, </w:t>
      </w:r>
      <w:r w:rsidR="00BC53F6">
        <w:t>leaders developed the “</w:t>
      </w:r>
      <w:proofErr w:type="spellStart"/>
      <w:r w:rsidR="00BC53F6">
        <w:t>Dever</w:t>
      </w:r>
      <w:proofErr w:type="spellEnd"/>
      <w:r w:rsidR="00BC53F6">
        <w:t xml:space="preserve"> Data Hub,” a dashboard to provide a comprehensive view of student progress over the year. </w:t>
      </w:r>
      <w:r w:rsidR="00955423">
        <w:t xml:space="preserve">The data hub currently includes MAP </w:t>
      </w:r>
      <w:r w:rsidR="00E94BA0">
        <w:t xml:space="preserve">assessment </w:t>
      </w:r>
      <w:r w:rsidR="00955423">
        <w:t>data along with data from math, ELA, and science unit assessments.</w:t>
      </w:r>
      <w:r w:rsidR="00EE6CCA">
        <w:t xml:space="preserve"> </w:t>
      </w:r>
      <w:r w:rsidR="000D61D6">
        <w:t>Teachers, however, are not yet consistently utilizing a</w:t>
      </w:r>
      <w:r w:rsidR="00955423">
        <w:t>ssessment data to drive improvements to instruction</w:t>
      </w:r>
      <w:r w:rsidR="00BC53F6">
        <w:t>.</w:t>
      </w:r>
      <w:r w:rsidR="004815EE">
        <w:t xml:space="preserve"> </w:t>
      </w:r>
      <w:r w:rsidR="00BC53F6">
        <w:t>The data hub represents exam scores but not a breakdown of performance by standard. This results in inconsistent use of the data to adjust curricula, instruction, and, in some cases, intervention. </w:t>
      </w:r>
    </w:p>
    <w:p w14:paraId="2F4C8019" w14:textId="77777777" w:rsidR="00246773" w:rsidRPr="00AB479D" w:rsidRDefault="00246773" w:rsidP="00791745">
      <w:pPr>
        <w:pStyle w:val="NoSpacing"/>
      </w:pPr>
    </w:p>
    <w:p w14:paraId="279C0EF0" w14:textId="35FE2DAC" w:rsidR="00BC53F6" w:rsidRPr="00246773" w:rsidRDefault="00BC53F6" w:rsidP="00246773">
      <w:pPr>
        <w:pStyle w:val="NoSpacing"/>
      </w:pPr>
      <w:r w:rsidRPr="00246773">
        <w:t xml:space="preserve">The frequency and quality of </w:t>
      </w:r>
      <w:r w:rsidR="00955423" w:rsidRPr="00246773">
        <w:t xml:space="preserve">daily formative assessment practices (such as </w:t>
      </w:r>
      <w:r w:rsidR="0097634A" w:rsidRPr="00246773">
        <w:t>“</w:t>
      </w:r>
      <w:r w:rsidR="00955423" w:rsidRPr="00246773">
        <w:t>conferral</w:t>
      </w:r>
      <w:r w:rsidR="00FC285C" w:rsidRPr="00246773">
        <w:t>s</w:t>
      </w:r>
      <w:r w:rsidR="00955423" w:rsidRPr="00246773">
        <w:t>,</w:t>
      </w:r>
      <w:r w:rsidR="0097634A" w:rsidRPr="00246773">
        <w:t>”</w:t>
      </w:r>
      <w:r w:rsidR="00955423" w:rsidRPr="00246773">
        <w:t xml:space="preserve"> check</w:t>
      </w:r>
      <w:r w:rsidR="0097634A" w:rsidRPr="00246773">
        <w:t>s</w:t>
      </w:r>
      <w:r w:rsidR="00955423" w:rsidRPr="00246773">
        <w:t xml:space="preserve"> for understanding,</w:t>
      </w:r>
      <w:r w:rsidR="0097634A" w:rsidRPr="00246773">
        <w:t xml:space="preserve"> or exit tickets)</w:t>
      </w:r>
      <w:r w:rsidRPr="00246773">
        <w:t xml:space="preserve"> vary across the school, as does the analysis of data collected </w:t>
      </w:r>
      <w:r w:rsidR="00281D56" w:rsidRPr="00246773">
        <w:t xml:space="preserve">during instruction. </w:t>
      </w:r>
      <w:r w:rsidRPr="00246773">
        <w:t xml:space="preserve">In a few classrooms, it was unclear how the teacher was checking for understanding during the lesson. In </w:t>
      </w:r>
      <w:r w:rsidR="00EA100E" w:rsidRPr="00246773">
        <w:t>at least one classroom</w:t>
      </w:r>
      <w:r w:rsidRPr="00246773">
        <w:t xml:space="preserve">, </w:t>
      </w:r>
      <w:r w:rsidR="003B7BB2" w:rsidRPr="00246773">
        <w:t>teachers missed opportunities to</w:t>
      </w:r>
      <w:r w:rsidR="00F7597C" w:rsidRPr="00246773">
        <w:t xml:space="preserve"> </w:t>
      </w:r>
      <w:r w:rsidR="00F7597C" w:rsidRPr="00246773">
        <w:lastRenderedPageBreak/>
        <w:t>address</w:t>
      </w:r>
      <w:r w:rsidR="003B7BB2" w:rsidRPr="00246773">
        <w:t xml:space="preserve"> </w:t>
      </w:r>
      <w:r w:rsidRPr="00246773">
        <w:t>student</w:t>
      </w:r>
      <w:r w:rsidR="00EA100E" w:rsidRPr="00246773">
        <w:t xml:space="preserve"> misunderstanding</w:t>
      </w:r>
      <w:r w:rsidR="00F7597C" w:rsidRPr="00246773">
        <w:t>s</w:t>
      </w:r>
      <w:r w:rsidRPr="00246773">
        <w:t xml:space="preserve">. </w:t>
      </w:r>
      <w:r w:rsidR="0097634A" w:rsidRPr="00246773">
        <w:t>In an</w:t>
      </w:r>
      <w:r w:rsidR="00EA100E" w:rsidRPr="00246773">
        <w:t>other classroom</w:t>
      </w:r>
      <w:r w:rsidR="0097634A" w:rsidRPr="00246773">
        <w:t>, w</w:t>
      </w:r>
      <w:r w:rsidRPr="00246773">
        <w:t xml:space="preserve">hile students </w:t>
      </w:r>
      <w:r w:rsidR="0097634A" w:rsidRPr="00246773">
        <w:t xml:space="preserve">worked independently, </w:t>
      </w:r>
      <w:r w:rsidRPr="00246773">
        <w:t xml:space="preserve">the teacher circulated </w:t>
      </w:r>
      <w:r w:rsidR="00EA100E" w:rsidRPr="00246773">
        <w:t>but</w:t>
      </w:r>
      <w:r w:rsidRPr="00246773">
        <w:t xml:space="preserve"> focused on work completion rather than </w:t>
      </w:r>
      <w:r w:rsidR="00EA100E" w:rsidRPr="00246773">
        <w:t>on gauging</w:t>
      </w:r>
      <w:r w:rsidRPr="00246773">
        <w:t xml:space="preserve"> student understanding. </w:t>
      </w:r>
    </w:p>
    <w:p w14:paraId="42EFC0CE" w14:textId="77777777" w:rsidR="00791745" w:rsidRPr="00AB479D" w:rsidRDefault="00791745" w:rsidP="00791745">
      <w:pPr>
        <w:pStyle w:val="NoSpacing"/>
      </w:pPr>
    </w:p>
    <w:p w14:paraId="1E05C111" w14:textId="5AEDF4A9" w:rsidR="00817A51" w:rsidRPr="00615616" w:rsidRDefault="00EA100E" w:rsidP="00791745">
      <w:pPr>
        <w:pStyle w:val="NoSpacing"/>
      </w:pPr>
      <w:r w:rsidRPr="00246773">
        <w:t xml:space="preserve">Moving forward, school leaders should </w:t>
      </w:r>
      <w:r w:rsidR="0098309A" w:rsidRPr="00246773">
        <w:t xml:space="preserve">communicate common expectations for formative assessment during lessons. They should </w:t>
      </w:r>
      <w:r w:rsidRPr="00246773">
        <w:t>build the capacity of every team and</w:t>
      </w:r>
      <w:r w:rsidR="0098309A" w:rsidRPr="00246773">
        <w:t xml:space="preserve"> every</w:t>
      </w:r>
      <w:r w:rsidRPr="00246773">
        <w:t xml:space="preserve"> teacher to use ongoing assessment to inform adjustments to curricula and instruction</w:t>
      </w:r>
      <w:r w:rsidRPr="00AB479D">
        <w:t xml:space="preserve">. </w:t>
      </w:r>
    </w:p>
    <w:p w14:paraId="55D56B9B" w14:textId="03E8D813" w:rsidR="00817A51" w:rsidRPr="00246773" w:rsidRDefault="00817A51" w:rsidP="001763D3">
      <w:pPr>
        <w:widowControl/>
        <w:spacing w:before="104"/>
        <w:rPr>
          <w:snapToGrid/>
          <w:szCs w:val="24"/>
        </w:rPr>
      </w:pPr>
      <w:r w:rsidRPr="00246773">
        <w:rPr>
          <w:snapToGrid/>
          <w:szCs w:val="24"/>
        </w:rPr>
        <w:t>Area of Focus #2</w:t>
      </w:r>
    </w:p>
    <w:p w14:paraId="1B70CD95" w14:textId="11E15415" w:rsidR="00817A51" w:rsidRPr="00246773" w:rsidRDefault="00E860C0" w:rsidP="00817A51">
      <w:pPr>
        <w:widowControl/>
        <w:rPr>
          <w:snapToGrid/>
          <w:szCs w:val="24"/>
        </w:rPr>
      </w:pPr>
      <w:r w:rsidRPr="00246773">
        <w:rPr>
          <w:snapToGrid/>
          <w:szCs w:val="24"/>
        </w:rPr>
        <w:t>Curriculum</w:t>
      </w:r>
    </w:p>
    <w:p w14:paraId="0C636E31" w14:textId="77777777" w:rsidR="00E860C0" w:rsidRPr="00246773" w:rsidRDefault="00E860C0" w:rsidP="00817A51">
      <w:pPr>
        <w:widowControl/>
        <w:rPr>
          <w:snapToGrid/>
          <w:szCs w:val="24"/>
        </w:rPr>
      </w:pPr>
    </w:p>
    <w:p w14:paraId="518B967C" w14:textId="77777777" w:rsidR="00817A51" w:rsidRPr="00246773" w:rsidRDefault="00817A51" w:rsidP="001763D3">
      <w:pPr>
        <w:widowControl/>
        <w:spacing w:after="120"/>
        <w:rPr>
          <w:snapToGrid/>
          <w:szCs w:val="24"/>
        </w:rPr>
      </w:pPr>
      <w:r w:rsidRPr="00246773">
        <w:rPr>
          <w:i/>
          <w:iCs/>
          <w:snapToGrid/>
          <w:szCs w:val="24"/>
        </w:rPr>
        <w:t>Description</w:t>
      </w:r>
      <w:r w:rsidRPr="00246773">
        <w:rPr>
          <w:snapToGrid/>
          <w:szCs w:val="24"/>
        </w:rPr>
        <w:t>:</w:t>
      </w:r>
    </w:p>
    <w:p w14:paraId="63C88229" w14:textId="7721DAB0" w:rsidR="00E860C0" w:rsidRDefault="00E860C0" w:rsidP="00246773">
      <w:pPr>
        <w:pStyle w:val="NoSpacing"/>
      </w:pPr>
      <w:r w:rsidRPr="00E860C0">
        <w:rPr>
          <w:snapToGrid/>
        </w:rPr>
        <w:t xml:space="preserve">The school community has </w:t>
      </w:r>
      <w:r w:rsidR="005F5419" w:rsidRPr="00AB479D">
        <w:rPr>
          <w:snapToGrid/>
        </w:rPr>
        <w:t>selected core curricul</w:t>
      </w:r>
      <w:r w:rsidR="001763D3">
        <w:rPr>
          <w:snapToGrid/>
        </w:rPr>
        <w:t>a</w:t>
      </w:r>
      <w:r w:rsidR="005F5419" w:rsidRPr="00AB479D">
        <w:rPr>
          <w:snapToGrid/>
        </w:rPr>
        <w:t xml:space="preserve"> including </w:t>
      </w:r>
      <w:r w:rsidRPr="00E860C0">
        <w:rPr>
          <w:snapToGrid/>
        </w:rPr>
        <w:t xml:space="preserve">Contexts for Learning (CFL) in math and Expeditionary Learning (EL) and </w:t>
      </w:r>
      <w:proofErr w:type="spellStart"/>
      <w:r w:rsidRPr="00E860C0">
        <w:rPr>
          <w:snapToGrid/>
        </w:rPr>
        <w:t>StudySync</w:t>
      </w:r>
      <w:proofErr w:type="spellEnd"/>
      <w:r w:rsidRPr="00E860C0">
        <w:rPr>
          <w:snapToGrid/>
        </w:rPr>
        <w:t xml:space="preserve"> in ELA. Daily written</w:t>
      </w:r>
      <w:r w:rsidR="00044BD8">
        <w:rPr>
          <w:snapToGrid/>
        </w:rPr>
        <w:t xml:space="preserve"> lesson</w:t>
      </w:r>
      <w:r w:rsidRPr="00E860C0">
        <w:rPr>
          <w:snapToGrid/>
        </w:rPr>
        <w:t xml:space="preserve"> plans are beginning to provide diverse learners access to curricula. </w:t>
      </w:r>
      <w:r w:rsidR="0098309A" w:rsidRPr="00AB479D">
        <w:rPr>
          <w:snapToGrid/>
        </w:rPr>
        <w:t xml:space="preserve">A new, co-teaching lesson plan template </w:t>
      </w:r>
      <w:r w:rsidRPr="00E860C0">
        <w:rPr>
          <w:snapToGrid/>
        </w:rPr>
        <w:t xml:space="preserve">requires co-teachers to identify </w:t>
      </w:r>
      <w:r w:rsidR="005F5419" w:rsidRPr="00AB479D">
        <w:rPr>
          <w:snapToGrid/>
        </w:rPr>
        <w:t xml:space="preserve">each teacher’s role and anticipate </w:t>
      </w:r>
      <w:r w:rsidR="00211749" w:rsidRPr="00AB479D">
        <w:rPr>
          <w:snapToGrid/>
        </w:rPr>
        <w:t>what students will do in each lesson segment. T</w:t>
      </w:r>
      <w:r w:rsidRPr="00E860C0">
        <w:rPr>
          <w:snapToGrid/>
        </w:rPr>
        <w:t xml:space="preserve">his approach offers a start to planning for co-teaching, </w:t>
      </w:r>
      <w:r w:rsidR="00211749" w:rsidRPr="00AB479D">
        <w:rPr>
          <w:snapToGrid/>
        </w:rPr>
        <w:t>but</w:t>
      </w:r>
      <w:r w:rsidRPr="00E860C0">
        <w:rPr>
          <w:snapToGrid/>
        </w:rPr>
        <w:t xml:space="preserve"> does not yet include strategic scaffolding for particular students or comprehensive educator support so that all students meet the standards. This level of planning for co-teaching would promote cognitive engagement for diverse learners.  </w:t>
      </w:r>
    </w:p>
    <w:p w14:paraId="063DD575" w14:textId="77777777" w:rsidR="00246773" w:rsidRPr="00E860C0" w:rsidRDefault="00246773" w:rsidP="00246773">
      <w:pPr>
        <w:pStyle w:val="NoSpacing"/>
        <w:rPr>
          <w:snapToGrid/>
        </w:rPr>
      </w:pPr>
    </w:p>
    <w:p w14:paraId="75466D3A" w14:textId="77777777" w:rsidR="00246773" w:rsidRDefault="00E860C0" w:rsidP="00246773">
      <w:pPr>
        <w:pStyle w:val="NoSpacing"/>
      </w:pPr>
      <w:r w:rsidRPr="00E860C0">
        <w:rPr>
          <w:snapToGrid/>
        </w:rPr>
        <w:t xml:space="preserve">During common planning time, teachers </w:t>
      </w:r>
      <w:r w:rsidR="00E253FE">
        <w:rPr>
          <w:snapToGrid/>
        </w:rPr>
        <w:t xml:space="preserve">preview </w:t>
      </w:r>
      <w:r w:rsidRPr="00E860C0">
        <w:rPr>
          <w:snapToGrid/>
        </w:rPr>
        <w:t>upcoming</w:t>
      </w:r>
      <w:r w:rsidR="0037079A" w:rsidRPr="00AB479D">
        <w:rPr>
          <w:snapToGrid/>
        </w:rPr>
        <w:t xml:space="preserve"> math</w:t>
      </w:r>
      <w:r w:rsidRPr="00E860C0">
        <w:rPr>
          <w:snapToGrid/>
        </w:rPr>
        <w:t xml:space="preserve"> unit</w:t>
      </w:r>
      <w:r w:rsidR="0037079A" w:rsidRPr="00AB479D">
        <w:rPr>
          <w:snapToGrid/>
        </w:rPr>
        <w:t>s</w:t>
      </w:r>
      <w:r w:rsidRPr="00E860C0">
        <w:rPr>
          <w:snapToGrid/>
        </w:rPr>
        <w:t xml:space="preserve"> and lessons, </w:t>
      </w:r>
      <w:proofErr w:type="gramStart"/>
      <w:r w:rsidRPr="00E860C0">
        <w:rPr>
          <w:snapToGrid/>
        </w:rPr>
        <w:t>making adjustments</w:t>
      </w:r>
      <w:proofErr w:type="gramEnd"/>
      <w:r w:rsidRPr="00E860C0">
        <w:rPr>
          <w:snapToGrid/>
        </w:rPr>
        <w:t xml:space="preserve"> with support from the math coach. By analyzing the beginning of the unit and the number theory involved, some teachers have developed a deeper understanding of the applicable standards. </w:t>
      </w:r>
      <w:r w:rsidR="0037079A" w:rsidRPr="00AB479D">
        <w:rPr>
          <w:snapToGrid/>
        </w:rPr>
        <w:t>T</w:t>
      </w:r>
      <w:r w:rsidRPr="00E860C0">
        <w:rPr>
          <w:snapToGrid/>
        </w:rPr>
        <w:t xml:space="preserve">here </w:t>
      </w:r>
      <w:r w:rsidR="0037079A" w:rsidRPr="00AB479D">
        <w:rPr>
          <w:snapToGrid/>
        </w:rPr>
        <w:t>i</w:t>
      </w:r>
      <w:r w:rsidRPr="00E860C0">
        <w:rPr>
          <w:snapToGrid/>
        </w:rPr>
        <w:t xml:space="preserve">s greater alignment </w:t>
      </w:r>
      <w:r w:rsidR="0037079A" w:rsidRPr="00AB479D">
        <w:rPr>
          <w:snapToGrid/>
        </w:rPr>
        <w:t>to</w:t>
      </w:r>
      <w:r w:rsidRPr="00E860C0">
        <w:rPr>
          <w:snapToGrid/>
        </w:rPr>
        <w:t xml:space="preserve"> standards in math than in ELA.</w:t>
      </w:r>
    </w:p>
    <w:p w14:paraId="1E363B95" w14:textId="533D6487" w:rsidR="00E860C0" w:rsidRPr="00E860C0" w:rsidRDefault="00E860C0" w:rsidP="00246773">
      <w:pPr>
        <w:pStyle w:val="NoSpacing"/>
        <w:rPr>
          <w:snapToGrid/>
        </w:rPr>
      </w:pPr>
      <w:r w:rsidRPr="00E860C0">
        <w:rPr>
          <w:snapToGrid/>
        </w:rPr>
        <w:t>  </w:t>
      </w:r>
    </w:p>
    <w:p w14:paraId="2198910E" w14:textId="28AB045F" w:rsidR="00E860C0" w:rsidRDefault="00E860C0" w:rsidP="00246773">
      <w:pPr>
        <w:pStyle w:val="NoSpacing"/>
        <w:rPr>
          <w:snapToGrid/>
        </w:rPr>
      </w:pPr>
      <w:r w:rsidRPr="00E860C0">
        <w:rPr>
          <w:snapToGrid/>
        </w:rPr>
        <w:t>Currently, the school is utilizing a variety of ELA curricular resources across grade levels. Selecting one common resource would support co-planning and vertical alignment in the same way that the selection of CFL has fostered this alignment in math. Teachers are in the initial stages of implementing th</w:t>
      </w:r>
      <w:r w:rsidR="005F5419" w:rsidRPr="00AB479D">
        <w:rPr>
          <w:snapToGrid/>
        </w:rPr>
        <w:t>e</w:t>
      </w:r>
      <w:r w:rsidRPr="00E860C0">
        <w:rPr>
          <w:snapToGrid/>
        </w:rPr>
        <w:t xml:space="preserve"> full </w:t>
      </w:r>
      <w:r w:rsidR="003E0776">
        <w:rPr>
          <w:snapToGrid/>
        </w:rPr>
        <w:t>EL</w:t>
      </w:r>
      <w:r w:rsidR="005F5419" w:rsidRPr="00AB479D">
        <w:rPr>
          <w:snapToGrid/>
        </w:rPr>
        <w:t xml:space="preserve"> </w:t>
      </w:r>
      <w:r w:rsidRPr="00E860C0">
        <w:rPr>
          <w:snapToGrid/>
        </w:rPr>
        <w:t xml:space="preserve">writing program. In ELA settings, teachers use a variety of graphic organizers to support the writing process. </w:t>
      </w:r>
      <w:r w:rsidR="005F5419" w:rsidRPr="00AB479D">
        <w:rPr>
          <w:snapToGrid/>
        </w:rPr>
        <w:t>I</w:t>
      </w:r>
      <w:r w:rsidRPr="00E860C0">
        <w:rPr>
          <w:snapToGrid/>
        </w:rPr>
        <w:t>n one room students wrote about the procedure they used to build a block structure. They articulated the process verbally but struggled to write about it on their own.</w:t>
      </w:r>
      <w:r w:rsidR="005F5419" w:rsidRPr="00AB479D">
        <w:rPr>
          <w:snapToGrid/>
        </w:rPr>
        <w:t xml:space="preserve"> S</w:t>
      </w:r>
      <w:r w:rsidRPr="00E860C0">
        <w:rPr>
          <w:snapToGrid/>
        </w:rPr>
        <w:t xml:space="preserve">amples of student work </w:t>
      </w:r>
      <w:r w:rsidR="005F5419" w:rsidRPr="00AB479D">
        <w:rPr>
          <w:snapToGrid/>
        </w:rPr>
        <w:t xml:space="preserve">in ELA </w:t>
      </w:r>
      <w:r w:rsidRPr="00E860C0">
        <w:rPr>
          <w:snapToGrid/>
        </w:rPr>
        <w:t xml:space="preserve">demonstrate varying levels of complexity in both </w:t>
      </w:r>
      <w:r w:rsidR="003C5FE0">
        <w:rPr>
          <w:snapToGrid/>
        </w:rPr>
        <w:t>tasks and</w:t>
      </w:r>
      <w:r w:rsidRPr="00E860C0">
        <w:rPr>
          <w:snapToGrid/>
        </w:rPr>
        <w:t xml:space="preserve"> responses. </w:t>
      </w:r>
    </w:p>
    <w:p w14:paraId="7010E566" w14:textId="77777777" w:rsidR="00246773" w:rsidRPr="00E860C0" w:rsidRDefault="00246773" w:rsidP="00246773">
      <w:pPr>
        <w:pStyle w:val="NoSpacing"/>
        <w:rPr>
          <w:snapToGrid/>
        </w:rPr>
      </w:pPr>
    </w:p>
    <w:p w14:paraId="75019C53" w14:textId="634C2015" w:rsidR="00321124" w:rsidRDefault="00E860C0" w:rsidP="00246773">
      <w:pPr>
        <w:pStyle w:val="NoSpacing"/>
        <w:rPr>
          <w:snapToGrid/>
        </w:rPr>
      </w:pPr>
      <w:r w:rsidRPr="00E860C0">
        <w:rPr>
          <w:snapToGrid/>
        </w:rPr>
        <w:t xml:space="preserve">Overall, the selection of a high-quality math curriculum has begun to offer all students access to grade-level content. In ELA, the implementation and use of curricular materials </w:t>
      </w:r>
      <w:r w:rsidR="007D4417">
        <w:rPr>
          <w:snapToGrid/>
        </w:rPr>
        <w:t xml:space="preserve">varies more widely </w:t>
      </w:r>
      <w:r w:rsidRPr="00E860C0">
        <w:rPr>
          <w:snapToGrid/>
        </w:rPr>
        <w:t xml:space="preserve">by grade level. </w:t>
      </w:r>
    </w:p>
    <w:p w14:paraId="31695788" w14:textId="77777777" w:rsidR="007611CF" w:rsidRDefault="007611CF">
      <w:pPr>
        <w:widowControl/>
        <w:rPr>
          <w:snapToGrid/>
          <w:color w:val="000000"/>
          <w:sz w:val="23"/>
          <w:szCs w:val="23"/>
        </w:rPr>
      </w:pPr>
    </w:p>
    <w:p w14:paraId="5F3F9C08" w14:textId="77777777" w:rsidR="00E717F1" w:rsidRDefault="00E717F1">
      <w:pPr>
        <w:widowControl/>
        <w:rPr>
          <w:snapToGrid/>
          <w:color w:val="000000"/>
          <w:sz w:val="23"/>
          <w:szCs w:val="23"/>
        </w:rPr>
      </w:pPr>
    </w:p>
    <w:p w14:paraId="297999EE" w14:textId="77777777" w:rsidR="00E717F1" w:rsidRDefault="00E717F1">
      <w:pPr>
        <w:widowControl/>
        <w:rPr>
          <w:snapToGrid/>
          <w:color w:val="000000"/>
          <w:sz w:val="23"/>
          <w:szCs w:val="23"/>
        </w:rPr>
      </w:pPr>
    </w:p>
    <w:p w14:paraId="70542CA9" w14:textId="2651C184" w:rsidR="00E717F1" w:rsidRDefault="00E717F1">
      <w:pPr>
        <w:widowControl/>
        <w:rPr>
          <w:snapToGrid/>
          <w:color w:val="000000"/>
          <w:sz w:val="23"/>
          <w:szCs w:val="23"/>
        </w:rPr>
        <w:sectPr w:rsidR="00E717F1" w:rsidSect="00321124">
          <w:endnotePr>
            <w:numFmt w:val="decimal"/>
          </w:endnotePr>
          <w:type w:val="continuous"/>
          <w:pgSz w:w="12240" w:h="15840"/>
          <w:pgMar w:top="900" w:right="1440" w:bottom="576" w:left="1440" w:header="1440" w:footer="1440" w:gutter="0"/>
          <w:cols w:space="720"/>
          <w:formProt w:val="0"/>
          <w:noEndnote/>
        </w:sectPr>
      </w:pPr>
    </w:p>
    <w:p w14:paraId="5B1945A9" w14:textId="77777777" w:rsidR="00C456F9" w:rsidRDefault="00C456F9">
      <w:pPr>
        <w:widowControl/>
        <w:rPr>
          <w:b/>
          <w:snapToGrid/>
          <w:sz w:val="23"/>
          <w:szCs w:val="23"/>
        </w:rPr>
      </w:pPr>
      <w:r>
        <w:rPr>
          <w:b/>
          <w:sz w:val="23"/>
          <w:szCs w:val="23"/>
        </w:rPr>
        <w:br w:type="page"/>
      </w:r>
    </w:p>
    <w:p w14:paraId="7B046473" w14:textId="7A77A59C" w:rsidR="00DF3A6E" w:rsidRPr="00246773" w:rsidRDefault="00443532" w:rsidP="00DF3A6E">
      <w:pPr>
        <w:pStyle w:val="NormalWeb"/>
        <w:rPr>
          <w:bCs/>
        </w:rPr>
      </w:pPr>
      <w:r w:rsidRPr="00246773">
        <w:rPr>
          <w:b/>
        </w:rPr>
        <w:lastRenderedPageBreak/>
        <w:t>UP Academy Holland, Boston, MA</w:t>
      </w:r>
    </w:p>
    <w:p w14:paraId="7ADA3547" w14:textId="7DC7F4B9" w:rsidR="00817A51" w:rsidRPr="00246773" w:rsidRDefault="00817A51" w:rsidP="00DF3A6E">
      <w:pPr>
        <w:pStyle w:val="NormalWeb"/>
        <w:rPr>
          <w:b/>
        </w:rPr>
      </w:pPr>
      <w:r w:rsidRPr="00246773">
        <w:rPr>
          <w:b/>
        </w:rPr>
        <w:t>School Strengths</w:t>
      </w:r>
    </w:p>
    <w:p w14:paraId="203AECB7" w14:textId="098C0FC6" w:rsidR="00817A51" w:rsidRPr="00246773" w:rsidRDefault="00817A51" w:rsidP="00DF3A6E">
      <w:pPr>
        <w:pStyle w:val="NormalWeb"/>
        <w:spacing w:before="0" w:beforeAutospacing="0" w:after="0" w:afterAutospacing="0"/>
        <w:rPr>
          <w:bCs/>
        </w:rPr>
      </w:pPr>
      <w:r w:rsidRPr="00246773">
        <w:rPr>
          <w:bCs/>
        </w:rPr>
        <w:t>Area of Strength #1</w:t>
      </w:r>
    </w:p>
    <w:p w14:paraId="65FEC1CB" w14:textId="5C26D93C" w:rsidR="00EC7E5D" w:rsidRPr="00246773" w:rsidRDefault="002A2A53" w:rsidP="00DF3A6E">
      <w:pPr>
        <w:pStyle w:val="NormalWeb"/>
        <w:spacing w:before="0" w:beforeAutospacing="0" w:after="0" w:afterAutospacing="0"/>
        <w:rPr>
          <w:bCs/>
        </w:rPr>
      </w:pPr>
      <w:r w:rsidRPr="00246773">
        <w:rPr>
          <w:bCs/>
        </w:rPr>
        <w:t>Assessment</w:t>
      </w:r>
    </w:p>
    <w:p w14:paraId="5968B686" w14:textId="77777777" w:rsidR="002A2A53" w:rsidRPr="00246773" w:rsidRDefault="002A2A53" w:rsidP="00DF3A6E">
      <w:pPr>
        <w:pStyle w:val="NormalWeb"/>
        <w:spacing w:before="0" w:beforeAutospacing="0" w:after="0" w:afterAutospacing="0"/>
        <w:rPr>
          <w:bCs/>
        </w:rPr>
      </w:pPr>
    </w:p>
    <w:p w14:paraId="3C991FE4" w14:textId="77777777" w:rsidR="00F341A6" w:rsidRPr="00246773" w:rsidRDefault="00817A51" w:rsidP="00DF3A6E">
      <w:pPr>
        <w:pStyle w:val="NormalWeb"/>
        <w:spacing w:before="0" w:beforeAutospacing="0" w:after="0" w:afterAutospacing="0"/>
        <w:rPr>
          <w:bCs/>
        </w:rPr>
      </w:pPr>
      <w:r w:rsidRPr="00246773">
        <w:rPr>
          <w:bCs/>
          <w:i/>
          <w:iCs/>
        </w:rPr>
        <w:t>Description</w:t>
      </w:r>
      <w:r w:rsidRPr="00246773">
        <w:rPr>
          <w:bCs/>
        </w:rPr>
        <w:t>:</w:t>
      </w:r>
    </w:p>
    <w:p w14:paraId="4ED603D3" w14:textId="77777777" w:rsidR="00246773" w:rsidRPr="00AB479D" w:rsidRDefault="00246773" w:rsidP="00DF3A6E">
      <w:pPr>
        <w:pStyle w:val="NormalWeb"/>
        <w:spacing w:before="0" w:beforeAutospacing="0" w:after="0" w:afterAutospacing="0"/>
        <w:rPr>
          <w:bCs/>
          <w:sz w:val="23"/>
          <w:szCs w:val="23"/>
        </w:rPr>
      </w:pPr>
    </w:p>
    <w:p w14:paraId="3E1B7896" w14:textId="187A209F" w:rsidR="002A2A53" w:rsidRDefault="002A2A53" w:rsidP="00246773">
      <w:pPr>
        <w:pStyle w:val="NoSpacing"/>
        <w:rPr>
          <w:snapToGrid/>
        </w:rPr>
      </w:pPr>
      <w:r w:rsidRPr="002A2A53">
        <w:rPr>
          <w:snapToGrid/>
        </w:rPr>
        <w:t xml:space="preserve">Assessment continues to be an area of strength </w:t>
      </w:r>
      <w:r w:rsidR="007013F7" w:rsidRPr="00AB479D">
        <w:rPr>
          <w:snapToGrid/>
        </w:rPr>
        <w:t>for the school</w:t>
      </w:r>
      <w:r w:rsidRPr="002A2A53">
        <w:rPr>
          <w:snapToGrid/>
        </w:rPr>
        <w:t xml:space="preserve">. </w:t>
      </w:r>
      <w:r w:rsidR="004B76AE" w:rsidRPr="00AB479D">
        <w:rPr>
          <w:snapToGrid/>
        </w:rPr>
        <w:t xml:space="preserve">School </w:t>
      </w:r>
      <w:r w:rsidRPr="002A2A53">
        <w:rPr>
          <w:snapToGrid/>
        </w:rPr>
        <w:t>leaders and teachers have developed progress-monitoring tools and protocols for triangulating data</w:t>
      </w:r>
      <w:r w:rsidR="007013F7" w:rsidRPr="00AB479D">
        <w:rPr>
          <w:snapToGrid/>
        </w:rPr>
        <w:t>. T</w:t>
      </w:r>
      <w:r w:rsidRPr="002A2A53">
        <w:rPr>
          <w:snapToGrid/>
        </w:rPr>
        <w:t>eachers are knowledgeable about student performance levels. The team has deepened this work by exploring the purpose of current assessments, analyzing performance data, and determining the impact on student achievement.  </w:t>
      </w:r>
    </w:p>
    <w:p w14:paraId="7E95CFDF" w14:textId="77777777" w:rsidR="00246773" w:rsidRPr="002A2A53" w:rsidRDefault="00246773" w:rsidP="00246773">
      <w:pPr>
        <w:pStyle w:val="NoSpacing"/>
        <w:rPr>
          <w:snapToGrid/>
        </w:rPr>
      </w:pPr>
    </w:p>
    <w:p w14:paraId="3EEDF9BE" w14:textId="70F16155" w:rsidR="002A2A53" w:rsidRDefault="0095546E" w:rsidP="00246773">
      <w:pPr>
        <w:pStyle w:val="NoSpacing"/>
        <w:rPr>
          <w:snapToGrid/>
        </w:rPr>
      </w:pPr>
      <w:r w:rsidRPr="00AB479D">
        <w:rPr>
          <w:snapToGrid/>
        </w:rPr>
        <w:t>C</w:t>
      </w:r>
      <w:r w:rsidR="002A2A53" w:rsidRPr="002A2A53">
        <w:rPr>
          <w:snapToGrid/>
        </w:rPr>
        <w:t xml:space="preserve">ommon literacy assessments </w:t>
      </w:r>
      <w:r w:rsidR="007013F7" w:rsidRPr="00AB479D">
        <w:rPr>
          <w:snapToGrid/>
        </w:rPr>
        <w:t>include</w:t>
      </w:r>
      <w:r w:rsidR="002A2A53" w:rsidRPr="002A2A53">
        <w:rPr>
          <w:snapToGrid/>
        </w:rPr>
        <w:t xml:space="preserve"> </w:t>
      </w:r>
      <w:r w:rsidR="00401E05">
        <w:rPr>
          <w:snapToGrid/>
        </w:rPr>
        <w:t>Expeditionary Learning (</w:t>
      </w:r>
      <w:r w:rsidR="002A2A53" w:rsidRPr="002A2A53">
        <w:rPr>
          <w:snapToGrid/>
        </w:rPr>
        <w:t>EL</w:t>
      </w:r>
      <w:r w:rsidR="00401E05">
        <w:rPr>
          <w:snapToGrid/>
        </w:rPr>
        <w:t>)</w:t>
      </w:r>
      <w:r w:rsidR="002A2A53" w:rsidRPr="002A2A53">
        <w:rPr>
          <w:snapToGrid/>
        </w:rPr>
        <w:t xml:space="preserve"> skills inventory, EL unit assessments, and DIBELS</w:t>
      </w:r>
      <w:r w:rsidRPr="00AB479D">
        <w:rPr>
          <w:snapToGrid/>
        </w:rPr>
        <w:t>. M</w:t>
      </w:r>
      <w:r w:rsidR="002A2A53" w:rsidRPr="002A2A53">
        <w:rPr>
          <w:snapToGrid/>
        </w:rPr>
        <w:t xml:space="preserve">ath assessments </w:t>
      </w:r>
      <w:r w:rsidR="00B539B3">
        <w:rPr>
          <w:snapToGrid/>
        </w:rPr>
        <w:t>include</w:t>
      </w:r>
      <w:r w:rsidR="002A2A53" w:rsidRPr="002A2A53">
        <w:rPr>
          <w:snapToGrid/>
        </w:rPr>
        <w:t xml:space="preserve"> Illustrative Math (IM) unit and pre-assessments and AIMS web. </w:t>
      </w:r>
      <w:proofErr w:type="spellStart"/>
      <w:r w:rsidRPr="00AB479D">
        <w:rPr>
          <w:snapToGrid/>
        </w:rPr>
        <w:t>ANet</w:t>
      </w:r>
      <w:proofErr w:type="spellEnd"/>
      <w:r w:rsidRPr="00AB479D">
        <w:rPr>
          <w:snapToGrid/>
        </w:rPr>
        <w:t xml:space="preserve"> and MAP assessments are administered in upper grades</w:t>
      </w:r>
      <w:r w:rsidR="007013F7" w:rsidRPr="00AB479D">
        <w:rPr>
          <w:snapToGrid/>
        </w:rPr>
        <w:t xml:space="preserve"> only</w:t>
      </w:r>
      <w:r w:rsidRPr="00AB479D">
        <w:rPr>
          <w:snapToGrid/>
        </w:rPr>
        <w:t xml:space="preserve">. </w:t>
      </w:r>
    </w:p>
    <w:p w14:paraId="3D7120C9" w14:textId="77777777" w:rsidR="00246773" w:rsidRPr="002A2A53" w:rsidRDefault="00246773" w:rsidP="00246773">
      <w:pPr>
        <w:pStyle w:val="NoSpacing"/>
        <w:rPr>
          <w:snapToGrid/>
        </w:rPr>
      </w:pPr>
    </w:p>
    <w:p w14:paraId="7DC4E70A" w14:textId="5C88CD0C" w:rsidR="002A2A53" w:rsidRDefault="002A2A53" w:rsidP="00246773">
      <w:pPr>
        <w:pStyle w:val="NoSpacing"/>
        <w:rPr>
          <w:snapToGrid/>
        </w:rPr>
      </w:pPr>
      <w:r w:rsidRPr="002A2A53">
        <w:rPr>
          <w:snapToGrid/>
        </w:rPr>
        <w:t xml:space="preserve">Most teachers are utilizing the data from common assessments to adjust curricula and instruction. Teachers </w:t>
      </w:r>
      <w:r w:rsidR="00EB6FF7" w:rsidRPr="00AB479D">
        <w:rPr>
          <w:snapToGrid/>
        </w:rPr>
        <w:t xml:space="preserve">review </w:t>
      </w:r>
      <w:r w:rsidRPr="002A2A53">
        <w:rPr>
          <w:snapToGrid/>
        </w:rPr>
        <w:t>microphase data, pinpoint where their students fall on the continuum of skills development, and determine foci for future lessons. Teachers use a template to document which students have early, middle, and late skill levels.</w:t>
      </w:r>
      <w:r w:rsidR="00EB6FF7" w:rsidRPr="00AB479D">
        <w:rPr>
          <w:snapToGrid/>
        </w:rPr>
        <w:t xml:space="preserve"> In several classrooms there was evidence that teachers </w:t>
      </w:r>
      <w:r w:rsidRPr="002A2A53">
        <w:rPr>
          <w:snapToGrid/>
        </w:rPr>
        <w:t>analyz</w:t>
      </w:r>
      <w:r w:rsidR="00EB6FF7" w:rsidRPr="00AB479D">
        <w:rPr>
          <w:snapToGrid/>
        </w:rPr>
        <w:t>e</w:t>
      </w:r>
      <w:r w:rsidRPr="002A2A53">
        <w:rPr>
          <w:snapToGrid/>
        </w:rPr>
        <w:t xml:space="preserve"> the growth between </w:t>
      </w:r>
      <w:proofErr w:type="gramStart"/>
      <w:r w:rsidRPr="002A2A53">
        <w:rPr>
          <w:snapToGrid/>
        </w:rPr>
        <w:t>microphases</w:t>
      </w:r>
      <w:proofErr w:type="gramEnd"/>
      <w:r w:rsidRPr="002A2A53">
        <w:rPr>
          <w:snapToGrid/>
        </w:rPr>
        <w:t xml:space="preserve"> and plan lessons and groupings based on</w:t>
      </w:r>
      <w:r w:rsidR="00EB6FF7" w:rsidRPr="00AB479D">
        <w:rPr>
          <w:snapToGrid/>
        </w:rPr>
        <w:t xml:space="preserve"> student progress</w:t>
      </w:r>
      <w:r w:rsidRPr="002A2A53">
        <w:rPr>
          <w:snapToGrid/>
        </w:rPr>
        <w:t>.</w:t>
      </w:r>
    </w:p>
    <w:p w14:paraId="47940FFE" w14:textId="77777777" w:rsidR="00246773" w:rsidRPr="002A2A53" w:rsidRDefault="00246773" w:rsidP="00246773">
      <w:pPr>
        <w:pStyle w:val="NoSpacing"/>
        <w:rPr>
          <w:snapToGrid/>
        </w:rPr>
      </w:pPr>
    </w:p>
    <w:p w14:paraId="260AF4C4" w14:textId="1E216A42" w:rsidR="00F341A6" w:rsidRPr="00AB479D" w:rsidRDefault="002A2A53" w:rsidP="00246773">
      <w:pPr>
        <w:pStyle w:val="NoSpacing"/>
        <w:rPr>
          <w:snapToGrid/>
        </w:rPr>
      </w:pPr>
      <w:r w:rsidRPr="002A2A53">
        <w:rPr>
          <w:snapToGrid/>
        </w:rPr>
        <w:t xml:space="preserve">Across classrooms, </w:t>
      </w:r>
      <w:r w:rsidR="007013F7" w:rsidRPr="00AB479D">
        <w:rPr>
          <w:snapToGrid/>
        </w:rPr>
        <w:t xml:space="preserve">teachers </w:t>
      </w:r>
      <w:r w:rsidRPr="002A2A53">
        <w:rPr>
          <w:snapToGrid/>
        </w:rPr>
        <w:t>consistently u</w:t>
      </w:r>
      <w:r w:rsidR="007013F7" w:rsidRPr="00AB479D">
        <w:rPr>
          <w:snapToGrid/>
        </w:rPr>
        <w:t xml:space="preserve">tilize </w:t>
      </w:r>
      <w:r w:rsidRPr="002A2A53">
        <w:rPr>
          <w:snapToGrid/>
        </w:rPr>
        <w:t>checks for understanding and student self-assessment</w:t>
      </w:r>
      <w:r w:rsidR="00EB6FF7" w:rsidRPr="00AB479D">
        <w:rPr>
          <w:snapToGrid/>
        </w:rPr>
        <w:t>. T</w:t>
      </w:r>
      <w:r w:rsidRPr="002A2A53">
        <w:rPr>
          <w:snapToGrid/>
        </w:rPr>
        <w:t xml:space="preserve">eachers </w:t>
      </w:r>
      <w:proofErr w:type="gramStart"/>
      <w:r w:rsidRPr="002A2A53">
        <w:rPr>
          <w:snapToGrid/>
        </w:rPr>
        <w:t>make adjustments to</w:t>
      </w:r>
      <w:proofErr w:type="gramEnd"/>
      <w:r w:rsidRPr="002A2A53">
        <w:rPr>
          <w:snapToGrid/>
        </w:rPr>
        <w:t xml:space="preserve"> meet students’ learning needs. Teachers have improved their planning for the critical moments in the lesson by checking for understanding and taking time to revisit the learning target. Furthermore, </w:t>
      </w:r>
      <w:r w:rsidR="004B76AE" w:rsidRPr="00AB479D">
        <w:rPr>
          <w:snapToGrid/>
        </w:rPr>
        <w:t>the selected core math and ELA curricula</w:t>
      </w:r>
      <w:r w:rsidRPr="002A2A53">
        <w:rPr>
          <w:snapToGrid/>
        </w:rPr>
        <w:t xml:space="preserve"> </w:t>
      </w:r>
      <w:r w:rsidR="007013F7" w:rsidRPr="00AB479D">
        <w:rPr>
          <w:snapToGrid/>
        </w:rPr>
        <w:t>include</w:t>
      </w:r>
      <w:r w:rsidRPr="002A2A53">
        <w:rPr>
          <w:snapToGrid/>
        </w:rPr>
        <w:t xml:space="preserve"> opportunities for peer-to-peer feedback referencing rubrics and self-assessment checklists. Teachers are beginning to connect these practices to setting goals for discrete skill development. </w:t>
      </w:r>
    </w:p>
    <w:p w14:paraId="359FFC66" w14:textId="396D02A3" w:rsidR="00817A51" w:rsidRPr="00BE51FF" w:rsidRDefault="00817A51" w:rsidP="00DF3A6E">
      <w:pPr>
        <w:pStyle w:val="NormalWeb"/>
        <w:rPr>
          <w:b/>
          <w:sz w:val="23"/>
          <w:szCs w:val="23"/>
        </w:rPr>
      </w:pPr>
      <w:r w:rsidRPr="00BE51FF">
        <w:rPr>
          <w:b/>
          <w:sz w:val="23"/>
          <w:szCs w:val="23"/>
        </w:rPr>
        <w:t>Areas of Focus</w:t>
      </w:r>
    </w:p>
    <w:p w14:paraId="55A2AE25" w14:textId="70AB375E" w:rsidR="00817A51" w:rsidRPr="00246773" w:rsidRDefault="00817A51" w:rsidP="00DF3A6E">
      <w:pPr>
        <w:pStyle w:val="NormalWeb"/>
        <w:spacing w:before="0" w:beforeAutospacing="0" w:after="0" w:afterAutospacing="0"/>
        <w:rPr>
          <w:bCs/>
        </w:rPr>
      </w:pPr>
      <w:r w:rsidRPr="00246773">
        <w:rPr>
          <w:bCs/>
        </w:rPr>
        <w:t>Area of Focus #1</w:t>
      </w:r>
    </w:p>
    <w:p w14:paraId="550DE17A" w14:textId="44033372" w:rsidR="002A2A53" w:rsidRPr="00246773" w:rsidRDefault="002A2A53" w:rsidP="00DF3A6E">
      <w:pPr>
        <w:pStyle w:val="NormalWeb"/>
        <w:spacing w:before="0" w:beforeAutospacing="0" w:after="0" w:afterAutospacing="0"/>
        <w:rPr>
          <w:bCs/>
        </w:rPr>
      </w:pPr>
      <w:r w:rsidRPr="00246773">
        <w:rPr>
          <w:bCs/>
        </w:rPr>
        <w:t>Curriculum</w:t>
      </w:r>
    </w:p>
    <w:p w14:paraId="07DFA0AF" w14:textId="7DCA4D8C" w:rsidR="00B92256" w:rsidRPr="00246773" w:rsidRDefault="00817A51" w:rsidP="00DF3A6E">
      <w:pPr>
        <w:pStyle w:val="NormalWeb"/>
        <w:rPr>
          <w:bCs/>
          <w:i/>
          <w:iCs/>
        </w:rPr>
      </w:pPr>
      <w:r w:rsidRPr="00246773">
        <w:rPr>
          <w:bCs/>
          <w:i/>
          <w:iCs/>
        </w:rPr>
        <w:t>Description:</w:t>
      </w:r>
    </w:p>
    <w:p w14:paraId="03611405" w14:textId="6A686D1A" w:rsidR="002A2A53" w:rsidRDefault="00971DCC" w:rsidP="00246773">
      <w:pPr>
        <w:pStyle w:val="NoSpacing"/>
        <w:rPr>
          <w:snapToGrid/>
        </w:rPr>
      </w:pPr>
      <w:r w:rsidRPr="00AB479D">
        <w:rPr>
          <w:snapToGrid/>
        </w:rPr>
        <w:t>The school team</w:t>
      </w:r>
      <w:r w:rsidR="002A2A53" w:rsidRPr="002A2A53">
        <w:rPr>
          <w:snapToGrid/>
        </w:rPr>
        <w:t xml:space="preserve"> </w:t>
      </w:r>
      <w:r w:rsidR="008255A8">
        <w:rPr>
          <w:snapToGrid/>
        </w:rPr>
        <w:t xml:space="preserve">has </w:t>
      </w:r>
      <w:r w:rsidR="002A2A53" w:rsidRPr="002A2A53">
        <w:rPr>
          <w:snapToGrid/>
        </w:rPr>
        <w:t>selected high-quality curricul</w:t>
      </w:r>
      <w:r w:rsidR="000B2E8C">
        <w:rPr>
          <w:snapToGrid/>
        </w:rPr>
        <w:t>a</w:t>
      </w:r>
      <w:r w:rsidR="002A2A53" w:rsidRPr="002A2A53">
        <w:rPr>
          <w:snapToGrid/>
        </w:rPr>
        <w:t xml:space="preserve"> for math (Illustrative Math) and ELA (EL Education Curriculum). </w:t>
      </w:r>
      <w:r w:rsidRPr="00AB479D">
        <w:rPr>
          <w:snapToGrid/>
        </w:rPr>
        <w:t>T</w:t>
      </w:r>
      <w:r w:rsidR="002A2A53" w:rsidRPr="002A2A53">
        <w:rPr>
          <w:snapToGrid/>
        </w:rPr>
        <w:t xml:space="preserve">eacher teams </w:t>
      </w:r>
      <w:r w:rsidRPr="00AB479D">
        <w:rPr>
          <w:snapToGrid/>
        </w:rPr>
        <w:t xml:space="preserve">prepare to </w:t>
      </w:r>
      <w:r w:rsidR="009716FD">
        <w:rPr>
          <w:snapToGrid/>
        </w:rPr>
        <w:t>deliver</w:t>
      </w:r>
      <w:r w:rsidRPr="00AB479D">
        <w:rPr>
          <w:snapToGrid/>
        </w:rPr>
        <w:t xml:space="preserve"> </w:t>
      </w:r>
      <w:r w:rsidR="002A2A53" w:rsidRPr="002A2A53">
        <w:rPr>
          <w:snapToGrid/>
        </w:rPr>
        <w:t>the curriculum through</w:t>
      </w:r>
      <w:r w:rsidRPr="00AB479D">
        <w:rPr>
          <w:snapToGrid/>
        </w:rPr>
        <w:t xml:space="preserve"> </w:t>
      </w:r>
      <w:r w:rsidR="002A2A53" w:rsidRPr="002A2A53">
        <w:rPr>
          <w:snapToGrid/>
        </w:rPr>
        <w:t>Drop Everything and Plan</w:t>
      </w:r>
      <w:r w:rsidR="00D67DAF">
        <w:rPr>
          <w:snapToGrid/>
        </w:rPr>
        <w:t xml:space="preserve"> (DEAP)</w:t>
      </w:r>
      <w:r w:rsidR="002A2A53" w:rsidRPr="002A2A53">
        <w:rPr>
          <w:snapToGrid/>
        </w:rPr>
        <w:t xml:space="preserve"> protocols, including analyzing the important task of the lesson</w:t>
      </w:r>
      <w:r w:rsidR="00DB4B5D" w:rsidRPr="00AB479D">
        <w:rPr>
          <w:snapToGrid/>
        </w:rPr>
        <w:t xml:space="preserve"> and </w:t>
      </w:r>
      <w:r w:rsidR="002A2A53" w:rsidRPr="002A2A53">
        <w:rPr>
          <w:snapToGrid/>
        </w:rPr>
        <w:t xml:space="preserve">determining engagement strategies to be utilized. </w:t>
      </w:r>
    </w:p>
    <w:p w14:paraId="0F3A253A" w14:textId="77777777" w:rsidR="00246773" w:rsidRDefault="00246773" w:rsidP="00246773">
      <w:pPr>
        <w:pStyle w:val="NoSpacing"/>
        <w:rPr>
          <w:snapToGrid/>
        </w:rPr>
      </w:pPr>
    </w:p>
    <w:p w14:paraId="4284FC28" w14:textId="77777777" w:rsidR="00050F11" w:rsidRPr="002A2A53" w:rsidRDefault="00050F11" w:rsidP="00246773">
      <w:pPr>
        <w:pStyle w:val="NoSpacing"/>
        <w:rPr>
          <w:snapToGrid/>
        </w:rPr>
      </w:pPr>
    </w:p>
    <w:p w14:paraId="3E49BF29" w14:textId="7E283E9F" w:rsidR="002A2A53" w:rsidRDefault="003562C2" w:rsidP="00246773">
      <w:pPr>
        <w:pStyle w:val="NoSpacing"/>
        <w:rPr>
          <w:snapToGrid/>
        </w:rPr>
      </w:pPr>
      <w:r>
        <w:rPr>
          <w:snapToGrid/>
        </w:rPr>
        <w:lastRenderedPageBreak/>
        <w:t>Written lesson plans guide d</w:t>
      </w:r>
      <w:r w:rsidR="002A2A53" w:rsidRPr="002A2A53">
        <w:rPr>
          <w:snapToGrid/>
        </w:rPr>
        <w:t>aily classroom practice</w:t>
      </w:r>
      <w:r w:rsidR="004C5E4A">
        <w:rPr>
          <w:snapToGrid/>
        </w:rPr>
        <w:t>; however,</w:t>
      </w:r>
      <w:r w:rsidR="002A2A53" w:rsidRPr="002A2A53">
        <w:rPr>
          <w:snapToGrid/>
        </w:rPr>
        <w:t xml:space="preserve"> </w:t>
      </w:r>
      <w:r w:rsidR="004C5E4A">
        <w:rPr>
          <w:snapToGrid/>
        </w:rPr>
        <w:t xml:space="preserve">some lessons showed </w:t>
      </w:r>
      <w:r w:rsidR="00A35206">
        <w:rPr>
          <w:snapToGrid/>
        </w:rPr>
        <w:t>gaps</w:t>
      </w:r>
      <w:r w:rsidR="00D547D2" w:rsidRPr="002A2A53">
        <w:rPr>
          <w:snapToGrid/>
        </w:rPr>
        <w:t xml:space="preserve"> between planning and implementation.</w:t>
      </w:r>
      <w:r w:rsidR="00D547D2" w:rsidRPr="00AB479D">
        <w:rPr>
          <w:snapToGrid/>
        </w:rPr>
        <w:t xml:space="preserve"> </w:t>
      </w:r>
      <w:r w:rsidR="002A2A53" w:rsidRPr="002A2A53">
        <w:rPr>
          <w:snapToGrid/>
        </w:rPr>
        <w:t>In some rooms, teachers consult the written plan as they move through the lesson</w:t>
      </w:r>
      <w:r w:rsidR="00B8796B" w:rsidRPr="00AB479D">
        <w:rPr>
          <w:snapToGrid/>
        </w:rPr>
        <w:t xml:space="preserve">. </w:t>
      </w:r>
      <w:r w:rsidR="002A2A53" w:rsidRPr="002A2A53">
        <w:rPr>
          <w:snapToGrid/>
        </w:rPr>
        <w:t xml:space="preserve">In </w:t>
      </w:r>
      <w:r w:rsidR="00D547D2" w:rsidRPr="00AB479D">
        <w:rPr>
          <w:snapToGrid/>
        </w:rPr>
        <w:t xml:space="preserve">other </w:t>
      </w:r>
      <w:r w:rsidR="002A2A53" w:rsidRPr="002A2A53">
        <w:rPr>
          <w:snapToGrid/>
        </w:rPr>
        <w:t>classroom</w:t>
      </w:r>
      <w:r w:rsidR="00D547D2" w:rsidRPr="00AB479D">
        <w:rPr>
          <w:snapToGrid/>
        </w:rPr>
        <w:t>s</w:t>
      </w:r>
      <w:r w:rsidR="002A2A53" w:rsidRPr="002A2A53">
        <w:rPr>
          <w:snapToGrid/>
        </w:rPr>
        <w:t>, teacher</w:t>
      </w:r>
      <w:r w:rsidR="00D547D2" w:rsidRPr="00AB479D">
        <w:rPr>
          <w:snapToGrid/>
        </w:rPr>
        <w:t>s</w:t>
      </w:r>
      <w:r w:rsidR="002A2A53" w:rsidRPr="002A2A53">
        <w:rPr>
          <w:snapToGrid/>
        </w:rPr>
        <w:t xml:space="preserve"> d</w:t>
      </w:r>
      <w:r w:rsidR="00D547D2" w:rsidRPr="00AB479D">
        <w:rPr>
          <w:snapToGrid/>
        </w:rPr>
        <w:t>o</w:t>
      </w:r>
      <w:r w:rsidR="002A2A53" w:rsidRPr="002A2A53">
        <w:rPr>
          <w:snapToGrid/>
        </w:rPr>
        <w:t xml:space="preserve"> not utilize the higher-order questions </w:t>
      </w:r>
      <w:r w:rsidR="00D547D2" w:rsidRPr="00AB479D">
        <w:rPr>
          <w:snapToGrid/>
        </w:rPr>
        <w:t>in</w:t>
      </w:r>
      <w:r w:rsidR="002A2A53" w:rsidRPr="002A2A53">
        <w:rPr>
          <w:snapToGrid/>
        </w:rPr>
        <w:t xml:space="preserve"> the lesson plan. As a res</w:t>
      </w:r>
      <w:r w:rsidR="00D547D2" w:rsidRPr="00AB479D">
        <w:rPr>
          <w:snapToGrid/>
        </w:rPr>
        <w:t>ult</w:t>
      </w:r>
      <w:r w:rsidR="002A2A53" w:rsidRPr="002A2A53">
        <w:rPr>
          <w:snapToGrid/>
        </w:rPr>
        <w:t xml:space="preserve">, </w:t>
      </w:r>
      <w:r w:rsidR="00D547D2" w:rsidRPr="00AB479D">
        <w:rPr>
          <w:snapToGrid/>
        </w:rPr>
        <w:t>in one classroom</w:t>
      </w:r>
      <w:r w:rsidR="00764835" w:rsidRPr="00AB479D">
        <w:rPr>
          <w:snapToGrid/>
        </w:rPr>
        <w:t xml:space="preserve"> for example, </w:t>
      </w:r>
      <w:r w:rsidR="002A2A53" w:rsidRPr="002A2A53">
        <w:rPr>
          <w:snapToGrid/>
        </w:rPr>
        <w:t xml:space="preserve">the questions assigned during the turn-and-talk time </w:t>
      </w:r>
      <w:r w:rsidR="00D547D2" w:rsidRPr="00AB479D">
        <w:rPr>
          <w:snapToGrid/>
        </w:rPr>
        <w:t>require</w:t>
      </w:r>
      <w:r w:rsidR="00764835" w:rsidRPr="00AB479D">
        <w:rPr>
          <w:snapToGrid/>
        </w:rPr>
        <w:t>d</w:t>
      </w:r>
      <w:r w:rsidR="002A2A53" w:rsidRPr="002A2A53">
        <w:rPr>
          <w:snapToGrid/>
        </w:rPr>
        <w:t xml:space="preserve"> lower</w:t>
      </w:r>
      <w:r w:rsidR="00D547D2" w:rsidRPr="00AB479D">
        <w:rPr>
          <w:snapToGrid/>
        </w:rPr>
        <w:t xml:space="preserve">-level </w:t>
      </w:r>
      <w:r w:rsidR="002A2A53" w:rsidRPr="002A2A53">
        <w:rPr>
          <w:snapToGrid/>
        </w:rPr>
        <w:t xml:space="preserve">depth of knowledge (DOK). </w:t>
      </w:r>
    </w:p>
    <w:p w14:paraId="28C44A55" w14:textId="77777777" w:rsidR="00050F11" w:rsidRPr="002A2A53" w:rsidRDefault="00050F11" w:rsidP="00246773">
      <w:pPr>
        <w:pStyle w:val="NoSpacing"/>
        <w:rPr>
          <w:snapToGrid/>
        </w:rPr>
      </w:pPr>
    </w:p>
    <w:p w14:paraId="1CDE4448" w14:textId="6F2D6109" w:rsidR="002A2A53" w:rsidRDefault="009918EB" w:rsidP="00246773">
      <w:pPr>
        <w:pStyle w:val="NoSpacing"/>
        <w:rPr>
          <w:snapToGrid/>
        </w:rPr>
      </w:pPr>
      <w:r>
        <w:rPr>
          <w:snapToGrid/>
        </w:rPr>
        <w:t>Teachers and teams do n</w:t>
      </w:r>
      <w:r w:rsidR="002A2A53" w:rsidRPr="002A2A53">
        <w:rPr>
          <w:snapToGrid/>
        </w:rPr>
        <w:t xml:space="preserve">ot </w:t>
      </w:r>
      <w:r w:rsidR="00862A70">
        <w:rPr>
          <w:snapToGrid/>
        </w:rPr>
        <w:t xml:space="preserve">consistently </w:t>
      </w:r>
      <w:r w:rsidR="002A2A53" w:rsidRPr="002A2A53">
        <w:rPr>
          <w:snapToGrid/>
        </w:rPr>
        <w:t>refine</w:t>
      </w:r>
      <w:r>
        <w:rPr>
          <w:snapToGrid/>
        </w:rPr>
        <w:t xml:space="preserve"> all lesson plans</w:t>
      </w:r>
      <w:r w:rsidR="002A2A53" w:rsidRPr="002A2A53">
        <w:rPr>
          <w:snapToGrid/>
        </w:rPr>
        <w:t xml:space="preserve"> utilizing student work and data, leading to uneven access to the curricula. T</w:t>
      </w:r>
      <w:r w:rsidR="00764835" w:rsidRPr="00AB479D">
        <w:rPr>
          <w:snapToGrid/>
        </w:rPr>
        <w:t>he selected</w:t>
      </w:r>
      <w:r w:rsidR="002A2A53" w:rsidRPr="002A2A53">
        <w:rPr>
          <w:snapToGrid/>
        </w:rPr>
        <w:t xml:space="preserve"> curricul</w:t>
      </w:r>
      <w:r w:rsidR="00764835" w:rsidRPr="00AB479D">
        <w:rPr>
          <w:snapToGrid/>
        </w:rPr>
        <w:t>a</w:t>
      </w:r>
      <w:r w:rsidR="002A2A53" w:rsidRPr="002A2A53">
        <w:rPr>
          <w:snapToGrid/>
        </w:rPr>
        <w:t xml:space="preserve"> </w:t>
      </w:r>
      <w:r w:rsidR="00D547D2" w:rsidRPr="00AB479D">
        <w:rPr>
          <w:snapToGrid/>
        </w:rPr>
        <w:t xml:space="preserve">include </w:t>
      </w:r>
      <w:r w:rsidR="002A2A53" w:rsidRPr="002A2A53">
        <w:rPr>
          <w:snapToGrid/>
        </w:rPr>
        <w:t xml:space="preserve">suggestions for </w:t>
      </w:r>
      <w:r w:rsidR="00D547D2" w:rsidRPr="00AB479D">
        <w:rPr>
          <w:snapToGrid/>
        </w:rPr>
        <w:t>scaffolding skills</w:t>
      </w:r>
      <w:r w:rsidR="002A2A53" w:rsidRPr="002A2A53">
        <w:rPr>
          <w:snapToGrid/>
        </w:rPr>
        <w:t xml:space="preserve">. While there is evidence </w:t>
      </w:r>
      <w:r w:rsidR="00DB78F0">
        <w:rPr>
          <w:snapToGrid/>
        </w:rPr>
        <w:t>that teachers</w:t>
      </w:r>
      <w:r w:rsidR="002A2A53" w:rsidRPr="002A2A53">
        <w:rPr>
          <w:snapToGrid/>
        </w:rPr>
        <w:t xml:space="preserve"> plan for scaffolds, </w:t>
      </w:r>
      <w:r w:rsidR="00DB78F0">
        <w:rPr>
          <w:snapToGrid/>
        </w:rPr>
        <w:t>teachers’</w:t>
      </w:r>
      <w:r w:rsidR="002A2A53" w:rsidRPr="002A2A53">
        <w:rPr>
          <w:snapToGrid/>
        </w:rPr>
        <w:t xml:space="preserve"> success </w:t>
      </w:r>
      <w:r w:rsidR="00DB78F0">
        <w:rPr>
          <w:snapToGrid/>
        </w:rPr>
        <w:t>in implementing</w:t>
      </w:r>
      <w:r w:rsidR="00F66464">
        <w:rPr>
          <w:snapToGrid/>
        </w:rPr>
        <w:t xml:space="preserve"> them</w:t>
      </w:r>
      <w:r w:rsidR="002A2A53" w:rsidRPr="002A2A53">
        <w:rPr>
          <w:snapToGrid/>
        </w:rPr>
        <w:t xml:space="preserve"> varie</w:t>
      </w:r>
      <w:r w:rsidR="00D547D2" w:rsidRPr="00AB479D">
        <w:rPr>
          <w:snapToGrid/>
        </w:rPr>
        <w:t>s</w:t>
      </w:r>
      <w:r w:rsidR="002A2A53" w:rsidRPr="002A2A53">
        <w:rPr>
          <w:snapToGrid/>
        </w:rPr>
        <w:t xml:space="preserve"> across classrooms. In some rooms, scaffolds lower the rigor of the lesson and result in students copying rather than engaging in their own thinking.</w:t>
      </w:r>
    </w:p>
    <w:p w14:paraId="12430400" w14:textId="77777777" w:rsidR="00246773" w:rsidRPr="002A2A53" w:rsidRDefault="00246773" w:rsidP="00246773">
      <w:pPr>
        <w:pStyle w:val="NoSpacing"/>
        <w:rPr>
          <w:snapToGrid/>
        </w:rPr>
      </w:pPr>
    </w:p>
    <w:p w14:paraId="687B2EE5" w14:textId="40246B16" w:rsidR="00B92256" w:rsidRPr="00CD27C1" w:rsidRDefault="002A2A53" w:rsidP="00246773">
      <w:pPr>
        <w:pStyle w:val="NoSpacing"/>
        <w:rPr>
          <w:snapToGrid/>
        </w:rPr>
      </w:pPr>
      <w:r w:rsidRPr="002A2A53">
        <w:rPr>
          <w:snapToGrid/>
        </w:rPr>
        <w:t xml:space="preserve">While curricula and academic tasks align with end-of-course assessments and emphasize rigorous habits and higher-order thinking skills, teachers </w:t>
      </w:r>
      <w:r w:rsidR="00D7742E">
        <w:rPr>
          <w:snapToGrid/>
        </w:rPr>
        <w:t>are</w:t>
      </w:r>
      <w:r w:rsidRPr="002A2A53">
        <w:rPr>
          <w:snapToGrid/>
        </w:rPr>
        <w:t xml:space="preserve"> still doing the majority of the thinking or not providing enough time for students to grapple with concepts. Student discussion and work products should</w:t>
      </w:r>
      <w:r w:rsidR="00971DCC" w:rsidRPr="00AB479D">
        <w:rPr>
          <w:snapToGrid/>
        </w:rPr>
        <w:t xml:space="preserve"> </w:t>
      </w:r>
      <w:r w:rsidRPr="002A2A53">
        <w:rPr>
          <w:snapToGrid/>
        </w:rPr>
        <w:t xml:space="preserve">demonstrate the habits of listening for understanding, problem-solving, applying past knowledge to new situations, </w:t>
      </w:r>
      <w:r w:rsidR="00971DCC" w:rsidRPr="00AB479D">
        <w:rPr>
          <w:snapToGrid/>
        </w:rPr>
        <w:t xml:space="preserve">and </w:t>
      </w:r>
      <w:r w:rsidRPr="002A2A53">
        <w:rPr>
          <w:snapToGrid/>
        </w:rPr>
        <w:t xml:space="preserve">making connections. The curricular materials selected </w:t>
      </w:r>
      <w:r w:rsidR="00CD27C1">
        <w:rPr>
          <w:snapToGrid/>
        </w:rPr>
        <w:t>promote</w:t>
      </w:r>
      <w:r w:rsidRPr="002A2A53">
        <w:rPr>
          <w:snapToGrid/>
        </w:rPr>
        <w:t xml:space="preserve"> these </w:t>
      </w:r>
      <w:r w:rsidR="00CD27C1">
        <w:rPr>
          <w:snapToGrid/>
        </w:rPr>
        <w:t>habits</w:t>
      </w:r>
      <w:r w:rsidRPr="002A2A53">
        <w:rPr>
          <w:snapToGrid/>
        </w:rPr>
        <w:t>. Beyond short turn</w:t>
      </w:r>
      <w:r w:rsidR="00CD27C1">
        <w:rPr>
          <w:snapToGrid/>
        </w:rPr>
        <w:t>-</w:t>
      </w:r>
      <w:r w:rsidRPr="002A2A53">
        <w:rPr>
          <w:snapToGrid/>
        </w:rPr>
        <w:t>and</w:t>
      </w:r>
      <w:r w:rsidR="00CD27C1">
        <w:rPr>
          <w:snapToGrid/>
        </w:rPr>
        <w:t>-</w:t>
      </w:r>
      <w:r w:rsidRPr="002A2A53">
        <w:rPr>
          <w:snapToGrid/>
        </w:rPr>
        <w:t>talk</w:t>
      </w:r>
      <w:r w:rsidR="00CD27C1">
        <w:rPr>
          <w:snapToGrid/>
        </w:rPr>
        <w:t xml:space="preserve"> discussions</w:t>
      </w:r>
      <w:r w:rsidRPr="002A2A53">
        <w:rPr>
          <w:snapToGrid/>
        </w:rPr>
        <w:t xml:space="preserve"> with a partner, teachers are not</w:t>
      </w:r>
      <w:r w:rsidR="00CD27C1">
        <w:rPr>
          <w:snapToGrid/>
        </w:rPr>
        <w:t xml:space="preserve"> fully leveraging the opportunities provided by the curriculum </w:t>
      </w:r>
      <w:r w:rsidRPr="002A2A53">
        <w:rPr>
          <w:snapToGrid/>
        </w:rPr>
        <w:t xml:space="preserve">for students to engage in </w:t>
      </w:r>
      <w:r w:rsidR="00CD27C1">
        <w:rPr>
          <w:snapToGrid/>
        </w:rPr>
        <w:t xml:space="preserve">extended, </w:t>
      </w:r>
      <w:r w:rsidRPr="002A2A53">
        <w:rPr>
          <w:snapToGrid/>
        </w:rPr>
        <w:t xml:space="preserve">rigorous discussion and grapple with </w:t>
      </w:r>
      <w:r w:rsidR="00971DCC" w:rsidRPr="00AB479D">
        <w:rPr>
          <w:snapToGrid/>
        </w:rPr>
        <w:t xml:space="preserve">standards-aligned </w:t>
      </w:r>
      <w:r w:rsidRPr="002A2A53">
        <w:rPr>
          <w:snapToGrid/>
        </w:rPr>
        <w:t>tasks</w:t>
      </w:r>
      <w:r w:rsidR="00971DCC" w:rsidRPr="00AB479D">
        <w:rPr>
          <w:snapToGrid/>
        </w:rPr>
        <w:t>.</w:t>
      </w:r>
    </w:p>
    <w:p w14:paraId="01F5BDD8" w14:textId="4B80BADF" w:rsidR="00817A51" w:rsidRPr="00AB479D" w:rsidRDefault="00817A51" w:rsidP="00DF3A6E">
      <w:pPr>
        <w:pStyle w:val="NormalWeb"/>
        <w:spacing w:before="0" w:beforeAutospacing="0" w:after="0" w:afterAutospacing="0"/>
        <w:rPr>
          <w:bCs/>
          <w:sz w:val="23"/>
          <w:szCs w:val="23"/>
        </w:rPr>
      </w:pPr>
    </w:p>
    <w:p w14:paraId="2317547B" w14:textId="5368BFB3" w:rsidR="00817A51" w:rsidRPr="00246773" w:rsidRDefault="00817A51" w:rsidP="00DF3A6E">
      <w:pPr>
        <w:pStyle w:val="NormalWeb"/>
        <w:spacing w:before="0" w:beforeAutospacing="0" w:after="0" w:afterAutospacing="0"/>
        <w:rPr>
          <w:bCs/>
        </w:rPr>
      </w:pPr>
      <w:r w:rsidRPr="00246773">
        <w:rPr>
          <w:bCs/>
        </w:rPr>
        <w:t>Area of Focus #2</w:t>
      </w:r>
    </w:p>
    <w:p w14:paraId="5E1C64B2" w14:textId="5255A54C" w:rsidR="00613884" w:rsidRPr="00246773" w:rsidRDefault="00613884" w:rsidP="00DF3A6E">
      <w:pPr>
        <w:pStyle w:val="NormalWeb"/>
        <w:spacing w:before="0" w:beforeAutospacing="0" w:after="0" w:afterAutospacing="0"/>
        <w:rPr>
          <w:bCs/>
        </w:rPr>
      </w:pPr>
      <w:r w:rsidRPr="00246773">
        <w:rPr>
          <w:bCs/>
        </w:rPr>
        <w:t>Pedagogy</w:t>
      </w:r>
    </w:p>
    <w:p w14:paraId="712F3B84" w14:textId="77777777" w:rsidR="00A1538D" w:rsidRPr="00AB479D" w:rsidRDefault="00817A51" w:rsidP="00DF3A6E">
      <w:pPr>
        <w:pStyle w:val="NormalWeb"/>
        <w:rPr>
          <w:bCs/>
          <w:i/>
          <w:iCs/>
          <w:sz w:val="23"/>
          <w:szCs w:val="23"/>
        </w:rPr>
      </w:pPr>
      <w:r w:rsidRPr="00246773">
        <w:rPr>
          <w:bCs/>
          <w:i/>
          <w:iCs/>
        </w:rPr>
        <w:t>Description</w:t>
      </w:r>
      <w:r w:rsidRPr="00AB479D">
        <w:rPr>
          <w:bCs/>
          <w:i/>
          <w:iCs/>
          <w:sz w:val="23"/>
          <w:szCs w:val="23"/>
        </w:rPr>
        <w:t>:</w:t>
      </w:r>
    </w:p>
    <w:p w14:paraId="6DBA7BF7" w14:textId="5DCBCFA0" w:rsidR="00613884" w:rsidRDefault="00AA405A" w:rsidP="00246773">
      <w:pPr>
        <w:pStyle w:val="NoSpacing"/>
        <w:rPr>
          <w:snapToGrid/>
        </w:rPr>
      </w:pPr>
      <w:r w:rsidRPr="00AB479D">
        <w:rPr>
          <w:snapToGrid/>
        </w:rPr>
        <w:t xml:space="preserve">Leaders and teachers share a vision for instruction. This vision includes the beliefs that </w:t>
      </w:r>
      <w:r w:rsidRPr="00613884">
        <w:rPr>
          <w:snapToGrid/>
        </w:rPr>
        <w:t xml:space="preserve">students learn best when they engage </w:t>
      </w:r>
      <w:r w:rsidRPr="00AB479D">
        <w:rPr>
          <w:snapToGrid/>
        </w:rPr>
        <w:t>with</w:t>
      </w:r>
      <w:r w:rsidRPr="00613884">
        <w:rPr>
          <w:snapToGrid/>
        </w:rPr>
        <w:t xml:space="preserve"> rigorous content</w:t>
      </w:r>
      <w:r w:rsidRPr="00AB479D">
        <w:rPr>
          <w:snapToGrid/>
        </w:rPr>
        <w:t xml:space="preserve">; when teachers ensure a </w:t>
      </w:r>
      <w:r w:rsidRPr="00613884">
        <w:rPr>
          <w:snapToGrid/>
        </w:rPr>
        <w:t>positive learning environment</w:t>
      </w:r>
      <w:r w:rsidRPr="00AB479D">
        <w:rPr>
          <w:snapToGrid/>
        </w:rPr>
        <w:t xml:space="preserve">; </w:t>
      </w:r>
      <w:r w:rsidR="00627012" w:rsidRPr="00AB479D">
        <w:rPr>
          <w:snapToGrid/>
        </w:rPr>
        <w:t xml:space="preserve">when students do the heavy cognitive lifting themselves; and </w:t>
      </w:r>
      <w:r w:rsidR="005E070C" w:rsidRPr="00AB479D">
        <w:rPr>
          <w:snapToGrid/>
        </w:rPr>
        <w:t>when there are opportunities for</w:t>
      </w:r>
      <w:r w:rsidRPr="00613884">
        <w:rPr>
          <w:snapToGrid/>
        </w:rPr>
        <w:t xml:space="preserve"> student-to-student discourse. </w:t>
      </w:r>
    </w:p>
    <w:p w14:paraId="17459767" w14:textId="77777777" w:rsidR="00246773" w:rsidRPr="00613884" w:rsidRDefault="00246773" w:rsidP="00246773">
      <w:pPr>
        <w:pStyle w:val="NoSpacing"/>
        <w:rPr>
          <w:snapToGrid/>
        </w:rPr>
      </w:pPr>
    </w:p>
    <w:p w14:paraId="26329E7B" w14:textId="78987A0D" w:rsidR="00613884" w:rsidRDefault="00613884" w:rsidP="00246773">
      <w:pPr>
        <w:pStyle w:val="NoSpacing"/>
        <w:rPr>
          <w:snapToGrid/>
        </w:rPr>
      </w:pPr>
      <w:r w:rsidRPr="00613884">
        <w:rPr>
          <w:snapToGrid/>
        </w:rPr>
        <w:t xml:space="preserve">Despite these beliefs, the pedagogy in classrooms is still </w:t>
      </w:r>
      <w:proofErr w:type="gramStart"/>
      <w:r w:rsidRPr="00613884">
        <w:rPr>
          <w:snapToGrid/>
        </w:rPr>
        <w:t>teacher-controlle</w:t>
      </w:r>
      <w:r w:rsidR="00627012" w:rsidRPr="00AB479D">
        <w:rPr>
          <w:snapToGrid/>
        </w:rPr>
        <w:t>d</w:t>
      </w:r>
      <w:proofErr w:type="gramEnd"/>
      <w:r w:rsidR="00627012" w:rsidRPr="00AB479D">
        <w:rPr>
          <w:snapToGrid/>
        </w:rPr>
        <w:t xml:space="preserve">. Opportunities for higher-level </w:t>
      </w:r>
      <w:r w:rsidRPr="00613884">
        <w:rPr>
          <w:snapToGrid/>
        </w:rPr>
        <w:t xml:space="preserve">student thinking and rigorous discussion </w:t>
      </w:r>
      <w:r w:rsidR="00627012" w:rsidRPr="00AB479D">
        <w:rPr>
          <w:snapToGrid/>
        </w:rPr>
        <w:t>are both rare and</w:t>
      </w:r>
      <w:r w:rsidRPr="00613884">
        <w:rPr>
          <w:snapToGrid/>
        </w:rPr>
        <w:t xml:space="preserve"> short. For example, a </w:t>
      </w:r>
      <w:r w:rsidR="009918EB">
        <w:rPr>
          <w:snapToGrid/>
        </w:rPr>
        <w:t xml:space="preserve">task in one </w:t>
      </w:r>
      <w:r w:rsidR="00F80C5B" w:rsidRPr="00AB479D">
        <w:rPr>
          <w:snapToGrid/>
        </w:rPr>
        <w:t>math</w:t>
      </w:r>
      <w:r w:rsidRPr="00613884">
        <w:rPr>
          <w:snapToGrid/>
        </w:rPr>
        <w:t xml:space="preserve"> lesson</w:t>
      </w:r>
      <w:r w:rsidR="003C02DE">
        <w:rPr>
          <w:snapToGrid/>
        </w:rPr>
        <w:t xml:space="preserve"> </w:t>
      </w:r>
      <w:r w:rsidR="009918EB">
        <w:rPr>
          <w:snapToGrid/>
        </w:rPr>
        <w:t xml:space="preserve">asked </w:t>
      </w:r>
      <w:r w:rsidRPr="00613884">
        <w:rPr>
          <w:snapToGrid/>
        </w:rPr>
        <w:t>students to create part-to-whole relationships with fractions, but the teacher guided them through a single way of finding equivalent fractions rather than providing time for them to develop independent strategies and share them with one another.  </w:t>
      </w:r>
    </w:p>
    <w:p w14:paraId="26833869" w14:textId="77777777" w:rsidR="00246773" w:rsidRPr="00613884" w:rsidRDefault="00246773" w:rsidP="00246773">
      <w:pPr>
        <w:pStyle w:val="NoSpacing"/>
        <w:rPr>
          <w:snapToGrid/>
        </w:rPr>
      </w:pPr>
    </w:p>
    <w:p w14:paraId="381DBED8" w14:textId="3BC2496E" w:rsidR="00613884" w:rsidRDefault="003C2962" w:rsidP="00246773">
      <w:pPr>
        <w:pStyle w:val="NoSpacing"/>
        <w:rPr>
          <w:snapToGrid/>
        </w:rPr>
      </w:pPr>
      <w:r>
        <w:rPr>
          <w:snapToGrid/>
        </w:rPr>
        <w:t>T</w:t>
      </w:r>
      <w:r w:rsidR="00613884" w:rsidRPr="00613884">
        <w:rPr>
          <w:snapToGrid/>
        </w:rPr>
        <w:t>eachers</w:t>
      </w:r>
      <w:r>
        <w:rPr>
          <w:snapToGrid/>
        </w:rPr>
        <w:t xml:space="preserve"> </w:t>
      </w:r>
      <w:r w:rsidR="0069690E">
        <w:rPr>
          <w:snapToGrid/>
        </w:rPr>
        <w:t>are not employing consistent approaches to</w:t>
      </w:r>
      <w:r w:rsidR="00613884" w:rsidRPr="00613884">
        <w:rPr>
          <w:snapToGrid/>
        </w:rPr>
        <w:t xml:space="preserve"> monitor</w:t>
      </w:r>
      <w:r w:rsidR="0069690E">
        <w:rPr>
          <w:snapToGrid/>
        </w:rPr>
        <w:t>ing</w:t>
      </w:r>
      <w:r w:rsidR="00613884" w:rsidRPr="00613884">
        <w:rPr>
          <w:snapToGrid/>
        </w:rPr>
        <w:t xml:space="preserve"> student thinking during the lessons, particularly during independent and group work time. Most monitoring focuse</w:t>
      </w:r>
      <w:r w:rsidR="00AF24E3">
        <w:rPr>
          <w:snapToGrid/>
        </w:rPr>
        <w:t>s</w:t>
      </w:r>
      <w:r w:rsidR="00613884" w:rsidRPr="00613884">
        <w:rPr>
          <w:snapToGrid/>
        </w:rPr>
        <w:t xml:space="preserve"> on time-on-task. One educator in an upper-grade classroom awarded points for high-level student thinking, suggesting a model for others to follow. </w:t>
      </w:r>
      <w:r w:rsidR="00F80C5B" w:rsidRPr="00AB479D">
        <w:rPr>
          <w:snapToGrid/>
        </w:rPr>
        <w:t xml:space="preserve">However, </w:t>
      </w:r>
      <w:r w:rsidR="00B6495C">
        <w:rPr>
          <w:snapToGrid/>
        </w:rPr>
        <w:t>across</w:t>
      </w:r>
      <w:r w:rsidR="00613884" w:rsidRPr="00613884">
        <w:rPr>
          <w:snapToGrid/>
        </w:rPr>
        <w:t xml:space="preserve"> classrooms visited, most teachers spent between </w:t>
      </w:r>
      <w:proofErr w:type="gramStart"/>
      <w:r w:rsidR="00613884" w:rsidRPr="00613884">
        <w:rPr>
          <w:snapToGrid/>
        </w:rPr>
        <w:t>three and five minutes</w:t>
      </w:r>
      <w:proofErr w:type="gramEnd"/>
      <w:r w:rsidR="00613884" w:rsidRPr="00613884">
        <w:rPr>
          <w:snapToGrid/>
        </w:rPr>
        <w:t xml:space="preserve"> monitoring students as they worked. Most lessons did not provide time for students to chew on the work and make meaning for extended periods. </w:t>
      </w:r>
    </w:p>
    <w:p w14:paraId="1445CA8D" w14:textId="77777777" w:rsidR="00246773" w:rsidRPr="00AB479D" w:rsidRDefault="00246773" w:rsidP="00246773">
      <w:pPr>
        <w:pStyle w:val="NoSpacing"/>
        <w:rPr>
          <w:snapToGrid/>
        </w:rPr>
      </w:pPr>
    </w:p>
    <w:p w14:paraId="56BA6947" w14:textId="6F2759EB" w:rsidR="007611CF" w:rsidRDefault="00F80C5B" w:rsidP="00246773">
      <w:pPr>
        <w:pStyle w:val="NoSpacing"/>
        <w:rPr>
          <w:snapToGrid/>
        </w:rPr>
      </w:pPr>
      <w:r w:rsidRPr="00AB479D">
        <w:rPr>
          <w:snapToGrid/>
        </w:rPr>
        <w:t>Moving forward</w:t>
      </w:r>
      <w:r w:rsidR="0031414C">
        <w:rPr>
          <w:snapToGrid/>
        </w:rPr>
        <w:t>,</w:t>
      </w:r>
      <w:r w:rsidRPr="00AB479D">
        <w:rPr>
          <w:snapToGrid/>
        </w:rPr>
        <w:t xml:space="preserve"> school leaders should continue to support teachers in prioritizing and enacting rigorous thinking tasks. </w:t>
      </w:r>
      <w:r w:rsidR="007611CF">
        <w:rPr>
          <w:snapToGrid/>
        </w:rPr>
        <w:br w:type="page"/>
      </w:r>
    </w:p>
    <w:p w14:paraId="309CB44D" w14:textId="67A742B9" w:rsidR="00A54222" w:rsidRPr="00246773" w:rsidRDefault="00A34405" w:rsidP="0069361B">
      <w:pPr>
        <w:pStyle w:val="NormalWeb"/>
        <w:spacing w:before="0" w:beforeAutospacing="0" w:after="0" w:afterAutospacing="0"/>
      </w:pPr>
      <w:r w:rsidRPr="00246773">
        <w:rPr>
          <w:b/>
        </w:rPr>
        <w:lastRenderedPageBreak/>
        <w:t xml:space="preserve">Morgan </w:t>
      </w:r>
      <w:proofErr w:type="gramStart"/>
      <w:r w:rsidRPr="00246773">
        <w:rPr>
          <w:b/>
        </w:rPr>
        <w:t>Full Service</w:t>
      </w:r>
      <w:proofErr w:type="gramEnd"/>
      <w:r w:rsidRPr="00246773">
        <w:rPr>
          <w:b/>
        </w:rPr>
        <w:t xml:space="preserve"> Community School, Holyoke, MA</w:t>
      </w:r>
    </w:p>
    <w:p w14:paraId="5C82D88A" w14:textId="5B681366" w:rsidR="001F6E45" w:rsidRPr="00246773" w:rsidRDefault="001F6E45" w:rsidP="00246773">
      <w:pPr>
        <w:widowControl/>
        <w:spacing w:before="140" w:after="140"/>
        <w:ind w:right="375"/>
        <w:jc w:val="both"/>
        <w:rPr>
          <w:snapToGrid/>
          <w:szCs w:val="24"/>
        </w:rPr>
      </w:pPr>
      <w:r w:rsidRPr="00246773">
        <w:rPr>
          <w:b/>
          <w:bCs/>
          <w:snapToGrid/>
          <w:szCs w:val="24"/>
        </w:rPr>
        <w:t>School Strengths</w:t>
      </w:r>
    </w:p>
    <w:p w14:paraId="22BA0093" w14:textId="22229DA8" w:rsidR="001F6E45" w:rsidRPr="00246773" w:rsidRDefault="001F6E45" w:rsidP="0069361B">
      <w:pPr>
        <w:widowControl/>
        <w:ind w:right="374"/>
        <w:jc w:val="both"/>
        <w:rPr>
          <w:snapToGrid/>
          <w:szCs w:val="24"/>
        </w:rPr>
      </w:pPr>
      <w:r w:rsidRPr="00246773">
        <w:rPr>
          <w:snapToGrid/>
          <w:szCs w:val="24"/>
        </w:rPr>
        <w:t>Area of Strength #1 </w:t>
      </w:r>
    </w:p>
    <w:p w14:paraId="35D3AB81" w14:textId="61DC220E" w:rsidR="001F6E45" w:rsidRPr="00246773" w:rsidRDefault="00D21383" w:rsidP="0069361B">
      <w:pPr>
        <w:widowControl/>
        <w:rPr>
          <w:snapToGrid/>
          <w:szCs w:val="24"/>
        </w:rPr>
      </w:pPr>
      <w:r w:rsidRPr="00246773">
        <w:rPr>
          <w:snapToGrid/>
          <w:szCs w:val="24"/>
        </w:rPr>
        <w:t>Assessment</w:t>
      </w:r>
    </w:p>
    <w:p w14:paraId="14674517" w14:textId="77777777" w:rsidR="001F6E45" w:rsidRPr="00246773" w:rsidRDefault="001F6E45" w:rsidP="00671A25">
      <w:pPr>
        <w:widowControl/>
        <w:spacing w:before="140" w:after="140"/>
        <w:ind w:right="375"/>
        <w:jc w:val="both"/>
        <w:rPr>
          <w:i/>
          <w:iCs/>
          <w:snapToGrid/>
          <w:szCs w:val="24"/>
        </w:rPr>
      </w:pPr>
      <w:r w:rsidRPr="00246773">
        <w:rPr>
          <w:i/>
          <w:iCs/>
          <w:snapToGrid/>
          <w:szCs w:val="24"/>
        </w:rPr>
        <w:t>Description:</w:t>
      </w:r>
    </w:p>
    <w:p w14:paraId="2ED49A34" w14:textId="20DEC482" w:rsidR="003146F9" w:rsidRPr="00AB479D" w:rsidRDefault="003146F9" w:rsidP="00246773">
      <w:pPr>
        <w:pStyle w:val="NoSpacing"/>
        <w:rPr>
          <w:snapToGrid/>
        </w:rPr>
      </w:pPr>
      <w:r w:rsidRPr="00AB479D">
        <w:rPr>
          <w:snapToGrid/>
        </w:rPr>
        <w:t xml:space="preserve">Morgan </w:t>
      </w:r>
      <w:r w:rsidR="00D21383" w:rsidRPr="00D21383">
        <w:rPr>
          <w:snapToGrid/>
        </w:rPr>
        <w:t xml:space="preserve">school leaders name </w:t>
      </w:r>
      <w:r w:rsidR="00D21383" w:rsidRPr="00D21383">
        <w:rPr>
          <w:i/>
          <w:iCs/>
          <w:snapToGrid/>
        </w:rPr>
        <w:t>daily formative assessment</w:t>
      </w:r>
      <w:r w:rsidR="00D21383" w:rsidRPr="00D21383">
        <w:rPr>
          <w:snapToGrid/>
        </w:rPr>
        <w:t xml:space="preserve"> as an instructional priority, both for the school and for the Holyoke Public Schools (HPS) district. </w:t>
      </w:r>
      <w:r w:rsidRPr="00AB479D">
        <w:rPr>
          <w:snapToGrid/>
        </w:rPr>
        <w:t>School</w:t>
      </w:r>
      <w:r w:rsidR="00D21383" w:rsidRPr="00D21383">
        <w:rPr>
          <w:snapToGrid/>
        </w:rPr>
        <w:t xml:space="preserve"> leaders have </w:t>
      </w:r>
      <w:r w:rsidR="00EF3615" w:rsidRPr="00AB479D">
        <w:rPr>
          <w:snapToGrid/>
        </w:rPr>
        <w:t>more clearly</w:t>
      </w:r>
      <w:r w:rsidRPr="00AB479D">
        <w:rPr>
          <w:snapToGrid/>
        </w:rPr>
        <w:t xml:space="preserve"> </w:t>
      </w:r>
      <w:r w:rsidR="00D21383" w:rsidRPr="00D21383">
        <w:rPr>
          <w:snapToGrid/>
        </w:rPr>
        <w:t xml:space="preserve">communicated </w:t>
      </w:r>
      <w:r w:rsidR="00EF3615" w:rsidRPr="00AB479D">
        <w:rPr>
          <w:snapToGrid/>
        </w:rPr>
        <w:t xml:space="preserve">their </w:t>
      </w:r>
      <w:r w:rsidR="00D21383" w:rsidRPr="00D21383">
        <w:rPr>
          <w:snapToGrid/>
        </w:rPr>
        <w:t xml:space="preserve">expectations </w:t>
      </w:r>
      <w:r w:rsidR="00EF3615" w:rsidRPr="00AB479D">
        <w:rPr>
          <w:snapToGrid/>
        </w:rPr>
        <w:t>that</w:t>
      </w:r>
      <w:r w:rsidR="00D21383" w:rsidRPr="00D21383">
        <w:rPr>
          <w:snapToGrid/>
        </w:rPr>
        <w:t xml:space="preserve"> teachers utilize two key formative assessment strategies</w:t>
      </w:r>
      <w:r w:rsidR="004D41A6">
        <w:rPr>
          <w:snapToGrid/>
        </w:rPr>
        <w:t xml:space="preserve"> </w:t>
      </w:r>
      <w:r w:rsidR="004D41A6" w:rsidRPr="004D41A6">
        <w:rPr>
          <w:snapToGrid/>
        </w:rPr>
        <w:t>–</w:t>
      </w:r>
      <w:r w:rsidR="004D41A6">
        <w:rPr>
          <w:snapToGrid/>
        </w:rPr>
        <w:t xml:space="preserve"> </w:t>
      </w:r>
      <w:r w:rsidR="00D21383" w:rsidRPr="00D21383">
        <w:rPr>
          <w:snapToGrid/>
        </w:rPr>
        <w:t>academic monitoring and exit tickets</w:t>
      </w:r>
      <w:r w:rsidR="004D41A6">
        <w:rPr>
          <w:snapToGrid/>
        </w:rPr>
        <w:t xml:space="preserve"> – </w:t>
      </w:r>
      <w:r w:rsidR="00D21383" w:rsidRPr="00D21383">
        <w:rPr>
          <w:snapToGrid/>
        </w:rPr>
        <w:t xml:space="preserve">to monitor each student’s progress. They have also supported teachers in planning adjustments to instruction based on formative assessments, with the goal of meeting all students’ learning needs. As a result, teachers in five of the six core content lessons visited were using one of the two formative assessment strategies to monitor student progress or to adjust instruction. For example, </w:t>
      </w:r>
      <w:r w:rsidR="009918EB">
        <w:rPr>
          <w:snapToGrid/>
        </w:rPr>
        <w:t xml:space="preserve">a first-grade team planned </w:t>
      </w:r>
      <w:r w:rsidR="00D21383" w:rsidRPr="00D21383">
        <w:rPr>
          <w:snapToGrid/>
        </w:rPr>
        <w:t>a math lesson</w:t>
      </w:r>
      <w:r w:rsidR="009918EB">
        <w:rPr>
          <w:snapToGrid/>
        </w:rPr>
        <w:t xml:space="preserve"> </w:t>
      </w:r>
      <w:r w:rsidR="00D21383" w:rsidRPr="00D21383">
        <w:rPr>
          <w:snapToGrid/>
        </w:rPr>
        <w:t xml:space="preserve">specifically to address student misunderstandings </w:t>
      </w:r>
      <w:r w:rsidR="006D7A82" w:rsidRPr="00AB479D">
        <w:rPr>
          <w:snapToGrid/>
        </w:rPr>
        <w:t xml:space="preserve">evident </w:t>
      </w:r>
      <w:r w:rsidR="00D21383" w:rsidRPr="00D21383">
        <w:rPr>
          <w:snapToGrid/>
        </w:rPr>
        <w:t>in exit ticket data. In a</w:t>
      </w:r>
      <w:r w:rsidR="005A2613">
        <w:rPr>
          <w:snapToGrid/>
        </w:rPr>
        <w:t xml:space="preserve"> second </w:t>
      </w:r>
      <w:r w:rsidR="00D21383" w:rsidRPr="00D21383">
        <w:rPr>
          <w:snapToGrid/>
        </w:rPr>
        <w:t xml:space="preserve">math lesson, a teacher monitored student </w:t>
      </w:r>
      <w:r w:rsidR="006D7A82" w:rsidRPr="00AB479D">
        <w:rPr>
          <w:snapToGrid/>
        </w:rPr>
        <w:t xml:space="preserve">independent </w:t>
      </w:r>
      <w:r w:rsidR="00D21383" w:rsidRPr="00D21383">
        <w:rPr>
          <w:snapToGrid/>
        </w:rPr>
        <w:t xml:space="preserve">work using a clipboard and monitoring sheet. When she noted that many students had not successfully solved the </w:t>
      </w:r>
      <w:r w:rsidR="006D7A82" w:rsidRPr="00AB479D">
        <w:rPr>
          <w:snapToGrid/>
        </w:rPr>
        <w:t xml:space="preserve">practice </w:t>
      </w:r>
      <w:r w:rsidR="00D21383" w:rsidRPr="00D21383">
        <w:rPr>
          <w:snapToGrid/>
        </w:rPr>
        <w:t xml:space="preserve">problems, she reviewed a strategy with the class. She then inserted two additional practice problems into the lesson and asked students to complete them using the strategy. In general, while there is still room for increasing the consistency of the practice, teachers are using the “aggressive monitoring” strategy more frequently and with greater fidelity than was observed in the fall. </w:t>
      </w:r>
    </w:p>
    <w:p w14:paraId="7EC21109" w14:textId="77777777" w:rsidR="00D21383" w:rsidRPr="00D21383" w:rsidRDefault="00D21383" w:rsidP="0069361B">
      <w:pPr>
        <w:widowControl/>
        <w:rPr>
          <w:snapToGrid/>
          <w:sz w:val="23"/>
          <w:szCs w:val="23"/>
        </w:rPr>
      </w:pPr>
    </w:p>
    <w:p w14:paraId="761492C2" w14:textId="1203CDB6" w:rsidR="00D21383" w:rsidRPr="00D21383" w:rsidRDefault="00D21383" w:rsidP="00246773">
      <w:pPr>
        <w:pStyle w:val="NoSpacing"/>
        <w:rPr>
          <w:snapToGrid/>
        </w:rPr>
      </w:pPr>
      <w:r w:rsidRPr="00D21383">
        <w:rPr>
          <w:snapToGrid/>
        </w:rPr>
        <w:t>School leaders have incorporated formative assessments into their teacher coaching system. Lesson feedback sessions with teachers now</w:t>
      </w:r>
      <w:r w:rsidR="006D7A82" w:rsidRPr="00AB479D">
        <w:rPr>
          <w:snapToGrid/>
        </w:rPr>
        <w:t xml:space="preserve"> often</w:t>
      </w:r>
      <w:r w:rsidRPr="00D21383">
        <w:rPr>
          <w:snapToGrid/>
        </w:rPr>
        <w:t xml:space="preserve"> include a review of exit tickets or other student work to </w:t>
      </w:r>
      <w:r w:rsidR="00EF3615" w:rsidRPr="00AB479D">
        <w:rPr>
          <w:snapToGrid/>
        </w:rPr>
        <w:t>determine</w:t>
      </w:r>
      <w:r w:rsidRPr="00D21383">
        <w:rPr>
          <w:snapToGrid/>
        </w:rPr>
        <w:t xml:space="preserve"> the success of the lesson. This practice is focusing staff members’ attention on the results of their instruction in a way that is new for the school and that holds great promise for driving student achievement. </w:t>
      </w:r>
    </w:p>
    <w:p w14:paraId="0E4F0C7F" w14:textId="77777777" w:rsidR="00D21383" w:rsidRPr="00D21383" w:rsidRDefault="00D21383" w:rsidP="0069361B">
      <w:pPr>
        <w:widowControl/>
        <w:rPr>
          <w:snapToGrid/>
          <w:sz w:val="23"/>
          <w:szCs w:val="23"/>
        </w:rPr>
      </w:pPr>
    </w:p>
    <w:p w14:paraId="2FF1E2E2" w14:textId="5311D023" w:rsidR="001F6E45" w:rsidRPr="00AB479D" w:rsidRDefault="00EF3615" w:rsidP="00246773">
      <w:pPr>
        <w:pStyle w:val="NoSpacing"/>
        <w:rPr>
          <w:snapToGrid/>
        </w:rPr>
      </w:pPr>
      <w:r w:rsidRPr="00AB479D">
        <w:rPr>
          <w:snapToGrid/>
        </w:rPr>
        <w:t xml:space="preserve">School leaders and teachers use assessments </w:t>
      </w:r>
      <w:r w:rsidR="00D21383" w:rsidRPr="00D21383">
        <w:rPr>
          <w:snapToGrid/>
        </w:rPr>
        <w:t xml:space="preserve">to group students for </w:t>
      </w:r>
      <w:r w:rsidR="006D7A82" w:rsidRPr="00AB479D">
        <w:rPr>
          <w:snapToGrid/>
        </w:rPr>
        <w:t xml:space="preserve">academic </w:t>
      </w:r>
      <w:r w:rsidR="00D21383" w:rsidRPr="00D21383">
        <w:rPr>
          <w:snapToGrid/>
        </w:rPr>
        <w:t>interventions</w:t>
      </w:r>
      <w:r w:rsidR="006D7A82" w:rsidRPr="00AB479D">
        <w:rPr>
          <w:snapToGrid/>
        </w:rPr>
        <w:t xml:space="preserve">. </w:t>
      </w:r>
      <w:r w:rsidR="00110EF2">
        <w:rPr>
          <w:snapToGrid/>
        </w:rPr>
        <w:t>While</w:t>
      </w:r>
      <w:r w:rsidR="00E93BE0">
        <w:rPr>
          <w:snapToGrid/>
        </w:rPr>
        <w:t xml:space="preserve"> </w:t>
      </w:r>
      <w:r w:rsidR="00D900F1">
        <w:rPr>
          <w:snapToGrid/>
        </w:rPr>
        <w:t xml:space="preserve">teachers </w:t>
      </w:r>
      <w:r w:rsidR="00C64E7E">
        <w:rPr>
          <w:snapToGrid/>
        </w:rPr>
        <w:t>are</w:t>
      </w:r>
      <w:r w:rsidR="00FD25DA">
        <w:rPr>
          <w:snapToGrid/>
        </w:rPr>
        <w:t xml:space="preserve"> enacting</w:t>
      </w:r>
      <w:r w:rsidR="006D7A82" w:rsidRPr="00AB479D">
        <w:rPr>
          <w:snapToGrid/>
        </w:rPr>
        <w:t xml:space="preserve"> i</w:t>
      </w:r>
      <w:r w:rsidR="00D21383" w:rsidRPr="00D21383">
        <w:rPr>
          <w:snapToGrid/>
        </w:rPr>
        <w:t>nterventions</w:t>
      </w:r>
      <w:r w:rsidR="00C64E7E">
        <w:rPr>
          <w:snapToGrid/>
        </w:rPr>
        <w:t xml:space="preserve"> with varying degrees of effectiveness</w:t>
      </w:r>
      <w:r w:rsidR="006D7A82" w:rsidRPr="00AB479D">
        <w:rPr>
          <w:snapToGrid/>
        </w:rPr>
        <w:t xml:space="preserve">, </w:t>
      </w:r>
      <w:r w:rsidR="00C64E7E">
        <w:rPr>
          <w:snapToGrid/>
        </w:rPr>
        <w:t xml:space="preserve">they are allocating more </w:t>
      </w:r>
      <w:r w:rsidR="006D7A82" w:rsidRPr="00AB479D">
        <w:rPr>
          <w:snapToGrid/>
        </w:rPr>
        <w:t xml:space="preserve">time </w:t>
      </w:r>
      <w:r w:rsidR="00D21383" w:rsidRPr="00D21383">
        <w:rPr>
          <w:snapToGrid/>
        </w:rPr>
        <w:t xml:space="preserve">to </w:t>
      </w:r>
      <w:r w:rsidR="006D7A82" w:rsidRPr="00AB479D">
        <w:rPr>
          <w:snapToGrid/>
        </w:rPr>
        <w:t xml:space="preserve">evidence-based </w:t>
      </w:r>
      <w:r w:rsidR="00D21383" w:rsidRPr="00D21383">
        <w:rPr>
          <w:snapToGrid/>
        </w:rPr>
        <w:t>small group</w:t>
      </w:r>
      <w:r w:rsidR="006D7A82" w:rsidRPr="00AB479D">
        <w:rPr>
          <w:snapToGrid/>
        </w:rPr>
        <w:t xml:space="preserve"> work</w:t>
      </w:r>
      <w:r w:rsidR="00D21383" w:rsidRPr="00D21383">
        <w:rPr>
          <w:snapToGrid/>
        </w:rPr>
        <w:t xml:space="preserve"> than reviewers have observed in the past. </w:t>
      </w:r>
      <w:r w:rsidR="001F6E45" w:rsidRPr="00AB479D">
        <w:rPr>
          <w:snapToGrid/>
        </w:rPr>
        <w:t> </w:t>
      </w:r>
    </w:p>
    <w:p w14:paraId="2ED70C83" w14:textId="77777777" w:rsidR="00EE5A01" w:rsidRDefault="00EE5A01" w:rsidP="004D41A6">
      <w:pPr>
        <w:widowControl/>
        <w:ind w:right="374"/>
        <w:jc w:val="both"/>
        <w:rPr>
          <w:b/>
          <w:bCs/>
          <w:snapToGrid/>
          <w:sz w:val="23"/>
          <w:szCs w:val="23"/>
        </w:rPr>
      </w:pPr>
    </w:p>
    <w:p w14:paraId="3D9CC450" w14:textId="4ADD09E9" w:rsidR="001F6E45" w:rsidRPr="00246773" w:rsidRDefault="001F6E45" w:rsidP="00246773">
      <w:pPr>
        <w:widowControl/>
        <w:spacing w:before="140" w:after="140"/>
        <w:ind w:right="375"/>
        <w:jc w:val="both"/>
        <w:rPr>
          <w:b/>
          <w:bCs/>
          <w:snapToGrid/>
          <w:sz w:val="23"/>
          <w:szCs w:val="23"/>
        </w:rPr>
      </w:pPr>
      <w:r w:rsidRPr="00DD57AC">
        <w:rPr>
          <w:b/>
          <w:bCs/>
          <w:snapToGrid/>
          <w:sz w:val="23"/>
          <w:szCs w:val="23"/>
        </w:rPr>
        <w:t>Areas of Focus</w:t>
      </w:r>
    </w:p>
    <w:p w14:paraId="422415FE" w14:textId="03EE4801" w:rsidR="001F6E45" w:rsidRPr="00246773" w:rsidRDefault="001F6E45" w:rsidP="00DD57AC">
      <w:pPr>
        <w:widowControl/>
        <w:ind w:right="374"/>
        <w:jc w:val="both"/>
        <w:rPr>
          <w:snapToGrid/>
          <w:szCs w:val="24"/>
        </w:rPr>
      </w:pPr>
      <w:r w:rsidRPr="00246773">
        <w:rPr>
          <w:snapToGrid/>
          <w:szCs w:val="24"/>
        </w:rPr>
        <w:t>Area of Focus #1</w:t>
      </w:r>
    </w:p>
    <w:p w14:paraId="463BDF10" w14:textId="2FAD19F4" w:rsidR="001F6E45" w:rsidRPr="00246773" w:rsidRDefault="00D21383" w:rsidP="0069361B">
      <w:pPr>
        <w:widowControl/>
        <w:rPr>
          <w:snapToGrid/>
          <w:szCs w:val="24"/>
        </w:rPr>
      </w:pPr>
      <w:r w:rsidRPr="00246773">
        <w:rPr>
          <w:snapToGrid/>
          <w:szCs w:val="24"/>
        </w:rPr>
        <w:t>Pedagogy</w:t>
      </w:r>
    </w:p>
    <w:p w14:paraId="01E94833" w14:textId="77777777" w:rsidR="001F6E45" w:rsidRPr="00246773" w:rsidRDefault="001F6E45" w:rsidP="0069361B">
      <w:pPr>
        <w:widowControl/>
        <w:spacing w:before="140" w:after="140"/>
        <w:ind w:right="375"/>
        <w:jc w:val="both"/>
        <w:rPr>
          <w:snapToGrid/>
          <w:szCs w:val="24"/>
        </w:rPr>
      </w:pPr>
      <w:r w:rsidRPr="00246773">
        <w:rPr>
          <w:i/>
          <w:iCs/>
          <w:snapToGrid/>
          <w:szCs w:val="24"/>
        </w:rPr>
        <w:t>Description</w:t>
      </w:r>
      <w:r w:rsidRPr="00246773">
        <w:rPr>
          <w:snapToGrid/>
          <w:szCs w:val="24"/>
        </w:rPr>
        <w:t>:</w:t>
      </w:r>
    </w:p>
    <w:p w14:paraId="017AD2DE" w14:textId="3C93697A" w:rsidR="00D21383" w:rsidRDefault="004933D5" w:rsidP="00246773">
      <w:pPr>
        <w:pStyle w:val="NoSpacing"/>
        <w:rPr>
          <w:snapToGrid/>
        </w:rPr>
      </w:pPr>
      <w:r w:rsidRPr="00AB479D">
        <w:rPr>
          <w:snapToGrid/>
        </w:rPr>
        <w:t xml:space="preserve">Morgan leaders </w:t>
      </w:r>
      <w:r w:rsidR="00D523A5" w:rsidRPr="00AB479D">
        <w:rPr>
          <w:snapToGrid/>
        </w:rPr>
        <w:t xml:space="preserve">have not communicated a consistent instructional vision over the last three years. </w:t>
      </w:r>
      <w:r w:rsidR="00831A68" w:rsidRPr="00AB479D">
        <w:rPr>
          <w:snapToGrid/>
        </w:rPr>
        <w:t xml:space="preserve">They have recently identified a </w:t>
      </w:r>
      <w:r w:rsidR="00D523A5" w:rsidRPr="00AB479D">
        <w:rPr>
          <w:snapToGrid/>
        </w:rPr>
        <w:t>set of classroom look-</w:t>
      </w:r>
      <w:proofErr w:type="spellStart"/>
      <w:r w:rsidR="00D523A5" w:rsidRPr="00AB479D">
        <w:rPr>
          <w:snapToGrid/>
        </w:rPr>
        <w:t>fors</w:t>
      </w:r>
      <w:proofErr w:type="spellEnd"/>
      <w:r w:rsidR="005A2613">
        <w:rPr>
          <w:snapToGrid/>
        </w:rPr>
        <w:t>. The set</w:t>
      </w:r>
      <w:r w:rsidR="00C243EB" w:rsidRPr="00AB479D">
        <w:rPr>
          <w:snapToGrid/>
        </w:rPr>
        <w:t xml:space="preserve"> includes both new look-</w:t>
      </w:r>
      <w:proofErr w:type="spellStart"/>
      <w:r w:rsidR="00C243EB" w:rsidRPr="00AB479D">
        <w:rPr>
          <w:snapToGrid/>
        </w:rPr>
        <w:t>fors</w:t>
      </w:r>
      <w:proofErr w:type="spellEnd"/>
      <w:r w:rsidR="00C243EB" w:rsidRPr="00AB479D">
        <w:rPr>
          <w:snapToGrid/>
        </w:rPr>
        <w:t xml:space="preserve"> and look-</w:t>
      </w:r>
      <w:proofErr w:type="spellStart"/>
      <w:r w:rsidR="00C243EB" w:rsidRPr="00AB479D">
        <w:rPr>
          <w:snapToGrid/>
        </w:rPr>
        <w:t>fors</w:t>
      </w:r>
      <w:proofErr w:type="spellEnd"/>
      <w:r w:rsidR="00C243EB" w:rsidRPr="00AB479D">
        <w:rPr>
          <w:snapToGrid/>
        </w:rPr>
        <w:t xml:space="preserve"> that have been previously communicated to teachers</w:t>
      </w:r>
      <w:r w:rsidR="00831A68" w:rsidRPr="00AB479D">
        <w:rPr>
          <w:snapToGrid/>
        </w:rPr>
        <w:t xml:space="preserve">. </w:t>
      </w:r>
      <w:r w:rsidR="005563C6" w:rsidRPr="00AB479D">
        <w:rPr>
          <w:snapToGrid/>
        </w:rPr>
        <w:t>Among the look-</w:t>
      </w:r>
      <w:proofErr w:type="spellStart"/>
      <w:r w:rsidR="005563C6" w:rsidRPr="00AB479D">
        <w:rPr>
          <w:snapToGrid/>
        </w:rPr>
        <w:t>fors</w:t>
      </w:r>
      <w:proofErr w:type="spellEnd"/>
      <w:r w:rsidR="005563C6" w:rsidRPr="00AB479D">
        <w:rPr>
          <w:snapToGrid/>
        </w:rPr>
        <w:t xml:space="preserve"> are</w:t>
      </w:r>
      <w:r w:rsidR="00D21383" w:rsidRPr="00D21383">
        <w:rPr>
          <w:snapToGrid/>
        </w:rPr>
        <w:t>: students having “pen to paper” within the first few minutes of the start of each lesson; extended independent work time; every student engaging w</w:t>
      </w:r>
      <w:r w:rsidR="00AD4E76" w:rsidRPr="00AB479D">
        <w:rPr>
          <w:snapToGrid/>
        </w:rPr>
        <w:t xml:space="preserve">ith </w:t>
      </w:r>
      <w:r w:rsidR="00D21383" w:rsidRPr="00D21383">
        <w:rPr>
          <w:snapToGrid/>
        </w:rPr>
        <w:t>standards-aligned</w:t>
      </w:r>
      <w:r w:rsidR="00AD4E76" w:rsidRPr="00AB479D">
        <w:rPr>
          <w:snapToGrid/>
        </w:rPr>
        <w:t xml:space="preserve"> </w:t>
      </w:r>
      <w:r w:rsidR="00D21383" w:rsidRPr="00D21383">
        <w:rPr>
          <w:snapToGrid/>
        </w:rPr>
        <w:t>texts and tasks; teachers</w:t>
      </w:r>
      <w:r w:rsidR="00AD4E76" w:rsidRPr="00AB479D">
        <w:rPr>
          <w:snapToGrid/>
        </w:rPr>
        <w:t xml:space="preserve"> </w:t>
      </w:r>
      <w:r w:rsidR="00D21383" w:rsidRPr="00D21383">
        <w:rPr>
          <w:snapToGrid/>
        </w:rPr>
        <w:t>engaging in “aggressive monitoring” of student</w:t>
      </w:r>
      <w:r w:rsidR="00B847D9" w:rsidRPr="00AB479D">
        <w:rPr>
          <w:snapToGrid/>
        </w:rPr>
        <w:t xml:space="preserve"> progress</w:t>
      </w:r>
      <w:r w:rsidR="00D21383" w:rsidRPr="00D21383">
        <w:rPr>
          <w:snapToGrid/>
        </w:rPr>
        <w:t>; the use of daily “exit tickets” in math lessons; targeted small-group work; and</w:t>
      </w:r>
      <w:r w:rsidR="00B847D9" w:rsidRPr="00AB479D">
        <w:rPr>
          <w:snapToGrid/>
        </w:rPr>
        <w:t xml:space="preserve"> </w:t>
      </w:r>
      <w:r w:rsidR="00D21383" w:rsidRPr="00D21383">
        <w:rPr>
          <w:snapToGrid/>
        </w:rPr>
        <w:t>strategies to provide all learners with access to rigorous, grade-level curriculum.</w:t>
      </w:r>
    </w:p>
    <w:p w14:paraId="2040E5E3" w14:textId="77777777" w:rsidR="004D41A6" w:rsidRPr="00D21383" w:rsidRDefault="004D41A6" w:rsidP="00246773">
      <w:pPr>
        <w:pStyle w:val="NoSpacing"/>
        <w:rPr>
          <w:snapToGrid/>
        </w:rPr>
      </w:pPr>
    </w:p>
    <w:p w14:paraId="3D708095" w14:textId="09C48616" w:rsidR="00D21383" w:rsidRPr="00D21383" w:rsidRDefault="00C243EB" w:rsidP="00246773">
      <w:pPr>
        <w:pStyle w:val="NoSpacing"/>
        <w:rPr>
          <w:snapToGrid/>
        </w:rPr>
      </w:pPr>
      <w:r w:rsidRPr="00D21383">
        <w:rPr>
          <w:snapToGrid/>
        </w:rPr>
        <w:lastRenderedPageBreak/>
        <w:t>Leaders are more consistently checking to verify that teachers are enacting the look-</w:t>
      </w:r>
      <w:proofErr w:type="spellStart"/>
      <w:r w:rsidRPr="00D21383">
        <w:rPr>
          <w:snapToGrid/>
        </w:rPr>
        <w:t>fors</w:t>
      </w:r>
      <w:proofErr w:type="spellEnd"/>
      <w:r w:rsidRPr="00D21383">
        <w:rPr>
          <w:snapToGrid/>
        </w:rPr>
        <w:t xml:space="preserve">. As a result, </w:t>
      </w:r>
      <w:r w:rsidR="005A2613">
        <w:rPr>
          <w:snapToGrid/>
        </w:rPr>
        <w:t xml:space="preserve">teacher teams are enacting </w:t>
      </w:r>
      <w:r w:rsidRPr="00D21383">
        <w:rPr>
          <w:snapToGrid/>
        </w:rPr>
        <w:t>some of the look-</w:t>
      </w:r>
      <w:proofErr w:type="spellStart"/>
      <w:r w:rsidRPr="00D21383">
        <w:rPr>
          <w:snapToGrid/>
        </w:rPr>
        <w:t>fors</w:t>
      </w:r>
      <w:proofErr w:type="spellEnd"/>
      <w:r w:rsidRPr="00D21383">
        <w:rPr>
          <w:snapToGrid/>
        </w:rPr>
        <w:t xml:space="preserve"> consistently across classrooms. </w:t>
      </w:r>
      <w:r w:rsidR="00B847D9" w:rsidRPr="00AB479D">
        <w:rPr>
          <w:snapToGrid/>
        </w:rPr>
        <w:t xml:space="preserve">Students </w:t>
      </w:r>
      <w:r w:rsidR="00D21383" w:rsidRPr="00D21383">
        <w:rPr>
          <w:snapToGrid/>
        </w:rPr>
        <w:t>d</w:t>
      </w:r>
      <w:r w:rsidR="00B847D9" w:rsidRPr="00AB479D">
        <w:rPr>
          <w:snapToGrid/>
        </w:rPr>
        <w:t>o</w:t>
      </w:r>
      <w:r w:rsidR="00D21383" w:rsidRPr="00D21383">
        <w:rPr>
          <w:snapToGrid/>
        </w:rPr>
        <w:t xml:space="preserve"> engage with standards-aligned tasks, content, and/or texts.</w:t>
      </w:r>
      <w:r w:rsidR="00B847D9" w:rsidRPr="00AB479D">
        <w:rPr>
          <w:snapToGrid/>
        </w:rPr>
        <w:t xml:space="preserve"> Most teachers </w:t>
      </w:r>
      <w:r w:rsidR="00D21383" w:rsidRPr="00D21383">
        <w:rPr>
          <w:snapToGrid/>
        </w:rPr>
        <w:t xml:space="preserve">ensure that students quickly put “pen to paper.” In most classrooms, students </w:t>
      </w:r>
      <w:r w:rsidR="005A2613">
        <w:rPr>
          <w:snapToGrid/>
        </w:rPr>
        <w:t>have</w:t>
      </w:r>
      <w:r w:rsidR="00D21383" w:rsidRPr="00D21383">
        <w:rPr>
          <w:snapToGrid/>
        </w:rPr>
        <w:t xml:space="preserve"> sufficient independent </w:t>
      </w:r>
      <w:r w:rsidR="00D523A5" w:rsidRPr="00AB479D">
        <w:rPr>
          <w:snapToGrid/>
        </w:rPr>
        <w:t>practice</w:t>
      </w:r>
      <w:r w:rsidR="00D21383" w:rsidRPr="00D21383">
        <w:rPr>
          <w:snapToGrid/>
        </w:rPr>
        <w:t xml:space="preserve"> time. </w:t>
      </w:r>
      <w:r w:rsidR="0098700E">
        <w:rPr>
          <w:snapToGrid/>
        </w:rPr>
        <w:t>Teachers are utilizing</w:t>
      </w:r>
      <w:r w:rsidR="00D21383" w:rsidRPr="00D21383">
        <w:rPr>
          <w:snapToGrid/>
        </w:rPr>
        <w:t xml:space="preserve"> the aggressive monitoring strategy. </w:t>
      </w:r>
    </w:p>
    <w:p w14:paraId="11C44074" w14:textId="09E62CCF" w:rsidR="00B847D9" w:rsidRPr="00D21383" w:rsidRDefault="00D21383" w:rsidP="0069361B">
      <w:pPr>
        <w:widowControl/>
        <w:ind w:right="465"/>
        <w:jc w:val="both"/>
        <w:rPr>
          <w:snapToGrid/>
          <w:sz w:val="23"/>
          <w:szCs w:val="23"/>
        </w:rPr>
      </w:pPr>
      <w:r w:rsidRPr="00D21383">
        <w:rPr>
          <w:snapToGrid/>
          <w:color w:val="000000"/>
          <w:sz w:val="23"/>
          <w:szCs w:val="23"/>
        </w:rPr>
        <w:t> </w:t>
      </w:r>
    </w:p>
    <w:p w14:paraId="3038E455" w14:textId="0E7C1280" w:rsidR="00D21383" w:rsidRPr="00D21383" w:rsidRDefault="00D21383" w:rsidP="00246773">
      <w:pPr>
        <w:pStyle w:val="NoSpacing"/>
        <w:rPr>
          <w:snapToGrid/>
        </w:rPr>
      </w:pPr>
      <w:r w:rsidRPr="00D21383">
        <w:rPr>
          <w:snapToGrid/>
        </w:rPr>
        <w:t>Beyond the articulated classroom look-</w:t>
      </w:r>
      <w:proofErr w:type="spellStart"/>
      <w:r w:rsidRPr="00D21383">
        <w:rPr>
          <w:snapToGrid/>
        </w:rPr>
        <w:t>fors</w:t>
      </w:r>
      <w:proofErr w:type="spellEnd"/>
      <w:r w:rsidRPr="00D21383">
        <w:rPr>
          <w:snapToGrid/>
        </w:rPr>
        <w:t>, lesson enactment continues to be inconsistent. In several classrooms, lesson pacing lacked urgency. Some lessons</w:t>
      </w:r>
      <w:r w:rsidR="001F67BC" w:rsidRPr="00AB479D">
        <w:rPr>
          <w:snapToGrid/>
        </w:rPr>
        <w:t xml:space="preserve"> </w:t>
      </w:r>
      <w:r w:rsidR="00C243EB" w:rsidRPr="00AB479D">
        <w:rPr>
          <w:snapToGrid/>
        </w:rPr>
        <w:t>included more</w:t>
      </w:r>
      <w:r w:rsidRPr="00D21383">
        <w:rPr>
          <w:snapToGrid/>
        </w:rPr>
        <w:t xml:space="preserve"> frontloading </w:t>
      </w:r>
      <w:r w:rsidR="00C243EB" w:rsidRPr="00AB479D">
        <w:rPr>
          <w:snapToGrid/>
        </w:rPr>
        <w:t>of content</w:t>
      </w:r>
      <w:r w:rsidRPr="00D21383">
        <w:rPr>
          <w:snapToGrid/>
        </w:rPr>
        <w:t xml:space="preserve"> than necessary, resulting in lost practice time for students. Frequently, teachers miss opportunities to increase the number of students actively </w:t>
      </w:r>
      <w:r w:rsidR="00DE3465" w:rsidRPr="00AB479D">
        <w:rPr>
          <w:snapToGrid/>
        </w:rPr>
        <w:t>engaged</w:t>
      </w:r>
      <w:r w:rsidRPr="00D21383">
        <w:rPr>
          <w:snapToGrid/>
        </w:rPr>
        <w:t xml:space="preserve"> in </w:t>
      </w:r>
      <w:r w:rsidR="00DE3465" w:rsidRPr="00AB479D">
        <w:rPr>
          <w:snapToGrid/>
        </w:rPr>
        <w:t>thinking</w:t>
      </w:r>
      <w:r w:rsidRPr="00D21383">
        <w:rPr>
          <w:snapToGrid/>
        </w:rPr>
        <w:t xml:space="preserve"> (the “ratio”). And across classrooms, teachers miss opportunities to increase student participatory engagement </w:t>
      </w:r>
      <w:r w:rsidR="001F67BC" w:rsidRPr="00AB479D">
        <w:rPr>
          <w:snapToGrid/>
        </w:rPr>
        <w:t xml:space="preserve">in </w:t>
      </w:r>
      <w:r w:rsidRPr="00D21383">
        <w:rPr>
          <w:snapToGrid/>
        </w:rPr>
        <w:t>lessons.</w:t>
      </w:r>
    </w:p>
    <w:p w14:paraId="119C6EB1" w14:textId="77777777" w:rsidR="00D21383" w:rsidRPr="00D21383" w:rsidRDefault="00D21383" w:rsidP="0069361B">
      <w:pPr>
        <w:widowControl/>
        <w:rPr>
          <w:snapToGrid/>
          <w:sz w:val="23"/>
          <w:szCs w:val="23"/>
        </w:rPr>
      </w:pPr>
    </w:p>
    <w:p w14:paraId="5C60402E" w14:textId="03F1DBD0" w:rsidR="001F6E45" w:rsidRDefault="00DE3465" w:rsidP="00246773">
      <w:pPr>
        <w:pStyle w:val="NoSpacing"/>
        <w:rPr>
          <w:snapToGrid/>
        </w:rPr>
      </w:pPr>
      <w:r w:rsidRPr="00AB479D">
        <w:rPr>
          <w:snapToGrid/>
        </w:rPr>
        <w:t>Moving forward, school leaders should build teachers</w:t>
      </w:r>
      <w:r w:rsidR="00D025F0">
        <w:rPr>
          <w:snapToGrid/>
        </w:rPr>
        <w:t>’</w:t>
      </w:r>
      <w:r w:rsidRPr="00AB479D">
        <w:rPr>
          <w:snapToGrid/>
        </w:rPr>
        <w:t xml:space="preserve"> capacit</w:t>
      </w:r>
      <w:r w:rsidR="00CC7233">
        <w:rPr>
          <w:snapToGrid/>
        </w:rPr>
        <w:t>y</w:t>
      </w:r>
      <w:r w:rsidRPr="00AB479D">
        <w:rPr>
          <w:snapToGrid/>
        </w:rPr>
        <w:t xml:space="preserve"> to leverage those misconceptions they identify while using “aggressive monitoring.” They should develop, </w:t>
      </w:r>
      <w:proofErr w:type="gramStart"/>
      <w:r w:rsidRPr="00AB479D">
        <w:rPr>
          <w:snapToGrid/>
        </w:rPr>
        <w:t>communicate</w:t>
      </w:r>
      <w:proofErr w:type="gramEnd"/>
      <w:r w:rsidRPr="00AB479D">
        <w:rPr>
          <w:snapToGrid/>
        </w:rPr>
        <w:t xml:space="preserve"> and model </w:t>
      </w:r>
      <w:r w:rsidR="00D21383" w:rsidRPr="00D21383">
        <w:rPr>
          <w:snapToGrid/>
        </w:rPr>
        <w:t>look-</w:t>
      </w:r>
      <w:proofErr w:type="spellStart"/>
      <w:r w:rsidR="00D21383" w:rsidRPr="00D21383">
        <w:rPr>
          <w:snapToGrid/>
        </w:rPr>
        <w:t>fors</w:t>
      </w:r>
      <w:proofErr w:type="spellEnd"/>
      <w:r w:rsidR="00D21383" w:rsidRPr="00D21383">
        <w:rPr>
          <w:snapToGrid/>
        </w:rPr>
        <w:t xml:space="preserve"> related to ensuring that teachers maximize the level and amount of cognitive work every student is doing during each lesson.</w:t>
      </w:r>
      <w:r w:rsidR="001F67BC" w:rsidRPr="00AB479D">
        <w:rPr>
          <w:snapToGrid/>
        </w:rPr>
        <w:t xml:space="preserve"> </w:t>
      </w:r>
    </w:p>
    <w:p w14:paraId="708A680B" w14:textId="77777777" w:rsidR="00EE5A01" w:rsidRPr="00AB479D" w:rsidRDefault="00EE5A01" w:rsidP="00EE5A01">
      <w:pPr>
        <w:widowControl/>
        <w:ind w:right="465"/>
        <w:jc w:val="both"/>
        <w:rPr>
          <w:sz w:val="23"/>
          <w:szCs w:val="23"/>
        </w:rPr>
      </w:pPr>
    </w:p>
    <w:p w14:paraId="1EEB5151" w14:textId="70A8FD3A" w:rsidR="001F6E45" w:rsidRPr="00246773" w:rsidRDefault="001F6E45" w:rsidP="0069361B">
      <w:pPr>
        <w:widowControl/>
        <w:ind w:right="374"/>
        <w:jc w:val="both"/>
        <w:rPr>
          <w:snapToGrid/>
          <w:szCs w:val="24"/>
        </w:rPr>
      </w:pPr>
      <w:r w:rsidRPr="00246773">
        <w:rPr>
          <w:snapToGrid/>
          <w:szCs w:val="24"/>
        </w:rPr>
        <w:t>Area of Focus #2</w:t>
      </w:r>
    </w:p>
    <w:p w14:paraId="1343C9B2" w14:textId="270F96F2" w:rsidR="001F6E45" w:rsidRPr="00246773" w:rsidRDefault="00D21383" w:rsidP="0069361B">
      <w:pPr>
        <w:widowControl/>
        <w:rPr>
          <w:snapToGrid/>
          <w:szCs w:val="24"/>
        </w:rPr>
      </w:pPr>
      <w:r w:rsidRPr="00246773">
        <w:rPr>
          <w:snapToGrid/>
          <w:szCs w:val="24"/>
        </w:rPr>
        <w:t>Curriculum</w:t>
      </w:r>
    </w:p>
    <w:p w14:paraId="2A9D7ADF" w14:textId="1C1E9743" w:rsidR="001F6E45" w:rsidRPr="00246773" w:rsidRDefault="001F6E45" w:rsidP="0069361B">
      <w:pPr>
        <w:widowControl/>
        <w:spacing w:before="140" w:after="140"/>
        <w:ind w:right="375"/>
        <w:jc w:val="both"/>
        <w:rPr>
          <w:b/>
          <w:bCs/>
          <w:snapToGrid/>
          <w:szCs w:val="24"/>
        </w:rPr>
      </w:pPr>
      <w:r w:rsidRPr="00246773">
        <w:rPr>
          <w:i/>
          <w:iCs/>
          <w:snapToGrid/>
          <w:szCs w:val="24"/>
        </w:rPr>
        <w:t>Description</w:t>
      </w:r>
      <w:r w:rsidRPr="00246773">
        <w:rPr>
          <w:b/>
          <w:bCs/>
          <w:snapToGrid/>
          <w:szCs w:val="24"/>
        </w:rPr>
        <w:t>:</w:t>
      </w:r>
    </w:p>
    <w:p w14:paraId="42F3B540" w14:textId="1DB8E687" w:rsidR="00D21383" w:rsidRPr="00D21383" w:rsidRDefault="00D21383" w:rsidP="00E73B00">
      <w:pPr>
        <w:pStyle w:val="NoSpacing"/>
        <w:rPr>
          <w:snapToGrid/>
        </w:rPr>
      </w:pPr>
      <w:r w:rsidRPr="00D21383">
        <w:rPr>
          <w:snapToGrid/>
        </w:rPr>
        <w:t xml:space="preserve">Morgan school leaders and teachers have selected high-quality curricular materials for use across classrooms. </w:t>
      </w:r>
      <w:proofErr w:type="spellStart"/>
      <w:r w:rsidRPr="00D21383">
        <w:rPr>
          <w:snapToGrid/>
        </w:rPr>
        <w:t>EngageNY</w:t>
      </w:r>
      <w:proofErr w:type="spellEnd"/>
      <w:r w:rsidRPr="00D21383">
        <w:rPr>
          <w:snapToGrid/>
        </w:rPr>
        <w:t xml:space="preserve"> is the selected curricul</w:t>
      </w:r>
      <w:r w:rsidR="00951E29">
        <w:rPr>
          <w:snapToGrid/>
        </w:rPr>
        <w:t>um</w:t>
      </w:r>
      <w:r w:rsidRPr="00D21383">
        <w:rPr>
          <w:snapToGrid/>
        </w:rPr>
        <w:t xml:space="preserve"> for math from pre-kindergarten to fourth grade. ELA teachers use </w:t>
      </w:r>
      <w:proofErr w:type="spellStart"/>
      <w:r w:rsidRPr="00D21383">
        <w:rPr>
          <w:snapToGrid/>
        </w:rPr>
        <w:t>EngageNY</w:t>
      </w:r>
      <w:proofErr w:type="spellEnd"/>
      <w:r w:rsidRPr="00D21383">
        <w:rPr>
          <w:snapToGrid/>
        </w:rPr>
        <w:t xml:space="preserve"> (</w:t>
      </w:r>
      <w:r w:rsidR="00951E29">
        <w:rPr>
          <w:snapToGrid/>
        </w:rPr>
        <w:t>PK</w:t>
      </w:r>
      <w:r w:rsidRPr="00D21383">
        <w:rPr>
          <w:snapToGrid/>
        </w:rPr>
        <w:t>), Making Meaning (</w:t>
      </w:r>
      <w:r w:rsidR="00951E29">
        <w:rPr>
          <w:snapToGrid/>
        </w:rPr>
        <w:t>K</w:t>
      </w:r>
      <w:r w:rsidRPr="00D21383">
        <w:rPr>
          <w:snapToGrid/>
        </w:rPr>
        <w:t>-2), and Expeditionary Learning (3-4), along with several supportive curricula such as West Virginia Phonics and S</w:t>
      </w:r>
      <w:r w:rsidR="0002541A">
        <w:rPr>
          <w:snapToGrid/>
        </w:rPr>
        <w:t>EEDS</w:t>
      </w:r>
      <w:r w:rsidRPr="00D21383">
        <w:rPr>
          <w:snapToGrid/>
        </w:rPr>
        <w:t>. </w:t>
      </w:r>
    </w:p>
    <w:p w14:paraId="1A7D3D8E" w14:textId="77777777" w:rsidR="00D21383" w:rsidRPr="00D21383" w:rsidRDefault="00D21383" w:rsidP="0069361B">
      <w:pPr>
        <w:widowControl/>
        <w:rPr>
          <w:snapToGrid/>
          <w:sz w:val="23"/>
          <w:szCs w:val="23"/>
        </w:rPr>
      </w:pPr>
    </w:p>
    <w:p w14:paraId="7BCC34FB" w14:textId="4002474C" w:rsidR="00D21383" w:rsidRPr="00D21383" w:rsidRDefault="00DE3465" w:rsidP="00E73B00">
      <w:pPr>
        <w:pStyle w:val="NoSpacing"/>
        <w:rPr>
          <w:snapToGrid/>
        </w:rPr>
      </w:pPr>
      <w:r w:rsidRPr="00AB479D">
        <w:rPr>
          <w:snapToGrid/>
        </w:rPr>
        <w:t>Every</w:t>
      </w:r>
      <w:r w:rsidR="00D21383" w:rsidRPr="00D21383">
        <w:rPr>
          <w:snapToGrid/>
        </w:rPr>
        <w:t xml:space="preserve"> Morgan classroom includes a diversity of learners with varied needs</w:t>
      </w:r>
      <w:r w:rsidR="00FE5CB4" w:rsidRPr="00AB479D">
        <w:rPr>
          <w:snapToGrid/>
        </w:rPr>
        <w:t xml:space="preserve">. </w:t>
      </w:r>
      <w:r w:rsidR="000B3629">
        <w:rPr>
          <w:snapToGrid/>
        </w:rPr>
        <w:t>Students are engaging in s</w:t>
      </w:r>
      <w:r w:rsidR="00D21383" w:rsidRPr="00D21383">
        <w:rPr>
          <w:snapToGrid/>
        </w:rPr>
        <w:t>mall-group work and, when enacted effectively</w:t>
      </w:r>
      <w:r w:rsidR="00FE5CB4" w:rsidRPr="00AB479D">
        <w:rPr>
          <w:snapToGrid/>
        </w:rPr>
        <w:t xml:space="preserve">, </w:t>
      </w:r>
      <w:r w:rsidR="00643A82">
        <w:rPr>
          <w:snapToGrid/>
        </w:rPr>
        <w:t>the small-group instruction</w:t>
      </w:r>
      <w:r w:rsidR="00D21383" w:rsidRPr="00D21383">
        <w:rPr>
          <w:snapToGrid/>
        </w:rPr>
        <w:t xml:space="preserve"> does support student learning needs. However, </w:t>
      </w:r>
      <w:r w:rsidR="00E819B0">
        <w:rPr>
          <w:snapToGrid/>
        </w:rPr>
        <w:t>during</w:t>
      </w:r>
      <w:r w:rsidR="00D21383" w:rsidRPr="00D21383">
        <w:rPr>
          <w:snapToGrid/>
        </w:rPr>
        <w:t xml:space="preserve"> core instructional blocks</w:t>
      </w:r>
      <w:r w:rsidR="00E819B0">
        <w:rPr>
          <w:snapToGrid/>
        </w:rPr>
        <w:t xml:space="preserve"> teachers are not yet </w:t>
      </w:r>
      <w:r w:rsidR="00D21383" w:rsidRPr="00D21383">
        <w:rPr>
          <w:snapToGrid/>
        </w:rPr>
        <w:t>consistent</w:t>
      </w:r>
      <w:r w:rsidR="00E819B0">
        <w:rPr>
          <w:snapToGrid/>
        </w:rPr>
        <w:t>ly</w:t>
      </w:r>
      <w:r w:rsidR="00D21383" w:rsidRPr="00D21383">
        <w:rPr>
          <w:snapToGrid/>
        </w:rPr>
        <w:t xml:space="preserve"> </w:t>
      </w:r>
      <w:r w:rsidR="00E819B0">
        <w:rPr>
          <w:snapToGrid/>
        </w:rPr>
        <w:t>employing</w:t>
      </w:r>
      <w:r w:rsidR="00D21383" w:rsidRPr="00D21383">
        <w:rPr>
          <w:snapToGrid/>
        </w:rPr>
        <w:t xml:space="preserve"> strategies for ensuring that every learner has access to the curricula and is cognitively engaged. As a result, in many classrooms </w:t>
      </w:r>
      <w:r w:rsidR="00D34694">
        <w:rPr>
          <w:snapToGrid/>
        </w:rPr>
        <w:t xml:space="preserve">students lose </w:t>
      </w:r>
      <w:r w:rsidR="00D21383" w:rsidRPr="00D21383">
        <w:rPr>
          <w:snapToGrid/>
        </w:rPr>
        <w:t>valuable instructional time.</w:t>
      </w:r>
      <w:r w:rsidR="00D34694">
        <w:rPr>
          <w:snapToGrid/>
        </w:rPr>
        <w:t xml:space="preserve"> </w:t>
      </w:r>
      <w:r w:rsidR="00D21383" w:rsidRPr="00D21383">
        <w:rPr>
          <w:snapToGrid/>
        </w:rPr>
        <w:t xml:space="preserve"> In some cases, students who do not have the supports they need to access the rigor of the curriculum lose time waiting for a teacher’s assistance. In other cases, students who have already mastered skills lose time waiting when they have completed tasks </w:t>
      </w:r>
      <w:r w:rsidR="006E236C">
        <w:rPr>
          <w:snapToGrid/>
        </w:rPr>
        <w:t>ahead of</w:t>
      </w:r>
      <w:r w:rsidR="00D21383" w:rsidRPr="00D21383">
        <w:rPr>
          <w:snapToGrid/>
        </w:rPr>
        <w:t xml:space="preserve"> their classmates</w:t>
      </w:r>
      <w:r w:rsidR="00FE5CB4" w:rsidRPr="00AB479D">
        <w:rPr>
          <w:snapToGrid/>
        </w:rPr>
        <w:t>.</w:t>
      </w:r>
    </w:p>
    <w:p w14:paraId="6419741F" w14:textId="77777777" w:rsidR="00D21383" w:rsidRPr="00D21383" w:rsidRDefault="00D21383" w:rsidP="0069361B">
      <w:pPr>
        <w:widowControl/>
        <w:rPr>
          <w:snapToGrid/>
          <w:sz w:val="23"/>
          <w:szCs w:val="23"/>
        </w:rPr>
      </w:pPr>
    </w:p>
    <w:p w14:paraId="1A71314B" w14:textId="15120C20" w:rsidR="00863974" w:rsidRPr="000E286D" w:rsidRDefault="006E236C" w:rsidP="000E286D">
      <w:pPr>
        <w:pStyle w:val="NoSpacing"/>
        <w:rPr>
          <w:snapToGrid/>
        </w:rPr>
      </w:pPr>
      <w:r>
        <w:rPr>
          <w:snapToGrid/>
        </w:rPr>
        <w:t>School leaders should c</w:t>
      </w:r>
      <w:r w:rsidR="00D21383" w:rsidRPr="00D21383">
        <w:rPr>
          <w:snapToGrid/>
        </w:rPr>
        <w:t>ontinue</w:t>
      </w:r>
      <w:r>
        <w:rPr>
          <w:snapToGrid/>
        </w:rPr>
        <w:t xml:space="preserve"> to</w:t>
      </w:r>
      <w:r w:rsidR="00D21383" w:rsidRPr="00D21383">
        <w:rPr>
          <w:snapToGrid/>
        </w:rPr>
        <w:t xml:space="preserve"> focus</w:t>
      </w:r>
      <w:r>
        <w:rPr>
          <w:snapToGrid/>
        </w:rPr>
        <w:t xml:space="preserve"> on</w:t>
      </w:r>
      <w:r w:rsidR="00D21383" w:rsidRPr="00D21383">
        <w:rPr>
          <w:snapToGrid/>
        </w:rPr>
        <w:t xml:space="preserve"> ensur</w:t>
      </w:r>
      <w:r>
        <w:rPr>
          <w:snapToGrid/>
        </w:rPr>
        <w:t>ing</w:t>
      </w:r>
      <w:r w:rsidR="00D21383" w:rsidRPr="00D21383">
        <w:rPr>
          <w:snapToGrid/>
        </w:rPr>
        <w:t xml:space="preserve"> that teachers understand school-wide expectations and consistently utilize research-based strategies </w:t>
      </w:r>
      <w:r w:rsidR="00FE5CB4" w:rsidRPr="00AB479D">
        <w:rPr>
          <w:snapToGrid/>
        </w:rPr>
        <w:t>so that</w:t>
      </w:r>
      <w:r w:rsidR="00D21383" w:rsidRPr="00D21383">
        <w:rPr>
          <w:snapToGrid/>
        </w:rPr>
        <w:t xml:space="preserve"> every learner has access to the curricul</w:t>
      </w:r>
      <w:r w:rsidR="007A187B">
        <w:rPr>
          <w:snapToGrid/>
        </w:rPr>
        <w:t xml:space="preserve">um </w:t>
      </w:r>
      <w:r w:rsidR="00D21383" w:rsidRPr="00D21383">
        <w:rPr>
          <w:snapToGrid/>
        </w:rPr>
        <w:t>and is cognitively engaged. Similarly, it is essential that as school leaders communicate expectations, they make a clear distinction between “just-in-case” learning scaffolds (i.e., “over-scaffolding,” which is not beneficial) and “just-in-time” learning scaffolds (which are beneficial). </w:t>
      </w:r>
    </w:p>
    <w:p w14:paraId="14464C40" w14:textId="504113CA" w:rsidR="00914757" w:rsidRDefault="00914757" w:rsidP="00AE1766">
      <w:pPr>
        <w:widowControl/>
        <w:rPr>
          <w:b/>
          <w:bCs/>
          <w:kern w:val="36"/>
          <w:sz w:val="23"/>
          <w:szCs w:val="23"/>
        </w:rPr>
      </w:pPr>
    </w:p>
    <w:p w14:paraId="43255492" w14:textId="077B2A1B" w:rsidR="003C6E68" w:rsidRDefault="003C6E68" w:rsidP="00E17CC0">
      <w:pPr>
        <w:rPr>
          <w:sz w:val="23"/>
          <w:szCs w:val="23"/>
        </w:rPr>
      </w:pPr>
      <w:r>
        <w:rPr>
          <w:sz w:val="23"/>
          <w:szCs w:val="23"/>
        </w:rPr>
        <w:br w:type="page"/>
      </w:r>
    </w:p>
    <w:p w14:paraId="397F1490" w14:textId="72AF61E2" w:rsidR="00A54222" w:rsidRPr="00E73B00" w:rsidRDefault="00A34405" w:rsidP="006F4345">
      <w:pPr>
        <w:rPr>
          <w:b/>
          <w:szCs w:val="24"/>
        </w:rPr>
      </w:pPr>
      <w:r w:rsidRPr="00E73B00">
        <w:rPr>
          <w:b/>
          <w:szCs w:val="24"/>
        </w:rPr>
        <w:lastRenderedPageBreak/>
        <w:t>John Avery Parker Elementary School, New Bedford, MA</w:t>
      </w:r>
    </w:p>
    <w:p w14:paraId="1DDC48F9" w14:textId="77777777" w:rsidR="007A24A5" w:rsidRPr="00AB479D" w:rsidRDefault="007A24A5" w:rsidP="006F4345">
      <w:pPr>
        <w:widowControl/>
        <w:spacing w:before="104"/>
        <w:rPr>
          <w:snapToGrid/>
          <w:sz w:val="23"/>
          <w:szCs w:val="23"/>
        </w:rPr>
      </w:pPr>
      <w:r w:rsidRPr="00E73B00">
        <w:rPr>
          <w:b/>
          <w:bCs/>
          <w:snapToGrid/>
          <w:szCs w:val="24"/>
        </w:rPr>
        <w:t>School Strengths</w:t>
      </w:r>
    </w:p>
    <w:p w14:paraId="26E833F4" w14:textId="77777777" w:rsidR="007A24A5" w:rsidRPr="00AB479D" w:rsidRDefault="007A24A5" w:rsidP="006F4345">
      <w:pPr>
        <w:widowControl/>
        <w:rPr>
          <w:snapToGrid/>
          <w:sz w:val="23"/>
          <w:szCs w:val="23"/>
        </w:rPr>
      </w:pPr>
    </w:p>
    <w:p w14:paraId="351DD3A9" w14:textId="1B76B7E9" w:rsidR="007A24A5" w:rsidRPr="00AB479D" w:rsidRDefault="007A24A5" w:rsidP="00E73B00">
      <w:pPr>
        <w:pStyle w:val="NoSpacing"/>
        <w:rPr>
          <w:snapToGrid/>
        </w:rPr>
      </w:pPr>
      <w:r w:rsidRPr="00AB479D">
        <w:rPr>
          <w:snapToGrid/>
        </w:rPr>
        <w:t>Area of Strength #1 </w:t>
      </w:r>
    </w:p>
    <w:p w14:paraId="70275A4D" w14:textId="09CC537C" w:rsidR="007A24A5" w:rsidRPr="00AB479D" w:rsidRDefault="00D21383" w:rsidP="00E73B00">
      <w:pPr>
        <w:pStyle w:val="NoSpacing"/>
        <w:rPr>
          <w:snapToGrid/>
        </w:rPr>
      </w:pPr>
      <w:r w:rsidRPr="00AB479D">
        <w:rPr>
          <w:snapToGrid/>
        </w:rPr>
        <w:t>Curriculum</w:t>
      </w:r>
    </w:p>
    <w:p w14:paraId="7EAB6913" w14:textId="77777777" w:rsidR="00D21383" w:rsidRPr="00AB479D" w:rsidRDefault="00D21383" w:rsidP="006F4345">
      <w:pPr>
        <w:widowControl/>
        <w:rPr>
          <w:snapToGrid/>
          <w:sz w:val="23"/>
          <w:szCs w:val="23"/>
        </w:rPr>
      </w:pPr>
    </w:p>
    <w:p w14:paraId="30C01C42" w14:textId="77777777" w:rsidR="007A24A5" w:rsidRPr="00E73B00" w:rsidRDefault="007A24A5" w:rsidP="00E73B00">
      <w:pPr>
        <w:pStyle w:val="NoSpacing"/>
        <w:rPr>
          <w:i/>
          <w:iCs/>
          <w:snapToGrid/>
        </w:rPr>
      </w:pPr>
      <w:r w:rsidRPr="00E73B00">
        <w:rPr>
          <w:i/>
          <w:iCs/>
          <w:snapToGrid/>
        </w:rPr>
        <w:t>Description:</w:t>
      </w:r>
    </w:p>
    <w:p w14:paraId="17D01F8C" w14:textId="77777777" w:rsidR="00E73B00" w:rsidRPr="00AB479D" w:rsidRDefault="00E73B00" w:rsidP="00E73B00">
      <w:pPr>
        <w:pStyle w:val="NoSpacing"/>
        <w:rPr>
          <w:snapToGrid/>
        </w:rPr>
      </w:pPr>
    </w:p>
    <w:p w14:paraId="47AB0FBE" w14:textId="2DC70750" w:rsidR="00D21383" w:rsidRPr="00D21383" w:rsidRDefault="00D21383" w:rsidP="00E73B00">
      <w:pPr>
        <w:pStyle w:val="NoSpacing"/>
        <w:rPr>
          <w:snapToGrid/>
        </w:rPr>
      </w:pPr>
      <w:r w:rsidRPr="00D21383">
        <w:rPr>
          <w:snapToGrid/>
          <w:color w:val="000000"/>
        </w:rPr>
        <w:t>Parker school leaders have selected curricula that are very well-aligned with the school-wide vision for instruction. These include the Contexts for Learning mathematics curriculum and the Wit and Wisdom ELA curriculum. </w:t>
      </w:r>
    </w:p>
    <w:p w14:paraId="0887D7B3" w14:textId="77777777" w:rsidR="00D21383" w:rsidRPr="00D21383" w:rsidRDefault="00D21383" w:rsidP="006F4345">
      <w:pPr>
        <w:widowControl/>
        <w:rPr>
          <w:snapToGrid/>
          <w:sz w:val="23"/>
          <w:szCs w:val="23"/>
        </w:rPr>
      </w:pPr>
    </w:p>
    <w:p w14:paraId="1582512E" w14:textId="73AD233C" w:rsidR="00D21383" w:rsidRPr="00D21383" w:rsidRDefault="00D21383" w:rsidP="001C47C5">
      <w:pPr>
        <w:pStyle w:val="NoSpacing"/>
        <w:rPr>
          <w:snapToGrid/>
        </w:rPr>
      </w:pPr>
      <w:r w:rsidRPr="00D21383">
        <w:rPr>
          <w:snapToGrid/>
        </w:rPr>
        <w:t>In order to support teacher</w:t>
      </w:r>
      <w:r w:rsidR="00FE5CB4" w:rsidRPr="00AB479D">
        <w:rPr>
          <w:snapToGrid/>
        </w:rPr>
        <w:t xml:space="preserve"> planning, </w:t>
      </w:r>
      <w:r w:rsidRPr="00D21383">
        <w:rPr>
          <w:snapToGrid/>
        </w:rPr>
        <w:t xml:space="preserve">school leaders have provided an instructional planning framework called the Planning for Learning Cycle. </w:t>
      </w:r>
      <w:r w:rsidR="008E7145" w:rsidRPr="00AB479D">
        <w:rPr>
          <w:snapToGrid/>
        </w:rPr>
        <w:t>T</w:t>
      </w:r>
      <w:r w:rsidRPr="00D21383">
        <w:rPr>
          <w:snapToGrid/>
        </w:rPr>
        <w:t>eachers</w:t>
      </w:r>
      <w:r w:rsidR="00095D96">
        <w:rPr>
          <w:snapToGrid/>
        </w:rPr>
        <w:t xml:space="preserve"> have grown in their</w:t>
      </w:r>
      <w:r w:rsidRPr="00D21383">
        <w:rPr>
          <w:snapToGrid/>
        </w:rPr>
        <w:t xml:space="preserve"> capacity to plan instruction with the Planning for Learning Cycle framework. As a result, lesson enactment more consistently aligns with the instructional vision. ELA lessons emphasize inquiry—a key component of the instructional vision—more consistently. In addition, school leaders have introduced an enhanced writing component to supplement the ELA curriculum. This has resulted in students spending more time on whole, complex writing tasks across grades. </w:t>
      </w:r>
    </w:p>
    <w:p w14:paraId="26F48F97" w14:textId="77777777" w:rsidR="00D21383" w:rsidRPr="00D21383" w:rsidRDefault="00D21383" w:rsidP="006F4345">
      <w:pPr>
        <w:widowControl/>
        <w:rPr>
          <w:snapToGrid/>
          <w:sz w:val="23"/>
          <w:szCs w:val="23"/>
        </w:rPr>
      </w:pPr>
    </w:p>
    <w:p w14:paraId="2317787D" w14:textId="6CA39E94" w:rsidR="00D21383" w:rsidRPr="00E73B00" w:rsidRDefault="00D21383" w:rsidP="00E73B00">
      <w:pPr>
        <w:pStyle w:val="NoSpacing"/>
      </w:pPr>
      <w:r w:rsidRPr="00E73B00">
        <w:t>The Planning for Learning Cycle requires teachers to think about and plan for “just-in-time” scaffolds and extensions to accelerate learning for all students. In addition, leaders and teachers have made use of the Department of Elementary and Secondary Education (DESE) “Acceleration Road</w:t>
      </w:r>
      <w:r w:rsidR="002F176B" w:rsidRPr="00E73B00">
        <w:t>m</w:t>
      </w:r>
      <w:r w:rsidRPr="00E73B00">
        <w:t xml:space="preserve">ap” to guide planning. As a result, across classes, teachers plan and enact strategies to support diverse learners in accessing the curriculum. </w:t>
      </w:r>
    </w:p>
    <w:p w14:paraId="286E5228" w14:textId="77777777" w:rsidR="001C47C5" w:rsidRPr="001C47C5" w:rsidRDefault="001C47C5" w:rsidP="001C47C5">
      <w:pPr>
        <w:pStyle w:val="NoSpacing"/>
        <w:rPr>
          <w:snapToGrid/>
        </w:rPr>
      </w:pPr>
    </w:p>
    <w:p w14:paraId="37BB9868" w14:textId="1F1B38CD" w:rsidR="007A24A5" w:rsidRPr="00E73B00" w:rsidRDefault="007A24A5" w:rsidP="002F176B">
      <w:pPr>
        <w:widowControl/>
        <w:spacing w:before="104"/>
        <w:rPr>
          <w:b/>
          <w:bCs/>
          <w:snapToGrid/>
          <w:szCs w:val="24"/>
        </w:rPr>
      </w:pPr>
      <w:r w:rsidRPr="00E73B00">
        <w:rPr>
          <w:b/>
          <w:bCs/>
          <w:snapToGrid/>
          <w:szCs w:val="24"/>
        </w:rPr>
        <w:t>Areas of Focus</w:t>
      </w:r>
    </w:p>
    <w:p w14:paraId="32D290C5" w14:textId="77777777" w:rsidR="007A24A5" w:rsidRPr="00AB479D" w:rsidRDefault="007A24A5" w:rsidP="002F176B">
      <w:pPr>
        <w:widowControl/>
        <w:rPr>
          <w:snapToGrid/>
          <w:sz w:val="23"/>
          <w:szCs w:val="23"/>
        </w:rPr>
      </w:pPr>
    </w:p>
    <w:p w14:paraId="0BB76311" w14:textId="3ADA75FB" w:rsidR="007A24A5" w:rsidRPr="00AB479D" w:rsidRDefault="007A24A5" w:rsidP="001C47C5">
      <w:pPr>
        <w:pStyle w:val="NoSpacing"/>
        <w:rPr>
          <w:snapToGrid/>
        </w:rPr>
      </w:pPr>
      <w:r w:rsidRPr="00AB479D">
        <w:rPr>
          <w:snapToGrid/>
        </w:rPr>
        <w:t>Area of Focus #1</w:t>
      </w:r>
    </w:p>
    <w:p w14:paraId="15602BDD" w14:textId="17BC8021" w:rsidR="007A24A5" w:rsidRPr="00AB479D" w:rsidRDefault="00D21383" w:rsidP="001C47C5">
      <w:pPr>
        <w:pStyle w:val="NoSpacing"/>
        <w:rPr>
          <w:snapToGrid/>
        </w:rPr>
      </w:pPr>
      <w:r w:rsidRPr="00AB479D">
        <w:rPr>
          <w:snapToGrid/>
        </w:rPr>
        <w:t>Assessment</w:t>
      </w:r>
    </w:p>
    <w:p w14:paraId="257F88F7" w14:textId="77777777" w:rsidR="007A24A5" w:rsidRPr="00AB479D" w:rsidRDefault="007A24A5" w:rsidP="006F4345">
      <w:pPr>
        <w:widowControl/>
        <w:rPr>
          <w:snapToGrid/>
          <w:sz w:val="23"/>
          <w:szCs w:val="23"/>
        </w:rPr>
      </w:pPr>
    </w:p>
    <w:p w14:paraId="28B630BE" w14:textId="77777777" w:rsidR="007A24A5" w:rsidRPr="001C47C5" w:rsidRDefault="007A24A5" w:rsidP="001C47C5">
      <w:pPr>
        <w:pStyle w:val="NoSpacing"/>
        <w:rPr>
          <w:i/>
          <w:iCs/>
          <w:snapToGrid/>
        </w:rPr>
      </w:pPr>
      <w:r w:rsidRPr="001C47C5">
        <w:rPr>
          <w:i/>
          <w:iCs/>
          <w:snapToGrid/>
        </w:rPr>
        <w:t>Description:</w:t>
      </w:r>
    </w:p>
    <w:p w14:paraId="0D1864FD" w14:textId="77777777" w:rsidR="001C47C5" w:rsidRPr="00AB479D" w:rsidRDefault="001C47C5" w:rsidP="001C47C5">
      <w:pPr>
        <w:pStyle w:val="NoSpacing"/>
        <w:rPr>
          <w:snapToGrid/>
        </w:rPr>
      </w:pPr>
    </w:p>
    <w:p w14:paraId="4190FA64" w14:textId="5A4620EA" w:rsidR="00D21383" w:rsidRDefault="00D21383" w:rsidP="001C47C5">
      <w:pPr>
        <w:pStyle w:val="NoSpacing"/>
        <w:rPr>
          <w:snapToGrid/>
        </w:rPr>
      </w:pPr>
      <w:r w:rsidRPr="00D21383">
        <w:rPr>
          <w:snapToGrid/>
        </w:rPr>
        <w:t>School leaders and teacher teams have established a schoolwide assessment structure that includes common assessments across grades and classes.</w:t>
      </w:r>
      <w:r w:rsidR="00F93BDC" w:rsidRPr="00AB479D">
        <w:rPr>
          <w:snapToGrid/>
        </w:rPr>
        <w:t xml:space="preserve"> </w:t>
      </w:r>
      <w:r w:rsidR="00BF5FB8">
        <w:rPr>
          <w:snapToGrid/>
        </w:rPr>
        <w:t xml:space="preserve"> </w:t>
      </w:r>
      <w:r w:rsidR="002527E9">
        <w:rPr>
          <w:snapToGrid/>
        </w:rPr>
        <w:t>Teacher teams use c</w:t>
      </w:r>
      <w:r w:rsidRPr="00D21383">
        <w:rPr>
          <w:snapToGrid/>
        </w:rPr>
        <w:t>ommon assessment</w:t>
      </w:r>
      <w:r w:rsidR="00F93BDC" w:rsidRPr="00AB479D">
        <w:rPr>
          <w:snapToGrid/>
        </w:rPr>
        <w:t xml:space="preserve"> results</w:t>
      </w:r>
      <w:r w:rsidR="002527E9">
        <w:rPr>
          <w:snapToGrid/>
        </w:rPr>
        <w:t xml:space="preserve"> </w:t>
      </w:r>
      <w:r w:rsidRPr="00D21383">
        <w:rPr>
          <w:snapToGrid/>
        </w:rPr>
        <w:t xml:space="preserve">to determine student progress toward goals. </w:t>
      </w:r>
      <w:r w:rsidR="00BF5FB8">
        <w:rPr>
          <w:snapToGrid/>
        </w:rPr>
        <w:t xml:space="preserve"> </w:t>
      </w:r>
      <w:r w:rsidRPr="00D21383">
        <w:rPr>
          <w:snapToGrid/>
        </w:rPr>
        <w:t>Data from common assessments are available to staff members in a “data hub” that is updated regularly.</w:t>
      </w:r>
      <w:r w:rsidR="00BF5FB8">
        <w:rPr>
          <w:snapToGrid/>
        </w:rPr>
        <w:t xml:space="preserve"> </w:t>
      </w:r>
      <w:r w:rsidRPr="00D21383">
        <w:rPr>
          <w:snapToGrid/>
        </w:rPr>
        <w:t xml:space="preserve"> In addition,</w:t>
      </w:r>
      <w:r w:rsidR="009A501E">
        <w:rPr>
          <w:snapToGrid/>
        </w:rPr>
        <w:t xml:space="preserve"> teacher teams use</w:t>
      </w:r>
      <w:r w:rsidRPr="00D21383">
        <w:rPr>
          <w:snapToGrid/>
        </w:rPr>
        <w:t xml:space="preserve"> assessment data to identify students in need of </w:t>
      </w:r>
      <w:r w:rsidR="00AD74EB" w:rsidRPr="00AB479D">
        <w:rPr>
          <w:snapToGrid/>
        </w:rPr>
        <w:t>academic</w:t>
      </w:r>
      <w:r w:rsidRPr="00D21383">
        <w:rPr>
          <w:snapToGrid/>
        </w:rPr>
        <w:t xml:space="preserve"> interventions.</w:t>
      </w:r>
    </w:p>
    <w:p w14:paraId="64031F71" w14:textId="77777777" w:rsidR="001C47C5" w:rsidRPr="00D21383" w:rsidRDefault="001C47C5" w:rsidP="001C47C5">
      <w:pPr>
        <w:pStyle w:val="NoSpacing"/>
        <w:rPr>
          <w:snapToGrid/>
        </w:rPr>
      </w:pPr>
    </w:p>
    <w:p w14:paraId="71E2B8B9" w14:textId="57821A0D" w:rsidR="00D21383" w:rsidRDefault="00D21383" w:rsidP="004E5798">
      <w:pPr>
        <w:pStyle w:val="NoSpacing"/>
        <w:rPr>
          <w:snapToGrid/>
        </w:rPr>
      </w:pPr>
      <w:r w:rsidRPr="00D21383">
        <w:rPr>
          <w:snapToGrid/>
        </w:rPr>
        <w:t>There is limited evidence of</w:t>
      </w:r>
      <w:r w:rsidR="000565E4">
        <w:rPr>
          <w:snapToGrid/>
        </w:rPr>
        <w:t xml:space="preserve"> teachers using</w:t>
      </w:r>
      <w:r w:rsidRPr="00D21383">
        <w:rPr>
          <w:snapToGrid/>
        </w:rPr>
        <w:t xml:space="preserve"> assessment data to plan core instruction. For example, </w:t>
      </w:r>
      <w:r w:rsidR="00F420E0" w:rsidRPr="00AB479D">
        <w:rPr>
          <w:snapToGrid/>
        </w:rPr>
        <w:t>t</w:t>
      </w:r>
      <w:r w:rsidRPr="00D21383">
        <w:rPr>
          <w:snapToGrid/>
        </w:rPr>
        <w:t xml:space="preserve">eachers </w:t>
      </w:r>
      <w:r w:rsidR="00F420E0" w:rsidRPr="00AB479D">
        <w:rPr>
          <w:snapToGrid/>
        </w:rPr>
        <w:t xml:space="preserve">stated that they have relied on formative assessments when </w:t>
      </w:r>
      <w:r w:rsidRPr="00D21383">
        <w:rPr>
          <w:snapToGrid/>
        </w:rPr>
        <w:t>select</w:t>
      </w:r>
      <w:r w:rsidR="00F420E0" w:rsidRPr="00AB479D">
        <w:rPr>
          <w:snapToGrid/>
        </w:rPr>
        <w:t>ing</w:t>
      </w:r>
      <w:r w:rsidRPr="00D21383">
        <w:rPr>
          <w:snapToGrid/>
        </w:rPr>
        <w:t xml:space="preserve"> sample student work to be reviewed with the class. However, student work products and assessment data are not yet consistently centered in the instructional planning process. As a result, teachers may miss opportunities for re-teaching content or addressing </w:t>
      </w:r>
      <w:r w:rsidR="00F420E0" w:rsidRPr="00AB479D">
        <w:rPr>
          <w:snapToGrid/>
        </w:rPr>
        <w:t>students’</w:t>
      </w:r>
      <w:r w:rsidRPr="00D21383">
        <w:rPr>
          <w:snapToGrid/>
        </w:rPr>
        <w:t xml:space="preserve"> incomplete learning.  </w:t>
      </w:r>
    </w:p>
    <w:p w14:paraId="04864ED9" w14:textId="77777777" w:rsidR="004E5798" w:rsidRPr="00D21383" w:rsidRDefault="004E5798" w:rsidP="004E5798">
      <w:pPr>
        <w:pStyle w:val="NoSpacing"/>
        <w:rPr>
          <w:snapToGrid/>
        </w:rPr>
      </w:pPr>
    </w:p>
    <w:p w14:paraId="21D58EB7" w14:textId="0B322704" w:rsidR="00D21383" w:rsidRDefault="00D21383" w:rsidP="004E5798">
      <w:pPr>
        <w:pStyle w:val="NoSpacing"/>
        <w:rPr>
          <w:snapToGrid/>
        </w:rPr>
      </w:pPr>
      <w:r w:rsidRPr="00D21383">
        <w:rPr>
          <w:snapToGrid/>
        </w:rPr>
        <w:t xml:space="preserve">School leaders and teachers demonstrate an awareness of best practices in daily formative assessment. When speaking about expected assessment practices, for example, school leaders </w:t>
      </w:r>
      <w:r w:rsidRPr="00D21383">
        <w:rPr>
          <w:snapToGrid/>
        </w:rPr>
        <w:lastRenderedPageBreak/>
        <w:t>and teachers identify the use of entrance and exit tickets as an expectation.</w:t>
      </w:r>
      <w:r w:rsidR="00F93BDC" w:rsidRPr="00AB479D">
        <w:rPr>
          <w:snapToGrid/>
        </w:rPr>
        <w:t xml:space="preserve"> </w:t>
      </w:r>
      <w:r w:rsidRPr="00D21383">
        <w:rPr>
          <w:snapToGrid/>
        </w:rPr>
        <w:t>However,</w:t>
      </w:r>
      <w:r w:rsidR="00CC161D">
        <w:rPr>
          <w:snapToGrid/>
        </w:rPr>
        <w:t xml:space="preserve"> in </w:t>
      </w:r>
      <w:r w:rsidR="00A55783">
        <w:rPr>
          <w:snapToGrid/>
        </w:rPr>
        <w:t>classrooms visited</w:t>
      </w:r>
      <w:r w:rsidRPr="00D21383">
        <w:rPr>
          <w:snapToGrid/>
        </w:rPr>
        <w:t xml:space="preserve"> </w:t>
      </w:r>
      <w:r w:rsidR="00407A75">
        <w:rPr>
          <w:snapToGrid/>
        </w:rPr>
        <w:t xml:space="preserve">teachers </w:t>
      </w:r>
      <w:r w:rsidR="00A55783">
        <w:rPr>
          <w:snapToGrid/>
        </w:rPr>
        <w:t>did not</w:t>
      </w:r>
      <w:r w:rsidR="00F93BDC" w:rsidRPr="00AB479D">
        <w:rPr>
          <w:snapToGrid/>
        </w:rPr>
        <w:t xml:space="preserve"> </w:t>
      </w:r>
      <w:r w:rsidRPr="00D21383">
        <w:rPr>
          <w:snapToGrid/>
        </w:rPr>
        <w:t>consistent</w:t>
      </w:r>
      <w:r w:rsidR="006B053F">
        <w:rPr>
          <w:snapToGrid/>
        </w:rPr>
        <w:t>ly</w:t>
      </w:r>
      <w:r w:rsidRPr="00D21383">
        <w:rPr>
          <w:snapToGrid/>
        </w:rPr>
        <w:t xml:space="preserve"> us</w:t>
      </w:r>
      <w:r w:rsidR="00A55783">
        <w:rPr>
          <w:snapToGrid/>
        </w:rPr>
        <w:t>e</w:t>
      </w:r>
      <w:r w:rsidR="00407A75">
        <w:rPr>
          <w:snapToGrid/>
        </w:rPr>
        <w:t xml:space="preserve"> </w:t>
      </w:r>
      <w:r w:rsidRPr="00D21383">
        <w:rPr>
          <w:snapToGrid/>
        </w:rPr>
        <w:t>entrance and/or exit</w:t>
      </w:r>
      <w:r w:rsidR="00407A75">
        <w:rPr>
          <w:snapToGrid/>
        </w:rPr>
        <w:t xml:space="preserve"> tickets </w:t>
      </w:r>
      <w:r w:rsidR="006B053F">
        <w:rPr>
          <w:snapToGrid/>
        </w:rPr>
        <w:t>in their instruction.</w:t>
      </w:r>
      <w:r w:rsidRPr="00D21383">
        <w:rPr>
          <w:snapToGrid/>
        </w:rPr>
        <w:t> </w:t>
      </w:r>
    </w:p>
    <w:p w14:paraId="6852EC6A" w14:textId="77777777" w:rsidR="00E73B00" w:rsidRPr="00D21383" w:rsidRDefault="00E73B00" w:rsidP="004E5798">
      <w:pPr>
        <w:pStyle w:val="NoSpacing"/>
        <w:rPr>
          <w:snapToGrid/>
        </w:rPr>
      </w:pPr>
    </w:p>
    <w:p w14:paraId="18D0BF8D" w14:textId="3A34FB2D" w:rsidR="00D21383" w:rsidRDefault="00D21383" w:rsidP="00BA5CF4">
      <w:pPr>
        <w:pStyle w:val="NoSpacing"/>
        <w:rPr>
          <w:snapToGrid/>
        </w:rPr>
      </w:pPr>
      <w:r w:rsidRPr="004E5798">
        <w:t>Similarly, school leaders articulate a vision for daily formative assessment. This vision is rooted in the construct of the “landscape of learning”—a spectrum of performance levels or skills development that children may demonstrate during a lesson. A landscape of learning for a mathematics lesson, for example, may begin with less-efficient strategies (like “counting up”) and continue through more-efficient strategies (like “counting by tens</w:t>
      </w:r>
      <w:r w:rsidR="00AD74EB" w:rsidRPr="004E5798">
        <w:t>,</w:t>
      </w:r>
      <w:r w:rsidRPr="004E5798">
        <w:t xml:space="preserve">” or finding “near doubles”). In this vision of assessment, teachers “confer” with students to gauge and record where on the landscape of learning a student is currently performing. This information allows them to determine prompts or tasks to use to move the student </w:t>
      </w:r>
      <w:r w:rsidR="00AD74EB" w:rsidRPr="004E5798">
        <w:t>up</w:t>
      </w:r>
      <w:r w:rsidRPr="004E5798">
        <w:t xml:space="preserve"> the landscape. This vision for assessment, which has great potential for impacting student learning, </w:t>
      </w:r>
      <w:r w:rsidR="0079029C" w:rsidRPr="004E5798">
        <w:t xml:space="preserve">has not yet </w:t>
      </w:r>
      <w:r w:rsidR="003F23AD" w:rsidRPr="004E5798">
        <w:t>produced</w:t>
      </w:r>
      <w:r w:rsidR="0079029C" w:rsidRPr="004E5798">
        <w:t xml:space="preserve"> consistent practice</w:t>
      </w:r>
      <w:r w:rsidR="00317FBF" w:rsidRPr="004E5798">
        <w:t>s</w:t>
      </w:r>
      <w:r w:rsidRPr="004E5798">
        <w:t xml:space="preserve"> across classrooms.</w:t>
      </w:r>
      <w:r w:rsidR="00F93BDC" w:rsidRPr="004E5798">
        <w:t xml:space="preserve"> </w:t>
      </w:r>
      <w:r w:rsidRPr="004E5798">
        <w:t xml:space="preserve">As a result, in </w:t>
      </w:r>
      <w:r w:rsidR="00AD74EB" w:rsidRPr="004E5798">
        <w:t xml:space="preserve">many </w:t>
      </w:r>
      <w:r w:rsidRPr="004E5798">
        <w:t>classrooms, teachers miss opportunities to adjust core instruction to support students</w:t>
      </w:r>
      <w:r w:rsidRPr="00D21383">
        <w:rPr>
          <w:snapToGrid/>
        </w:rPr>
        <w:t>.</w:t>
      </w:r>
    </w:p>
    <w:p w14:paraId="60064B8E" w14:textId="77777777" w:rsidR="00BA5CF4" w:rsidRPr="00D21383" w:rsidRDefault="00BA5CF4" w:rsidP="00BA5CF4">
      <w:pPr>
        <w:pStyle w:val="NoSpacing"/>
        <w:rPr>
          <w:snapToGrid/>
        </w:rPr>
      </w:pPr>
    </w:p>
    <w:p w14:paraId="1B513920" w14:textId="6B7B3C63" w:rsidR="00D21383" w:rsidRPr="00D21383" w:rsidRDefault="00D21383" w:rsidP="00BA5CF4">
      <w:pPr>
        <w:pStyle w:val="NoSpacing"/>
        <w:rPr>
          <w:snapToGrid/>
        </w:rPr>
      </w:pPr>
      <w:r w:rsidRPr="00D21383">
        <w:rPr>
          <w:snapToGrid/>
        </w:rPr>
        <w:t>Moving forward, school leaders should support teachers to enact their vision</w:t>
      </w:r>
      <w:r w:rsidR="00F93BDC" w:rsidRPr="00AB479D">
        <w:rPr>
          <w:snapToGrid/>
        </w:rPr>
        <w:t xml:space="preserve"> </w:t>
      </w:r>
      <w:r w:rsidRPr="00D21383">
        <w:rPr>
          <w:snapToGrid/>
        </w:rPr>
        <w:t xml:space="preserve">for daily formative </w:t>
      </w:r>
      <w:r w:rsidR="003F23AD">
        <w:rPr>
          <w:snapToGrid/>
        </w:rPr>
        <w:t>assessment</w:t>
      </w:r>
      <w:r w:rsidRPr="00D21383">
        <w:rPr>
          <w:snapToGrid/>
        </w:rPr>
        <w:t xml:space="preserve">. </w:t>
      </w:r>
    </w:p>
    <w:p w14:paraId="2451158E" w14:textId="77777777" w:rsidR="007A24A5" w:rsidRPr="00AB479D" w:rsidRDefault="007A24A5" w:rsidP="006F4345">
      <w:pPr>
        <w:pStyle w:val="Heading3"/>
        <w:ind w:left="0"/>
        <w:rPr>
          <w:rFonts w:ascii="Times New Roman" w:hAnsi="Times New Roman"/>
          <w:b/>
          <w:i w:val="0"/>
          <w:color w:val="212121"/>
          <w:sz w:val="23"/>
          <w:szCs w:val="23"/>
        </w:rPr>
      </w:pPr>
    </w:p>
    <w:p w14:paraId="441A304D" w14:textId="6DFA0076" w:rsidR="007A24A5" w:rsidRPr="00AB479D" w:rsidRDefault="007A24A5" w:rsidP="00BA5CF4">
      <w:pPr>
        <w:pStyle w:val="NoSpacing"/>
        <w:rPr>
          <w:snapToGrid/>
        </w:rPr>
      </w:pPr>
      <w:r w:rsidRPr="00AB479D">
        <w:rPr>
          <w:snapToGrid/>
        </w:rPr>
        <w:t>Area of Focus #2</w:t>
      </w:r>
    </w:p>
    <w:p w14:paraId="2D583FA7" w14:textId="61884B99" w:rsidR="007A24A5" w:rsidRPr="00AB479D" w:rsidRDefault="00D21383" w:rsidP="00BA5CF4">
      <w:pPr>
        <w:pStyle w:val="NoSpacing"/>
        <w:rPr>
          <w:snapToGrid/>
        </w:rPr>
      </w:pPr>
      <w:r w:rsidRPr="00AB479D">
        <w:rPr>
          <w:snapToGrid/>
        </w:rPr>
        <w:t>Pedagogy</w:t>
      </w:r>
    </w:p>
    <w:p w14:paraId="44C90F56" w14:textId="77777777" w:rsidR="00D21383" w:rsidRPr="00AB479D" w:rsidRDefault="00D21383" w:rsidP="006F4345">
      <w:pPr>
        <w:widowControl/>
        <w:rPr>
          <w:snapToGrid/>
          <w:sz w:val="23"/>
          <w:szCs w:val="23"/>
        </w:rPr>
      </w:pPr>
    </w:p>
    <w:p w14:paraId="2D8EBA5E" w14:textId="77777777" w:rsidR="007A24A5" w:rsidRPr="00BA5CF4" w:rsidRDefault="007A24A5" w:rsidP="00BA5CF4">
      <w:pPr>
        <w:pStyle w:val="NoSpacing"/>
        <w:rPr>
          <w:i/>
          <w:iCs/>
          <w:snapToGrid/>
        </w:rPr>
      </w:pPr>
      <w:r w:rsidRPr="00BA5CF4">
        <w:rPr>
          <w:i/>
          <w:iCs/>
          <w:snapToGrid/>
        </w:rPr>
        <w:t>Description:</w:t>
      </w:r>
    </w:p>
    <w:p w14:paraId="6606F5FF" w14:textId="77777777" w:rsidR="00BA5CF4" w:rsidRPr="00AB479D" w:rsidRDefault="00BA5CF4" w:rsidP="00BA5CF4">
      <w:pPr>
        <w:pStyle w:val="NoSpacing"/>
        <w:rPr>
          <w:snapToGrid/>
        </w:rPr>
      </w:pPr>
    </w:p>
    <w:p w14:paraId="4F6C3B18" w14:textId="73069876" w:rsidR="001F556D" w:rsidRDefault="0073227E" w:rsidP="00BA5CF4">
      <w:pPr>
        <w:pStyle w:val="NoSpacing"/>
        <w:rPr>
          <w:snapToGrid/>
        </w:rPr>
      </w:pPr>
      <w:r>
        <w:rPr>
          <w:snapToGrid/>
        </w:rPr>
        <w:t>P</w:t>
      </w:r>
      <w:r w:rsidR="001F556D" w:rsidRPr="001F556D">
        <w:rPr>
          <w:snapToGrid/>
        </w:rPr>
        <w:t xml:space="preserve">ractices </w:t>
      </w:r>
      <w:r w:rsidR="00AF2E11" w:rsidRPr="00AB479D">
        <w:rPr>
          <w:snapToGrid/>
        </w:rPr>
        <w:t xml:space="preserve">related to this indicator </w:t>
      </w:r>
      <w:r w:rsidR="001F556D" w:rsidRPr="001F556D">
        <w:rPr>
          <w:snapToGrid/>
        </w:rPr>
        <w:t>were newly evident during this site visit</w:t>
      </w:r>
      <w:r w:rsidR="00AF2E11" w:rsidRPr="00AB479D">
        <w:rPr>
          <w:snapToGrid/>
        </w:rPr>
        <w:t>. The</w:t>
      </w:r>
      <w:r w:rsidR="001F556D" w:rsidRPr="001F556D">
        <w:rPr>
          <w:snapToGrid/>
        </w:rPr>
        <w:t xml:space="preserve"> impacts of these new practices on the</w:t>
      </w:r>
      <w:r w:rsidR="00AF2E11" w:rsidRPr="00AB479D">
        <w:rPr>
          <w:snapToGrid/>
        </w:rPr>
        <w:t xml:space="preserve"> </w:t>
      </w:r>
      <w:r w:rsidR="001F556D" w:rsidRPr="001F556D">
        <w:rPr>
          <w:snapToGrid/>
        </w:rPr>
        <w:t>quality of learning opportunities provided to students, particularly in ELA lessons</w:t>
      </w:r>
      <w:r w:rsidR="00AF2E11" w:rsidRPr="00AB479D">
        <w:rPr>
          <w:snapToGrid/>
        </w:rPr>
        <w:t>, are also newly evident</w:t>
      </w:r>
      <w:r w:rsidR="001F556D" w:rsidRPr="001F556D">
        <w:rPr>
          <w:snapToGrid/>
        </w:rPr>
        <w:t xml:space="preserve">. </w:t>
      </w:r>
      <w:r w:rsidR="00A94E60">
        <w:rPr>
          <w:snapToGrid/>
        </w:rPr>
        <w:t>School leaders should c</w:t>
      </w:r>
      <w:r w:rsidR="001F556D" w:rsidRPr="001F556D">
        <w:rPr>
          <w:snapToGrid/>
        </w:rPr>
        <w:t>ontinue</w:t>
      </w:r>
      <w:r w:rsidR="00A94E60">
        <w:rPr>
          <w:snapToGrid/>
        </w:rPr>
        <w:t xml:space="preserve"> to</w:t>
      </w:r>
      <w:r w:rsidR="001F556D" w:rsidRPr="001F556D">
        <w:rPr>
          <w:snapToGrid/>
        </w:rPr>
        <w:t xml:space="preserve"> focus on pedagogy to establish more deeply the practices discussed in the paragraphs to follow. Leaders should aim to sustain consistent practice through the remainder of the school year and into the next. </w:t>
      </w:r>
    </w:p>
    <w:p w14:paraId="3FA81619" w14:textId="77777777" w:rsidR="00BA5CF4" w:rsidRPr="0073227E" w:rsidRDefault="00BA5CF4" w:rsidP="00BA5CF4">
      <w:pPr>
        <w:pStyle w:val="NoSpacing"/>
        <w:rPr>
          <w:snapToGrid/>
        </w:rPr>
      </w:pPr>
    </w:p>
    <w:p w14:paraId="29B65AF1" w14:textId="35D37AAA" w:rsidR="001F556D" w:rsidRDefault="001F556D" w:rsidP="00BA5CF4">
      <w:pPr>
        <w:pStyle w:val="NoSpacing"/>
      </w:pPr>
      <w:r w:rsidRPr="001F556D">
        <w:rPr>
          <w:snapToGrid/>
        </w:rPr>
        <w:t xml:space="preserve">Parker school leaders began the year with a goal of </w:t>
      </w:r>
      <w:r w:rsidR="009716FD">
        <w:rPr>
          <w:snapToGrid/>
        </w:rPr>
        <w:t xml:space="preserve">elevating the quality of instruction in ELA to </w:t>
      </w:r>
      <w:r w:rsidR="00CD27C1">
        <w:rPr>
          <w:snapToGrid/>
        </w:rPr>
        <w:t>be on par with</w:t>
      </w:r>
      <w:r w:rsidR="009716FD">
        <w:rPr>
          <w:snapToGrid/>
        </w:rPr>
        <w:t xml:space="preserve"> </w:t>
      </w:r>
      <w:r w:rsidRPr="001F556D">
        <w:rPr>
          <w:snapToGrid/>
        </w:rPr>
        <w:t xml:space="preserve">the quality of instruction in </w:t>
      </w:r>
      <w:r w:rsidR="00E17A29">
        <w:rPr>
          <w:snapToGrid/>
        </w:rPr>
        <w:t>m</w:t>
      </w:r>
      <w:r w:rsidRPr="001F556D">
        <w:rPr>
          <w:snapToGrid/>
        </w:rPr>
        <w:t xml:space="preserve">ath. </w:t>
      </w:r>
      <w:r w:rsidR="00206CA6">
        <w:rPr>
          <w:snapToGrid/>
        </w:rPr>
        <w:t>They derived this goal from</w:t>
      </w:r>
      <w:r w:rsidRPr="001F556D">
        <w:rPr>
          <w:snapToGrid/>
        </w:rPr>
        <w:t xml:space="preserve"> student performance data, in particular data related to student comprehension in ELA. </w:t>
      </w:r>
      <w:r w:rsidR="004478C9" w:rsidRPr="00AB479D">
        <w:rPr>
          <w:snapToGrid/>
        </w:rPr>
        <w:t xml:space="preserve">School </w:t>
      </w:r>
      <w:r w:rsidRPr="001F556D">
        <w:rPr>
          <w:snapToGrid/>
        </w:rPr>
        <w:t xml:space="preserve">leaders have continued to support teachers in shifting their pedagogical practices. They have engaged an outside consultant who has introduced an approach to ELA instruction based on Maria Estela </w:t>
      </w:r>
      <w:proofErr w:type="spellStart"/>
      <w:r w:rsidRPr="001F556D">
        <w:rPr>
          <w:snapToGrid/>
        </w:rPr>
        <w:t>Brisk’s</w:t>
      </w:r>
      <w:proofErr w:type="spellEnd"/>
      <w:r w:rsidRPr="001F556D">
        <w:rPr>
          <w:snapToGrid/>
        </w:rPr>
        <w:t xml:space="preserve"> work, </w:t>
      </w:r>
      <w:r w:rsidRPr="6931514C">
        <w:rPr>
          <w:i/>
          <w:iCs/>
          <w:snapToGrid/>
        </w:rPr>
        <w:t>Engaging Students in Academic Literacies</w:t>
      </w:r>
      <w:r w:rsidRPr="001F556D">
        <w:rPr>
          <w:snapToGrid/>
        </w:rPr>
        <w:t xml:space="preserve"> (2015). </w:t>
      </w:r>
      <w:r w:rsidR="004478C9" w:rsidRPr="00AB479D">
        <w:rPr>
          <w:snapToGrid/>
        </w:rPr>
        <w:t xml:space="preserve">This </w:t>
      </w:r>
      <w:r w:rsidRPr="001F556D">
        <w:rPr>
          <w:snapToGrid/>
        </w:rPr>
        <w:t xml:space="preserve">approach </w:t>
      </w:r>
      <w:r w:rsidR="004478C9" w:rsidRPr="00AB479D">
        <w:rPr>
          <w:snapToGrid/>
        </w:rPr>
        <w:t>encourages</w:t>
      </w:r>
      <w:r w:rsidRPr="001F556D">
        <w:rPr>
          <w:snapToGrid/>
        </w:rPr>
        <w:t xml:space="preserve"> sentence-level </w:t>
      </w:r>
      <w:r w:rsidR="004478C9" w:rsidRPr="00AB479D">
        <w:rPr>
          <w:snapToGrid/>
        </w:rPr>
        <w:t>attention to</w:t>
      </w:r>
      <w:r w:rsidRPr="001F556D">
        <w:rPr>
          <w:snapToGrid/>
        </w:rPr>
        <w:t xml:space="preserve"> complex text and the construction of genre-based writing.  </w:t>
      </w:r>
    </w:p>
    <w:p w14:paraId="23058D88" w14:textId="77777777" w:rsidR="00BA5CF4" w:rsidRPr="001F556D" w:rsidRDefault="00BA5CF4" w:rsidP="00BA5CF4">
      <w:pPr>
        <w:pStyle w:val="NoSpacing"/>
        <w:rPr>
          <w:snapToGrid/>
        </w:rPr>
      </w:pPr>
    </w:p>
    <w:p w14:paraId="53CB99BB" w14:textId="49BC9AEB" w:rsidR="001F556D" w:rsidRDefault="001F556D" w:rsidP="00BA5CF4">
      <w:pPr>
        <w:pStyle w:val="NoSpacing"/>
        <w:rPr>
          <w:snapToGrid/>
        </w:rPr>
      </w:pPr>
      <w:r w:rsidRPr="001F556D">
        <w:rPr>
          <w:snapToGrid/>
        </w:rPr>
        <w:t xml:space="preserve">As a result, ELA lessons align more closely </w:t>
      </w:r>
      <w:r w:rsidR="004478C9" w:rsidRPr="00AB479D">
        <w:rPr>
          <w:snapToGrid/>
        </w:rPr>
        <w:t>to</w:t>
      </w:r>
      <w:r w:rsidRPr="001F556D">
        <w:rPr>
          <w:snapToGrid/>
        </w:rPr>
        <w:t xml:space="preserve"> the school's instructional vision. Across classrooms, there is more evidence of students working on complex whole tasks</w:t>
      </w:r>
      <w:r w:rsidR="004478C9" w:rsidRPr="00AB479D">
        <w:rPr>
          <w:snapToGrid/>
        </w:rPr>
        <w:t xml:space="preserve">. </w:t>
      </w:r>
      <w:r w:rsidRPr="001F556D">
        <w:rPr>
          <w:snapToGrid/>
        </w:rPr>
        <w:t xml:space="preserve">There is also more evidence of students engaging in collaborative </w:t>
      </w:r>
      <w:r w:rsidR="00140F81">
        <w:rPr>
          <w:snapToGrid/>
        </w:rPr>
        <w:t>“</w:t>
      </w:r>
      <w:r w:rsidRPr="001F556D">
        <w:rPr>
          <w:snapToGrid/>
        </w:rPr>
        <w:t>investigations</w:t>
      </w:r>
      <w:r w:rsidR="00140F81">
        <w:rPr>
          <w:snapToGrid/>
        </w:rPr>
        <w:t>”</w:t>
      </w:r>
      <w:r w:rsidRPr="001F556D">
        <w:rPr>
          <w:snapToGrid/>
        </w:rPr>
        <w:t xml:space="preserve"> in ELA, similar to the authentic </w:t>
      </w:r>
      <w:proofErr w:type="gramStart"/>
      <w:r w:rsidRPr="001F556D">
        <w:rPr>
          <w:snapToGrid/>
        </w:rPr>
        <w:t>investigations</w:t>
      </w:r>
      <w:proofErr w:type="gramEnd"/>
      <w:r w:rsidRPr="001F556D">
        <w:rPr>
          <w:snapToGrid/>
        </w:rPr>
        <w:t xml:space="preserve"> students have frequently engaged in during math lessons over the past few years. </w:t>
      </w:r>
    </w:p>
    <w:p w14:paraId="5BD2AC4D" w14:textId="77777777" w:rsidR="00BA5CF4" w:rsidRPr="001F556D" w:rsidRDefault="00BA5CF4" w:rsidP="00BA5CF4">
      <w:pPr>
        <w:pStyle w:val="NoSpacing"/>
        <w:rPr>
          <w:snapToGrid/>
        </w:rPr>
      </w:pPr>
    </w:p>
    <w:p w14:paraId="096035C0" w14:textId="0962E131" w:rsidR="00FD3989" w:rsidRPr="00AB479D" w:rsidRDefault="001F556D" w:rsidP="00BA5CF4">
      <w:pPr>
        <w:pStyle w:val="NoSpacing"/>
        <w:rPr>
          <w:snapToGrid/>
        </w:rPr>
      </w:pPr>
      <w:r w:rsidRPr="001F556D">
        <w:rPr>
          <w:snapToGrid/>
        </w:rPr>
        <w:t xml:space="preserve">This evidence points to </w:t>
      </w:r>
      <w:r w:rsidR="004478C9" w:rsidRPr="00AB479D">
        <w:rPr>
          <w:snapToGrid/>
        </w:rPr>
        <w:t xml:space="preserve">both </w:t>
      </w:r>
      <w:r w:rsidRPr="001F556D">
        <w:rPr>
          <w:snapToGrid/>
        </w:rPr>
        <w:t xml:space="preserve">clear progress </w:t>
      </w:r>
      <w:r w:rsidRPr="001F556D">
        <w:rPr>
          <w:i/>
          <w:iCs/>
          <w:snapToGrid/>
        </w:rPr>
        <w:t>and</w:t>
      </w:r>
      <w:r w:rsidRPr="001F556D">
        <w:rPr>
          <w:snapToGrid/>
        </w:rPr>
        <w:t xml:space="preserve"> a continued need to stay focused on this area.</w:t>
      </w:r>
    </w:p>
    <w:p w14:paraId="5BAE0EE3" w14:textId="720F6B7B" w:rsidR="00C6430F" w:rsidRDefault="00C6430F">
      <w:pPr>
        <w:widowControl/>
        <w:rPr>
          <w:b/>
          <w:iCs/>
          <w:color w:val="212121"/>
          <w:sz w:val="23"/>
          <w:szCs w:val="23"/>
        </w:rPr>
      </w:pPr>
    </w:p>
    <w:sectPr w:rsidR="00C6430F" w:rsidSect="007611CF">
      <w:endnotePr>
        <w:numFmt w:val="decimal"/>
      </w:endnotePr>
      <w:type w:val="continuous"/>
      <w:pgSz w:w="12240" w:h="15840"/>
      <w:pgMar w:top="900" w:right="1440" w:bottom="576"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17737" w14:textId="77777777" w:rsidR="00920046" w:rsidRDefault="00920046" w:rsidP="00A34405">
      <w:r>
        <w:separator/>
      </w:r>
    </w:p>
  </w:endnote>
  <w:endnote w:type="continuationSeparator" w:id="0">
    <w:p w14:paraId="55E2CB50" w14:textId="77777777" w:rsidR="00920046" w:rsidRDefault="00920046" w:rsidP="00A3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438675"/>
      <w:docPartObj>
        <w:docPartGallery w:val="Page Numbers (Bottom of Page)"/>
        <w:docPartUnique/>
      </w:docPartObj>
    </w:sdtPr>
    <w:sdtEndPr>
      <w:rPr>
        <w:noProof/>
      </w:rPr>
    </w:sdtEndPr>
    <w:sdtContent>
      <w:p w14:paraId="6660C90A" w14:textId="77777777" w:rsidR="00D20DDE" w:rsidRDefault="00D20DDE" w:rsidP="000F0746">
        <w:pPr>
          <w:pStyle w:val="Footer"/>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2BEFF" w14:textId="77777777" w:rsidR="00920046" w:rsidRDefault="00920046" w:rsidP="00A34405">
      <w:r>
        <w:separator/>
      </w:r>
    </w:p>
  </w:footnote>
  <w:footnote w:type="continuationSeparator" w:id="0">
    <w:p w14:paraId="305F1C09" w14:textId="77777777" w:rsidR="00920046" w:rsidRDefault="00920046" w:rsidP="00A34405">
      <w:r>
        <w:continuationSeparator/>
      </w:r>
    </w:p>
  </w:footnote>
  <w:footnote w:id="1">
    <w:p w14:paraId="5AE9112A" w14:textId="6ADB3F73" w:rsidR="00D20DDE" w:rsidRDefault="00D20DDE" w:rsidP="00AE1766">
      <w:pPr>
        <w:pStyle w:val="FootnoteText"/>
      </w:pPr>
      <w:r w:rsidRPr="003D67D6">
        <w:rPr>
          <w:rStyle w:val="FootnoteReference"/>
          <w:vertAlign w:val="superscript"/>
        </w:rPr>
        <w:footnoteRef/>
      </w:r>
      <w:r>
        <w:t xml:space="preserve"> The first</w:t>
      </w:r>
      <w:r w:rsidR="00AE0A65">
        <w:t xml:space="preserve"> two</w:t>
      </w:r>
      <w:r w:rsidR="00236308">
        <w:t xml:space="preserve"> </w:t>
      </w:r>
      <w:r w:rsidRPr="00261746">
        <w:t>quarterly report</w:t>
      </w:r>
      <w:r w:rsidR="00261746">
        <w:t>s</w:t>
      </w:r>
      <w:r w:rsidRPr="00261746">
        <w:t xml:space="preserve"> for FY202</w:t>
      </w:r>
      <w:r w:rsidR="00261746" w:rsidRPr="00261746">
        <w:t>2</w:t>
      </w:r>
      <w:r w:rsidRPr="00261746">
        <w:t xml:space="preserve"> can be found here:</w:t>
      </w:r>
    </w:p>
    <w:p w14:paraId="06650A4D" w14:textId="3ED0E38E" w:rsidR="000E2F53" w:rsidRDefault="000E2F53" w:rsidP="004B7D4D">
      <w:pPr>
        <w:pStyle w:val="FootnoteText"/>
        <w:tabs>
          <w:tab w:val="left" w:pos="3540"/>
        </w:tabs>
      </w:pPr>
      <w:r>
        <w:t xml:space="preserve">Q1 report: </w:t>
      </w:r>
      <w:hyperlink r:id="rId1" w:history="1">
        <w:r w:rsidR="004B7D4D" w:rsidRPr="007A7EBE">
          <w:rPr>
            <w:rStyle w:val="Hyperlink"/>
          </w:rPr>
          <w:t>https://www.doe.mass.edu/bese/docs/fy2022/2021-10/item9.docx</w:t>
        </w:r>
      </w:hyperlink>
      <w:r w:rsidR="004B7D4D">
        <w:t xml:space="preserve"> </w:t>
      </w:r>
    </w:p>
    <w:p w14:paraId="781E0C2B" w14:textId="240114D8" w:rsidR="00944151" w:rsidRDefault="000E2F53" w:rsidP="00AE1766">
      <w:pPr>
        <w:pStyle w:val="FootnoteText"/>
      </w:pPr>
      <w:r>
        <w:t xml:space="preserve">Q2 report: </w:t>
      </w:r>
      <w:hyperlink r:id="rId2" w:history="1">
        <w:r w:rsidR="004B7D4D" w:rsidRPr="007A7EBE">
          <w:rPr>
            <w:rStyle w:val="Hyperlink"/>
          </w:rPr>
          <w:t>https://www.doe.mass.edu/bese/docs/fy2022/2022-01/item8.docx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A2A35"/>
    <w:multiLevelType w:val="multilevel"/>
    <w:tmpl w:val="B7D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0053B"/>
    <w:multiLevelType w:val="multilevel"/>
    <w:tmpl w:val="CEB0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B63DE"/>
    <w:multiLevelType w:val="multilevel"/>
    <w:tmpl w:val="F500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B2140"/>
    <w:multiLevelType w:val="multilevel"/>
    <w:tmpl w:val="980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57829"/>
    <w:multiLevelType w:val="multilevel"/>
    <w:tmpl w:val="11CA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42FB2"/>
    <w:multiLevelType w:val="multilevel"/>
    <w:tmpl w:val="F9FA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A747E"/>
    <w:multiLevelType w:val="multilevel"/>
    <w:tmpl w:val="AC32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94649"/>
    <w:multiLevelType w:val="multilevel"/>
    <w:tmpl w:val="4F8E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F00EE"/>
    <w:multiLevelType w:val="multilevel"/>
    <w:tmpl w:val="B4C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2038C"/>
    <w:multiLevelType w:val="multilevel"/>
    <w:tmpl w:val="696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72DE9"/>
    <w:multiLevelType w:val="multilevel"/>
    <w:tmpl w:val="157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709C5"/>
    <w:multiLevelType w:val="multilevel"/>
    <w:tmpl w:val="04302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E52133"/>
    <w:multiLevelType w:val="multilevel"/>
    <w:tmpl w:val="A482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E45D87"/>
    <w:multiLevelType w:val="multilevel"/>
    <w:tmpl w:val="A3BE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F97E90"/>
    <w:multiLevelType w:val="multilevel"/>
    <w:tmpl w:val="49E68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4"/>
  </w:num>
  <w:num w:numId="5">
    <w:abstractNumId w:val="12"/>
  </w:num>
  <w:num w:numId="6">
    <w:abstractNumId w:val="17"/>
  </w:num>
  <w:num w:numId="7">
    <w:abstractNumId w:val="11"/>
  </w:num>
  <w:num w:numId="8">
    <w:abstractNumId w:val="8"/>
  </w:num>
  <w:num w:numId="9">
    <w:abstractNumId w:val="2"/>
  </w:num>
  <w:num w:numId="10">
    <w:abstractNumId w:val="13"/>
  </w:num>
  <w:num w:numId="11">
    <w:abstractNumId w:val="1"/>
  </w:num>
  <w:num w:numId="12">
    <w:abstractNumId w:val="3"/>
  </w:num>
  <w:num w:numId="13">
    <w:abstractNumId w:val="18"/>
  </w:num>
  <w:num w:numId="14">
    <w:abstractNumId w:val="9"/>
  </w:num>
  <w:num w:numId="15">
    <w:abstractNumId w:val="7"/>
  </w:num>
  <w:num w:numId="16">
    <w:abstractNumId w:val="14"/>
  </w:num>
  <w:num w:numId="17">
    <w:abstractNumId w:val="6"/>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05"/>
    <w:rsid w:val="0001028A"/>
    <w:rsid w:val="00021AD0"/>
    <w:rsid w:val="0002541A"/>
    <w:rsid w:val="00025507"/>
    <w:rsid w:val="000272E0"/>
    <w:rsid w:val="00041CA1"/>
    <w:rsid w:val="00041F6D"/>
    <w:rsid w:val="00044BD8"/>
    <w:rsid w:val="000474F6"/>
    <w:rsid w:val="00050ACC"/>
    <w:rsid w:val="00050DE8"/>
    <w:rsid w:val="00050F11"/>
    <w:rsid w:val="000565E4"/>
    <w:rsid w:val="00057C18"/>
    <w:rsid w:val="000739B0"/>
    <w:rsid w:val="0007697F"/>
    <w:rsid w:val="000805F0"/>
    <w:rsid w:val="0009271E"/>
    <w:rsid w:val="000934B1"/>
    <w:rsid w:val="00095D96"/>
    <w:rsid w:val="000B2E8C"/>
    <w:rsid w:val="000B3629"/>
    <w:rsid w:val="000C01AC"/>
    <w:rsid w:val="000C0554"/>
    <w:rsid w:val="000C0E91"/>
    <w:rsid w:val="000D5129"/>
    <w:rsid w:val="000D52F7"/>
    <w:rsid w:val="000D61D6"/>
    <w:rsid w:val="000D6E73"/>
    <w:rsid w:val="000E0994"/>
    <w:rsid w:val="000E286D"/>
    <w:rsid w:val="000E2F53"/>
    <w:rsid w:val="000E5434"/>
    <w:rsid w:val="000F0746"/>
    <w:rsid w:val="000F7EFB"/>
    <w:rsid w:val="00101224"/>
    <w:rsid w:val="0010615C"/>
    <w:rsid w:val="00110EF2"/>
    <w:rsid w:val="00140799"/>
    <w:rsid w:val="00140F81"/>
    <w:rsid w:val="001472DF"/>
    <w:rsid w:val="0016144B"/>
    <w:rsid w:val="00164F7D"/>
    <w:rsid w:val="00165689"/>
    <w:rsid w:val="00173F09"/>
    <w:rsid w:val="001763D3"/>
    <w:rsid w:val="00177636"/>
    <w:rsid w:val="00180576"/>
    <w:rsid w:val="00180C29"/>
    <w:rsid w:val="001912FA"/>
    <w:rsid w:val="001A45F3"/>
    <w:rsid w:val="001B35F9"/>
    <w:rsid w:val="001C47C5"/>
    <w:rsid w:val="001C7545"/>
    <w:rsid w:val="001E6854"/>
    <w:rsid w:val="001F532F"/>
    <w:rsid w:val="001F556D"/>
    <w:rsid w:val="001F67BC"/>
    <w:rsid w:val="001F6E45"/>
    <w:rsid w:val="00201172"/>
    <w:rsid w:val="002040A0"/>
    <w:rsid w:val="00206CA6"/>
    <w:rsid w:val="00211749"/>
    <w:rsid w:val="0021444D"/>
    <w:rsid w:val="002227E8"/>
    <w:rsid w:val="00236308"/>
    <w:rsid w:val="00246773"/>
    <w:rsid w:val="0025091B"/>
    <w:rsid w:val="00251F58"/>
    <w:rsid w:val="002527E9"/>
    <w:rsid w:val="002608D8"/>
    <w:rsid w:val="00261746"/>
    <w:rsid w:val="00281D56"/>
    <w:rsid w:val="00282025"/>
    <w:rsid w:val="002A1144"/>
    <w:rsid w:val="002A2A53"/>
    <w:rsid w:val="002A3E22"/>
    <w:rsid w:val="002B37F7"/>
    <w:rsid w:val="002B4B10"/>
    <w:rsid w:val="002C0CF9"/>
    <w:rsid w:val="002C5866"/>
    <w:rsid w:val="002C7F24"/>
    <w:rsid w:val="002D0292"/>
    <w:rsid w:val="002E4B82"/>
    <w:rsid w:val="002F176B"/>
    <w:rsid w:val="002F3954"/>
    <w:rsid w:val="002F5424"/>
    <w:rsid w:val="003037C7"/>
    <w:rsid w:val="0031414C"/>
    <w:rsid w:val="00314302"/>
    <w:rsid w:val="003146F9"/>
    <w:rsid w:val="00315EA1"/>
    <w:rsid w:val="00316292"/>
    <w:rsid w:val="00317FBF"/>
    <w:rsid w:val="00321124"/>
    <w:rsid w:val="0032778E"/>
    <w:rsid w:val="003562C2"/>
    <w:rsid w:val="003631E2"/>
    <w:rsid w:val="00367300"/>
    <w:rsid w:val="0037079A"/>
    <w:rsid w:val="00370F7A"/>
    <w:rsid w:val="003815B0"/>
    <w:rsid w:val="0039012A"/>
    <w:rsid w:val="003953C8"/>
    <w:rsid w:val="003A7F74"/>
    <w:rsid w:val="003B51BA"/>
    <w:rsid w:val="003B5947"/>
    <w:rsid w:val="003B7BB2"/>
    <w:rsid w:val="003C02DE"/>
    <w:rsid w:val="003C2962"/>
    <w:rsid w:val="003C5FE0"/>
    <w:rsid w:val="003C6E68"/>
    <w:rsid w:val="003D67D6"/>
    <w:rsid w:val="003E0776"/>
    <w:rsid w:val="003F23AD"/>
    <w:rsid w:val="00400CD2"/>
    <w:rsid w:val="004011F2"/>
    <w:rsid w:val="00401E05"/>
    <w:rsid w:val="00407A75"/>
    <w:rsid w:val="0041210C"/>
    <w:rsid w:val="00427804"/>
    <w:rsid w:val="004369B7"/>
    <w:rsid w:val="00443532"/>
    <w:rsid w:val="004478C9"/>
    <w:rsid w:val="00455277"/>
    <w:rsid w:val="00460BA7"/>
    <w:rsid w:val="00465708"/>
    <w:rsid w:val="00473A9B"/>
    <w:rsid w:val="004815EE"/>
    <w:rsid w:val="004933D5"/>
    <w:rsid w:val="004B76AE"/>
    <w:rsid w:val="004B7D4D"/>
    <w:rsid w:val="004C5A7F"/>
    <w:rsid w:val="004C5E4A"/>
    <w:rsid w:val="004D41A6"/>
    <w:rsid w:val="004D6F5F"/>
    <w:rsid w:val="004E094A"/>
    <w:rsid w:val="004E4257"/>
    <w:rsid w:val="004E5697"/>
    <w:rsid w:val="004E5798"/>
    <w:rsid w:val="004F52D2"/>
    <w:rsid w:val="00503FC7"/>
    <w:rsid w:val="00512FB9"/>
    <w:rsid w:val="005142B7"/>
    <w:rsid w:val="00520561"/>
    <w:rsid w:val="0053073B"/>
    <w:rsid w:val="005360FF"/>
    <w:rsid w:val="005430E2"/>
    <w:rsid w:val="00544396"/>
    <w:rsid w:val="005459B9"/>
    <w:rsid w:val="005563C6"/>
    <w:rsid w:val="00567958"/>
    <w:rsid w:val="00570079"/>
    <w:rsid w:val="00571666"/>
    <w:rsid w:val="005820F9"/>
    <w:rsid w:val="00587AAE"/>
    <w:rsid w:val="0059081F"/>
    <w:rsid w:val="0059178C"/>
    <w:rsid w:val="00594666"/>
    <w:rsid w:val="00596E7A"/>
    <w:rsid w:val="005A2613"/>
    <w:rsid w:val="005B4B22"/>
    <w:rsid w:val="005C1013"/>
    <w:rsid w:val="005C21F3"/>
    <w:rsid w:val="005C7AD9"/>
    <w:rsid w:val="005E070C"/>
    <w:rsid w:val="005E0B80"/>
    <w:rsid w:val="005E0FDD"/>
    <w:rsid w:val="005E3535"/>
    <w:rsid w:val="005E7FFD"/>
    <w:rsid w:val="005F4E20"/>
    <w:rsid w:val="005F5419"/>
    <w:rsid w:val="00604F40"/>
    <w:rsid w:val="00610095"/>
    <w:rsid w:val="006137E3"/>
    <w:rsid w:val="00613884"/>
    <w:rsid w:val="00615616"/>
    <w:rsid w:val="00623E47"/>
    <w:rsid w:val="00627012"/>
    <w:rsid w:val="00635070"/>
    <w:rsid w:val="00643A82"/>
    <w:rsid w:val="006462DA"/>
    <w:rsid w:val="0065430E"/>
    <w:rsid w:val="00655FA3"/>
    <w:rsid w:val="00671652"/>
    <w:rsid w:val="00671A25"/>
    <w:rsid w:val="006751B3"/>
    <w:rsid w:val="0067719B"/>
    <w:rsid w:val="0068032C"/>
    <w:rsid w:val="00690CEF"/>
    <w:rsid w:val="0069361B"/>
    <w:rsid w:val="0069690E"/>
    <w:rsid w:val="0069696C"/>
    <w:rsid w:val="006A1C5A"/>
    <w:rsid w:val="006A5DFE"/>
    <w:rsid w:val="006B053F"/>
    <w:rsid w:val="006B0884"/>
    <w:rsid w:val="006B3FBC"/>
    <w:rsid w:val="006B5E0C"/>
    <w:rsid w:val="006C59D7"/>
    <w:rsid w:val="006D7A82"/>
    <w:rsid w:val="006E091A"/>
    <w:rsid w:val="006E236C"/>
    <w:rsid w:val="006E3388"/>
    <w:rsid w:val="006F0D74"/>
    <w:rsid w:val="006F243F"/>
    <w:rsid w:val="006F373D"/>
    <w:rsid w:val="006F4345"/>
    <w:rsid w:val="007013F7"/>
    <w:rsid w:val="0071793A"/>
    <w:rsid w:val="00722C40"/>
    <w:rsid w:val="007276F4"/>
    <w:rsid w:val="0073227E"/>
    <w:rsid w:val="00756818"/>
    <w:rsid w:val="0075711F"/>
    <w:rsid w:val="007611CF"/>
    <w:rsid w:val="00761FD8"/>
    <w:rsid w:val="00764835"/>
    <w:rsid w:val="007732FB"/>
    <w:rsid w:val="007815E8"/>
    <w:rsid w:val="007830B5"/>
    <w:rsid w:val="00786C93"/>
    <w:rsid w:val="00787A6C"/>
    <w:rsid w:val="0079029C"/>
    <w:rsid w:val="00791745"/>
    <w:rsid w:val="007A187B"/>
    <w:rsid w:val="007A210F"/>
    <w:rsid w:val="007A24A5"/>
    <w:rsid w:val="007B50F7"/>
    <w:rsid w:val="007C6262"/>
    <w:rsid w:val="007C6723"/>
    <w:rsid w:val="007C6C10"/>
    <w:rsid w:val="007D4417"/>
    <w:rsid w:val="007D78FD"/>
    <w:rsid w:val="007F1526"/>
    <w:rsid w:val="007F31E5"/>
    <w:rsid w:val="00805FB1"/>
    <w:rsid w:val="00810C0F"/>
    <w:rsid w:val="00812808"/>
    <w:rsid w:val="00815737"/>
    <w:rsid w:val="0081673D"/>
    <w:rsid w:val="00817A51"/>
    <w:rsid w:val="008255A8"/>
    <w:rsid w:val="00831A68"/>
    <w:rsid w:val="00841A0C"/>
    <w:rsid w:val="0085456A"/>
    <w:rsid w:val="00862A70"/>
    <w:rsid w:val="00863974"/>
    <w:rsid w:val="00865CA6"/>
    <w:rsid w:val="008756B6"/>
    <w:rsid w:val="00876F63"/>
    <w:rsid w:val="00880C45"/>
    <w:rsid w:val="0088169A"/>
    <w:rsid w:val="008A76E8"/>
    <w:rsid w:val="008B1BF9"/>
    <w:rsid w:val="008B2A8E"/>
    <w:rsid w:val="008C0292"/>
    <w:rsid w:val="008C238A"/>
    <w:rsid w:val="008C3784"/>
    <w:rsid w:val="008D52A7"/>
    <w:rsid w:val="008D5F86"/>
    <w:rsid w:val="008E4887"/>
    <w:rsid w:val="008E7145"/>
    <w:rsid w:val="008F2C79"/>
    <w:rsid w:val="00905F9A"/>
    <w:rsid w:val="00914757"/>
    <w:rsid w:val="00920046"/>
    <w:rsid w:val="00923A2B"/>
    <w:rsid w:val="00940ABE"/>
    <w:rsid w:val="00944151"/>
    <w:rsid w:val="00951E29"/>
    <w:rsid w:val="00955423"/>
    <w:rsid w:val="0095546E"/>
    <w:rsid w:val="0096074A"/>
    <w:rsid w:val="009716FD"/>
    <w:rsid w:val="00971A70"/>
    <w:rsid w:val="00971DCC"/>
    <w:rsid w:val="0097634A"/>
    <w:rsid w:val="0098309A"/>
    <w:rsid w:val="0098700E"/>
    <w:rsid w:val="009918EB"/>
    <w:rsid w:val="00996C23"/>
    <w:rsid w:val="009A501E"/>
    <w:rsid w:val="009C4334"/>
    <w:rsid w:val="009E5662"/>
    <w:rsid w:val="009F1E58"/>
    <w:rsid w:val="009F4E9C"/>
    <w:rsid w:val="00A01108"/>
    <w:rsid w:val="00A037D6"/>
    <w:rsid w:val="00A06204"/>
    <w:rsid w:val="00A1538D"/>
    <w:rsid w:val="00A16785"/>
    <w:rsid w:val="00A20194"/>
    <w:rsid w:val="00A315C6"/>
    <w:rsid w:val="00A34405"/>
    <w:rsid w:val="00A35206"/>
    <w:rsid w:val="00A51F06"/>
    <w:rsid w:val="00A5235B"/>
    <w:rsid w:val="00A53A1E"/>
    <w:rsid w:val="00A54222"/>
    <w:rsid w:val="00A55783"/>
    <w:rsid w:val="00A70FE3"/>
    <w:rsid w:val="00A7604D"/>
    <w:rsid w:val="00A7681B"/>
    <w:rsid w:val="00A910E9"/>
    <w:rsid w:val="00A93B01"/>
    <w:rsid w:val="00A94E60"/>
    <w:rsid w:val="00AA12B4"/>
    <w:rsid w:val="00AA1ABE"/>
    <w:rsid w:val="00AA405A"/>
    <w:rsid w:val="00AB479D"/>
    <w:rsid w:val="00AB5D09"/>
    <w:rsid w:val="00AC2CB8"/>
    <w:rsid w:val="00AD4E76"/>
    <w:rsid w:val="00AD74EB"/>
    <w:rsid w:val="00AE0A65"/>
    <w:rsid w:val="00AE15EC"/>
    <w:rsid w:val="00AE1766"/>
    <w:rsid w:val="00AF24E3"/>
    <w:rsid w:val="00AF2E11"/>
    <w:rsid w:val="00B15E7C"/>
    <w:rsid w:val="00B211E5"/>
    <w:rsid w:val="00B24E24"/>
    <w:rsid w:val="00B2680B"/>
    <w:rsid w:val="00B3134A"/>
    <w:rsid w:val="00B34968"/>
    <w:rsid w:val="00B37E64"/>
    <w:rsid w:val="00B47B55"/>
    <w:rsid w:val="00B5296E"/>
    <w:rsid w:val="00B539B3"/>
    <w:rsid w:val="00B620A8"/>
    <w:rsid w:val="00B62352"/>
    <w:rsid w:val="00B6495C"/>
    <w:rsid w:val="00B728E0"/>
    <w:rsid w:val="00B750DD"/>
    <w:rsid w:val="00B763D3"/>
    <w:rsid w:val="00B806EB"/>
    <w:rsid w:val="00B816EB"/>
    <w:rsid w:val="00B847D9"/>
    <w:rsid w:val="00B8796B"/>
    <w:rsid w:val="00B92256"/>
    <w:rsid w:val="00B94C04"/>
    <w:rsid w:val="00BA102E"/>
    <w:rsid w:val="00BA5CF4"/>
    <w:rsid w:val="00BB3F8D"/>
    <w:rsid w:val="00BB4129"/>
    <w:rsid w:val="00BC53F6"/>
    <w:rsid w:val="00BC759F"/>
    <w:rsid w:val="00BD0C23"/>
    <w:rsid w:val="00BD565E"/>
    <w:rsid w:val="00BE0438"/>
    <w:rsid w:val="00BE51FF"/>
    <w:rsid w:val="00BF265D"/>
    <w:rsid w:val="00BF5FB8"/>
    <w:rsid w:val="00C17E83"/>
    <w:rsid w:val="00C243EB"/>
    <w:rsid w:val="00C343DB"/>
    <w:rsid w:val="00C456F9"/>
    <w:rsid w:val="00C6430F"/>
    <w:rsid w:val="00C64E7E"/>
    <w:rsid w:val="00C6545C"/>
    <w:rsid w:val="00C81B47"/>
    <w:rsid w:val="00C974A6"/>
    <w:rsid w:val="00CB5431"/>
    <w:rsid w:val="00CC161D"/>
    <w:rsid w:val="00CC7233"/>
    <w:rsid w:val="00CD0C40"/>
    <w:rsid w:val="00CD27C1"/>
    <w:rsid w:val="00CD4BE7"/>
    <w:rsid w:val="00CF1ED3"/>
    <w:rsid w:val="00CF31BA"/>
    <w:rsid w:val="00D002EA"/>
    <w:rsid w:val="00D002F7"/>
    <w:rsid w:val="00D025F0"/>
    <w:rsid w:val="00D06FB6"/>
    <w:rsid w:val="00D1782C"/>
    <w:rsid w:val="00D20DDE"/>
    <w:rsid w:val="00D21383"/>
    <w:rsid w:val="00D34694"/>
    <w:rsid w:val="00D3657C"/>
    <w:rsid w:val="00D441E0"/>
    <w:rsid w:val="00D456B8"/>
    <w:rsid w:val="00D51CF6"/>
    <w:rsid w:val="00D523A5"/>
    <w:rsid w:val="00D547D2"/>
    <w:rsid w:val="00D54A13"/>
    <w:rsid w:val="00D60702"/>
    <w:rsid w:val="00D60900"/>
    <w:rsid w:val="00D60AA4"/>
    <w:rsid w:val="00D6121A"/>
    <w:rsid w:val="00D62B7A"/>
    <w:rsid w:val="00D658E0"/>
    <w:rsid w:val="00D65B16"/>
    <w:rsid w:val="00D67DAF"/>
    <w:rsid w:val="00D73B50"/>
    <w:rsid w:val="00D76F67"/>
    <w:rsid w:val="00D7742E"/>
    <w:rsid w:val="00D86C8B"/>
    <w:rsid w:val="00D900F1"/>
    <w:rsid w:val="00D97B84"/>
    <w:rsid w:val="00DA5FE7"/>
    <w:rsid w:val="00DB4B5D"/>
    <w:rsid w:val="00DB78F0"/>
    <w:rsid w:val="00DC1177"/>
    <w:rsid w:val="00DC32C3"/>
    <w:rsid w:val="00DD1806"/>
    <w:rsid w:val="00DD5600"/>
    <w:rsid w:val="00DD57AC"/>
    <w:rsid w:val="00DD79B5"/>
    <w:rsid w:val="00DE2311"/>
    <w:rsid w:val="00DE3465"/>
    <w:rsid w:val="00DF3A6E"/>
    <w:rsid w:val="00E15503"/>
    <w:rsid w:val="00E17A29"/>
    <w:rsid w:val="00E17CC0"/>
    <w:rsid w:val="00E231BF"/>
    <w:rsid w:val="00E253FE"/>
    <w:rsid w:val="00E33F56"/>
    <w:rsid w:val="00E35848"/>
    <w:rsid w:val="00E37179"/>
    <w:rsid w:val="00E468FA"/>
    <w:rsid w:val="00E51FF7"/>
    <w:rsid w:val="00E53C5A"/>
    <w:rsid w:val="00E708C9"/>
    <w:rsid w:val="00E7095B"/>
    <w:rsid w:val="00E717F1"/>
    <w:rsid w:val="00E73B00"/>
    <w:rsid w:val="00E77B95"/>
    <w:rsid w:val="00E77FAD"/>
    <w:rsid w:val="00E81764"/>
    <w:rsid w:val="00E819B0"/>
    <w:rsid w:val="00E83B1C"/>
    <w:rsid w:val="00E860C0"/>
    <w:rsid w:val="00E916A6"/>
    <w:rsid w:val="00E9348D"/>
    <w:rsid w:val="00E93BE0"/>
    <w:rsid w:val="00E93D4A"/>
    <w:rsid w:val="00E94BA0"/>
    <w:rsid w:val="00EA100E"/>
    <w:rsid w:val="00EB5414"/>
    <w:rsid w:val="00EB6FF7"/>
    <w:rsid w:val="00EC1FA5"/>
    <w:rsid w:val="00EC7E5D"/>
    <w:rsid w:val="00EE0A55"/>
    <w:rsid w:val="00EE1C7F"/>
    <w:rsid w:val="00EE2E61"/>
    <w:rsid w:val="00EE5A01"/>
    <w:rsid w:val="00EE6CCA"/>
    <w:rsid w:val="00EE76BC"/>
    <w:rsid w:val="00EF029A"/>
    <w:rsid w:val="00EF3615"/>
    <w:rsid w:val="00EF7FBD"/>
    <w:rsid w:val="00F10C4B"/>
    <w:rsid w:val="00F25840"/>
    <w:rsid w:val="00F341A6"/>
    <w:rsid w:val="00F420E0"/>
    <w:rsid w:val="00F65740"/>
    <w:rsid w:val="00F66464"/>
    <w:rsid w:val="00F73919"/>
    <w:rsid w:val="00F7597C"/>
    <w:rsid w:val="00F76E32"/>
    <w:rsid w:val="00F80C5B"/>
    <w:rsid w:val="00F8646D"/>
    <w:rsid w:val="00F878C5"/>
    <w:rsid w:val="00F9040C"/>
    <w:rsid w:val="00F93BDC"/>
    <w:rsid w:val="00FB18E7"/>
    <w:rsid w:val="00FB3164"/>
    <w:rsid w:val="00FC285C"/>
    <w:rsid w:val="00FC7142"/>
    <w:rsid w:val="00FD25DA"/>
    <w:rsid w:val="00FD3989"/>
    <w:rsid w:val="00FD7825"/>
    <w:rsid w:val="00FE5CB4"/>
    <w:rsid w:val="6931514C"/>
    <w:rsid w:val="6ADC6446"/>
    <w:rsid w:val="732B3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15:docId w15:val="{D203DBC1-EB03-4CFF-8AF5-3CA1A625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iPriority w:val="99"/>
    <w:unhideWhenUsed/>
    <w:rsid w:val="00A34405"/>
    <w:rPr>
      <w:sz w:val="20"/>
    </w:rPr>
  </w:style>
  <w:style w:type="character" w:customStyle="1" w:styleId="FootnoteTextChar">
    <w:name w:val="Footnote Text Char"/>
    <w:basedOn w:val="DefaultParagraphFont"/>
    <w:link w:val="FootnoteText"/>
    <w:uiPriority w:val="99"/>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widowControl/>
      <w:spacing w:before="100" w:beforeAutospacing="1" w:after="100" w:afterAutospacing="1"/>
    </w:pPr>
    <w:rPr>
      <w:snapToGrid/>
      <w:szCs w:val="24"/>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semiHidden/>
    <w:unhideWhenUsed/>
    <w:rsid w:val="005E7FFD"/>
    <w:rPr>
      <w:sz w:val="20"/>
    </w:rPr>
  </w:style>
  <w:style w:type="character" w:customStyle="1" w:styleId="CommentTextChar">
    <w:name w:val="Comment Text Char"/>
    <w:basedOn w:val="DefaultParagraphFont"/>
    <w:link w:val="CommentText"/>
    <w:semiHidden/>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 w:type="character" w:styleId="UnresolvedMention">
    <w:name w:val="Unresolved Mention"/>
    <w:basedOn w:val="DefaultParagraphFont"/>
    <w:uiPriority w:val="99"/>
    <w:semiHidden/>
    <w:unhideWhenUsed/>
    <w:rsid w:val="000E2F53"/>
    <w:rPr>
      <w:color w:val="605E5C"/>
      <w:shd w:val="clear" w:color="auto" w:fill="E1DFDD"/>
    </w:rPr>
  </w:style>
  <w:style w:type="paragraph" w:customStyle="1" w:styleId="nav">
    <w:name w:val="nav"/>
    <w:basedOn w:val="Normal"/>
    <w:rsid w:val="00321124"/>
    <w:pPr>
      <w:widowControl/>
      <w:spacing w:before="100" w:beforeAutospacing="1" w:after="100" w:afterAutospacing="1"/>
    </w:pPr>
    <w:rPr>
      <w:snapToGrid/>
      <w:szCs w:val="24"/>
    </w:rPr>
  </w:style>
  <w:style w:type="character" w:customStyle="1" w:styleId="red">
    <w:name w:val="red"/>
    <w:basedOn w:val="DefaultParagraphFont"/>
    <w:rsid w:val="00321124"/>
  </w:style>
  <w:style w:type="character" w:styleId="EndnoteReference">
    <w:name w:val="endnote reference"/>
    <w:basedOn w:val="DefaultParagraphFont"/>
    <w:semiHidden/>
    <w:unhideWhenUsed/>
    <w:rsid w:val="003B51BA"/>
    <w:rPr>
      <w:vertAlign w:val="superscript"/>
    </w:rPr>
  </w:style>
  <w:style w:type="paragraph" w:styleId="NoSpacing">
    <w:name w:val="No Spacing"/>
    <w:uiPriority w:val="1"/>
    <w:qFormat/>
    <w:rsid w:val="00791745"/>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3455">
      <w:bodyDiv w:val="1"/>
      <w:marLeft w:val="0"/>
      <w:marRight w:val="0"/>
      <w:marTop w:val="0"/>
      <w:marBottom w:val="0"/>
      <w:divBdr>
        <w:top w:val="none" w:sz="0" w:space="0" w:color="auto"/>
        <w:left w:val="none" w:sz="0" w:space="0" w:color="auto"/>
        <w:bottom w:val="none" w:sz="0" w:space="0" w:color="auto"/>
        <w:right w:val="none" w:sz="0" w:space="0" w:color="auto"/>
      </w:divBdr>
    </w:div>
    <w:div w:id="91556480">
      <w:bodyDiv w:val="1"/>
      <w:marLeft w:val="0"/>
      <w:marRight w:val="0"/>
      <w:marTop w:val="0"/>
      <w:marBottom w:val="0"/>
      <w:divBdr>
        <w:top w:val="none" w:sz="0" w:space="0" w:color="auto"/>
        <w:left w:val="none" w:sz="0" w:space="0" w:color="auto"/>
        <w:bottom w:val="none" w:sz="0" w:space="0" w:color="auto"/>
        <w:right w:val="none" w:sz="0" w:space="0" w:color="auto"/>
      </w:divBdr>
    </w:div>
    <w:div w:id="105663373">
      <w:bodyDiv w:val="1"/>
      <w:marLeft w:val="0"/>
      <w:marRight w:val="0"/>
      <w:marTop w:val="0"/>
      <w:marBottom w:val="0"/>
      <w:divBdr>
        <w:top w:val="none" w:sz="0" w:space="0" w:color="auto"/>
        <w:left w:val="none" w:sz="0" w:space="0" w:color="auto"/>
        <w:bottom w:val="none" w:sz="0" w:space="0" w:color="auto"/>
        <w:right w:val="none" w:sz="0" w:space="0" w:color="auto"/>
      </w:divBdr>
    </w:div>
    <w:div w:id="145896659">
      <w:bodyDiv w:val="1"/>
      <w:marLeft w:val="0"/>
      <w:marRight w:val="0"/>
      <w:marTop w:val="0"/>
      <w:marBottom w:val="0"/>
      <w:divBdr>
        <w:top w:val="none" w:sz="0" w:space="0" w:color="auto"/>
        <w:left w:val="none" w:sz="0" w:space="0" w:color="auto"/>
        <w:bottom w:val="none" w:sz="0" w:space="0" w:color="auto"/>
        <w:right w:val="none" w:sz="0" w:space="0" w:color="auto"/>
      </w:divBdr>
    </w:div>
    <w:div w:id="190850102">
      <w:bodyDiv w:val="1"/>
      <w:marLeft w:val="0"/>
      <w:marRight w:val="0"/>
      <w:marTop w:val="0"/>
      <w:marBottom w:val="0"/>
      <w:divBdr>
        <w:top w:val="none" w:sz="0" w:space="0" w:color="auto"/>
        <w:left w:val="none" w:sz="0" w:space="0" w:color="auto"/>
        <w:bottom w:val="none" w:sz="0" w:space="0" w:color="auto"/>
        <w:right w:val="none" w:sz="0" w:space="0" w:color="auto"/>
      </w:divBdr>
    </w:div>
    <w:div w:id="193540186">
      <w:bodyDiv w:val="1"/>
      <w:marLeft w:val="0"/>
      <w:marRight w:val="0"/>
      <w:marTop w:val="0"/>
      <w:marBottom w:val="0"/>
      <w:divBdr>
        <w:top w:val="none" w:sz="0" w:space="0" w:color="auto"/>
        <w:left w:val="none" w:sz="0" w:space="0" w:color="auto"/>
        <w:bottom w:val="none" w:sz="0" w:space="0" w:color="auto"/>
        <w:right w:val="none" w:sz="0" w:space="0" w:color="auto"/>
      </w:divBdr>
    </w:div>
    <w:div w:id="307786891">
      <w:bodyDiv w:val="1"/>
      <w:marLeft w:val="0"/>
      <w:marRight w:val="0"/>
      <w:marTop w:val="0"/>
      <w:marBottom w:val="0"/>
      <w:divBdr>
        <w:top w:val="none" w:sz="0" w:space="0" w:color="auto"/>
        <w:left w:val="none" w:sz="0" w:space="0" w:color="auto"/>
        <w:bottom w:val="none" w:sz="0" w:space="0" w:color="auto"/>
        <w:right w:val="none" w:sz="0" w:space="0" w:color="auto"/>
      </w:divBdr>
    </w:div>
    <w:div w:id="315108876">
      <w:bodyDiv w:val="1"/>
      <w:marLeft w:val="0"/>
      <w:marRight w:val="0"/>
      <w:marTop w:val="0"/>
      <w:marBottom w:val="0"/>
      <w:divBdr>
        <w:top w:val="none" w:sz="0" w:space="0" w:color="auto"/>
        <w:left w:val="none" w:sz="0" w:space="0" w:color="auto"/>
        <w:bottom w:val="none" w:sz="0" w:space="0" w:color="auto"/>
        <w:right w:val="none" w:sz="0" w:space="0" w:color="auto"/>
      </w:divBdr>
    </w:div>
    <w:div w:id="383604339">
      <w:bodyDiv w:val="1"/>
      <w:marLeft w:val="0"/>
      <w:marRight w:val="0"/>
      <w:marTop w:val="0"/>
      <w:marBottom w:val="0"/>
      <w:divBdr>
        <w:top w:val="none" w:sz="0" w:space="0" w:color="auto"/>
        <w:left w:val="none" w:sz="0" w:space="0" w:color="auto"/>
        <w:bottom w:val="none" w:sz="0" w:space="0" w:color="auto"/>
        <w:right w:val="none" w:sz="0" w:space="0" w:color="auto"/>
      </w:divBdr>
    </w:div>
    <w:div w:id="416052452">
      <w:bodyDiv w:val="1"/>
      <w:marLeft w:val="0"/>
      <w:marRight w:val="0"/>
      <w:marTop w:val="0"/>
      <w:marBottom w:val="0"/>
      <w:divBdr>
        <w:top w:val="none" w:sz="0" w:space="0" w:color="auto"/>
        <w:left w:val="none" w:sz="0" w:space="0" w:color="auto"/>
        <w:bottom w:val="none" w:sz="0" w:space="0" w:color="auto"/>
        <w:right w:val="none" w:sz="0" w:space="0" w:color="auto"/>
      </w:divBdr>
    </w:div>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1485588373">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243875778">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sChild>
    </w:div>
    <w:div w:id="443229179">
      <w:bodyDiv w:val="1"/>
      <w:marLeft w:val="0"/>
      <w:marRight w:val="0"/>
      <w:marTop w:val="0"/>
      <w:marBottom w:val="0"/>
      <w:divBdr>
        <w:top w:val="none" w:sz="0" w:space="0" w:color="auto"/>
        <w:left w:val="none" w:sz="0" w:space="0" w:color="auto"/>
        <w:bottom w:val="none" w:sz="0" w:space="0" w:color="auto"/>
        <w:right w:val="none" w:sz="0" w:space="0" w:color="auto"/>
      </w:divBdr>
    </w:div>
    <w:div w:id="515389424">
      <w:bodyDiv w:val="1"/>
      <w:marLeft w:val="0"/>
      <w:marRight w:val="0"/>
      <w:marTop w:val="0"/>
      <w:marBottom w:val="0"/>
      <w:divBdr>
        <w:top w:val="none" w:sz="0" w:space="0" w:color="auto"/>
        <w:left w:val="none" w:sz="0" w:space="0" w:color="auto"/>
        <w:bottom w:val="none" w:sz="0" w:space="0" w:color="auto"/>
        <w:right w:val="none" w:sz="0" w:space="0" w:color="auto"/>
      </w:divBdr>
    </w:div>
    <w:div w:id="536357489">
      <w:bodyDiv w:val="1"/>
      <w:marLeft w:val="0"/>
      <w:marRight w:val="0"/>
      <w:marTop w:val="0"/>
      <w:marBottom w:val="0"/>
      <w:divBdr>
        <w:top w:val="none" w:sz="0" w:space="0" w:color="auto"/>
        <w:left w:val="none" w:sz="0" w:space="0" w:color="auto"/>
        <w:bottom w:val="none" w:sz="0" w:space="0" w:color="auto"/>
        <w:right w:val="none" w:sz="0" w:space="0" w:color="auto"/>
      </w:divBdr>
    </w:div>
    <w:div w:id="587538053">
      <w:bodyDiv w:val="1"/>
      <w:marLeft w:val="0"/>
      <w:marRight w:val="0"/>
      <w:marTop w:val="0"/>
      <w:marBottom w:val="0"/>
      <w:divBdr>
        <w:top w:val="none" w:sz="0" w:space="0" w:color="auto"/>
        <w:left w:val="none" w:sz="0" w:space="0" w:color="auto"/>
        <w:bottom w:val="none" w:sz="0" w:space="0" w:color="auto"/>
        <w:right w:val="none" w:sz="0" w:space="0" w:color="auto"/>
      </w:divBdr>
    </w:div>
    <w:div w:id="601642543">
      <w:bodyDiv w:val="1"/>
      <w:marLeft w:val="0"/>
      <w:marRight w:val="0"/>
      <w:marTop w:val="0"/>
      <w:marBottom w:val="0"/>
      <w:divBdr>
        <w:top w:val="none" w:sz="0" w:space="0" w:color="auto"/>
        <w:left w:val="none" w:sz="0" w:space="0" w:color="auto"/>
        <w:bottom w:val="none" w:sz="0" w:space="0" w:color="auto"/>
        <w:right w:val="none" w:sz="0" w:space="0" w:color="auto"/>
      </w:divBdr>
    </w:div>
    <w:div w:id="655646280">
      <w:bodyDiv w:val="1"/>
      <w:marLeft w:val="0"/>
      <w:marRight w:val="0"/>
      <w:marTop w:val="0"/>
      <w:marBottom w:val="0"/>
      <w:divBdr>
        <w:top w:val="none" w:sz="0" w:space="0" w:color="auto"/>
        <w:left w:val="none" w:sz="0" w:space="0" w:color="auto"/>
        <w:bottom w:val="none" w:sz="0" w:space="0" w:color="auto"/>
        <w:right w:val="none" w:sz="0" w:space="0" w:color="auto"/>
      </w:divBdr>
    </w:div>
    <w:div w:id="682053632">
      <w:bodyDiv w:val="1"/>
      <w:marLeft w:val="0"/>
      <w:marRight w:val="0"/>
      <w:marTop w:val="0"/>
      <w:marBottom w:val="0"/>
      <w:divBdr>
        <w:top w:val="none" w:sz="0" w:space="0" w:color="auto"/>
        <w:left w:val="none" w:sz="0" w:space="0" w:color="auto"/>
        <w:bottom w:val="none" w:sz="0" w:space="0" w:color="auto"/>
        <w:right w:val="none" w:sz="0" w:space="0" w:color="auto"/>
      </w:divBdr>
    </w:div>
    <w:div w:id="759448441">
      <w:bodyDiv w:val="1"/>
      <w:marLeft w:val="0"/>
      <w:marRight w:val="0"/>
      <w:marTop w:val="0"/>
      <w:marBottom w:val="0"/>
      <w:divBdr>
        <w:top w:val="none" w:sz="0" w:space="0" w:color="auto"/>
        <w:left w:val="none" w:sz="0" w:space="0" w:color="auto"/>
        <w:bottom w:val="none" w:sz="0" w:space="0" w:color="auto"/>
        <w:right w:val="none" w:sz="0" w:space="0" w:color="auto"/>
      </w:divBdr>
    </w:div>
    <w:div w:id="774636155">
      <w:bodyDiv w:val="1"/>
      <w:marLeft w:val="0"/>
      <w:marRight w:val="0"/>
      <w:marTop w:val="0"/>
      <w:marBottom w:val="0"/>
      <w:divBdr>
        <w:top w:val="none" w:sz="0" w:space="0" w:color="auto"/>
        <w:left w:val="none" w:sz="0" w:space="0" w:color="auto"/>
        <w:bottom w:val="none" w:sz="0" w:space="0" w:color="auto"/>
        <w:right w:val="none" w:sz="0" w:space="0" w:color="auto"/>
      </w:divBdr>
    </w:div>
    <w:div w:id="807164999">
      <w:bodyDiv w:val="1"/>
      <w:marLeft w:val="0"/>
      <w:marRight w:val="0"/>
      <w:marTop w:val="0"/>
      <w:marBottom w:val="0"/>
      <w:divBdr>
        <w:top w:val="none" w:sz="0" w:space="0" w:color="auto"/>
        <w:left w:val="none" w:sz="0" w:space="0" w:color="auto"/>
        <w:bottom w:val="none" w:sz="0" w:space="0" w:color="auto"/>
        <w:right w:val="none" w:sz="0" w:space="0" w:color="auto"/>
      </w:divBdr>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885334597">
      <w:bodyDiv w:val="1"/>
      <w:marLeft w:val="0"/>
      <w:marRight w:val="0"/>
      <w:marTop w:val="0"/>
      <w:marBottom w:val="0"/>
      <w:divBdr>
        <w:top w:val="none" w:sz="0" w:space="0" w:color="auto"/>
        <w:left w:val="none" w:sz="0" w:space="0" w:color="auto"/>
        <w:bottom w:val="none" w:sz="0" w:space="0" w:color="auto"/>
        <w:right w:val="none" w:sz="0" w:space="0" w:color="auto"/>
      </w:divBdr>
    </w:div>
    <w:div w:id="904493499">
      <w:bodyDiv w:val="1"/>
      <w:marLeft w:val="0"/>
      <w:marRight w:val="0"/>
      <w:marTop w:val="0"/>
      <w:marBottom w:val="0"/>
      <w:divBdr>
        <w:top w:val="none" w:sz="0" w:space="0" w:color="auto"/>
        <w:left w:val="none" w:sz="0" w:space="0" w:color="auto"/>
        <w:bottom w:val="none" w:sz="0" w:space="0" w:color="auto"/>
        <w:right w:val="none" w:sz="0" w:space="0" w:color="auto"/>
      </w:divBdr>
    </w:div>
    <w:div w:id="924534611">
      <w:bodyDiv w:val="1"/>
      <w:marLeft w:val="0"/>
      <w:marRight w:val="0"/>
      <w:marTop w:val="0"/>
      <w:marBottom w:val="0"/>
      <w:divBdr>
        <w:top w:val="none" w:sz="0" w:space="0" w:color="auto"/>
        <w:left w:val="none" w:sz="0" w:space="0" w:color="auto"/>
        <w:bottom w:val="none" w:sz="0" w:space="0" w:color="auto"/>
        <w:right w:val="none" w:sz="0" w:space="0" w:color="auto"/>
      </w:divBdr>
    </w:div>
    <w:div w:id="1022437769">
      <w:bodyDiv w:val="1"/>
      <w:marLeft w:val="0"/>
      <w:marRight w:val="0"/>
      <w:marTop w:val="0"/>
      <w:marBottom w:val="0"/>
      <w:divBdr>
        <w:top w:val="none" w:sz="0" w:space="0" w:color="auto"/>
        <w:left w:val="none" w:sz="0" w:space="0" w:color="auto"/>
        <w:bottom w:val="none" w:sz="0" w:space="0" w:color="auto"/>
        <w:right w:val="none" w:sz="0" w:space="0" w:color="auto"/>
      </w:divBdr>
    </w:div>
    <w:div w:id="1047489716">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2011373361">
          <w:marLeft w:val="425"/>
          <w:marRight w:val="0"/>
          <w:marTop w:val="0"/>
          <w:marBottom w:val="0"/>
          <w:divBdr>
            <w:top w:val="none" w:sz="0" w:space="0" w:color="auto"/>
            <w:left w:val="none" w:sz="0" w:space="0" w:color="auto"/>
            <w:bottom w:val="none" w:sz="0" w:space="0" w:color="auto"/>
            <w:right w:val="none" w:sz="0" w:space="0" w:color="auto"/>
          </w:divBdr>
        </w:div>
        <w:div w:id="62139660">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sChild>
    </w:div>
    <w:div w:id="1107702359">
      <w:bodyDiv w:val="1"/>
      <w:marLeft w:val="0"/>
      <w:marRight w:val="0"/>
      <w:marTop w:val="0"/>
      <w:marBottom w:val="0"/>
      <w:divBdr>
        <w:top w:val="none" w:sz="0" w:space="0" w:color="auto"/>
        <w:left w:val="none" w:sz="0" w:space="0" w:color="auto"/>
        <w:bottom w:val="none" w:sz="0" w:space="0" w:color="auto"/>
        <w:right w:val="none" w:sz="0" w:space="0" w:color="auto"/>
      </w:divBdr>
    </w:div>
    <w:div w:id="1176504676">
      <w:bodyDiv w:val="1"/>
      <w:marLeft w:val="0"/>
      <w:marRight w:val="0"/>
      <w:marTop w:val="0"/>
      <w:marBottom w:val="0"/>
      <w:divBdr>
        <w:top w:val="none" w:sz="0" w:space="0" w:color="auto"/>
        <w:left w:val="none" w:sz="0" w:space="0" w:color="auto"/>
        <w:bottom w:val="none" w:sz="0" w:space="0" w:color="auto"/>
        <w:right w:val="none" w:sz="0" w:space="0" w:color="auto"/>
      </w:divBdr>
    </w:div>
    <w:div w:id="1237205860">
      <w:bodyDiv w:val="1"/>
      <w:marLeft w:val="0"/>
      <w:marRight w:val="0"/>
      <w:marTop w:val="0"/>
      <w:marBottom w:val="0"/>
      <w:divBdr>
        <w:top w:val="none" w:sz="0" w:space="0" w:color="auto"/>
        <w:left w:val="none" w:sz="0" w:space="0" w:color="auto"/>
        <w:bottom w:val="none" w:sz="0" w:space="0" w:color="auto"/>
        <w:right w:val="none" w:sz="0" w:space="0" w:color="auto"/>
      </w:divBdr>
    </w:div>
    <w:div w:id="1275096439">
      <w:bodyDiv w:val="1"/>
      <w:marLeft w:val="0"/>
      <w:marRight w:val="0"/>
      <w:marTop w:val="0"/>
      <w:marBottom w:val="0"/>
      <w:divBdr>
        <w:top w:val="none" w:sz="0" w:space="0" w:color="auto"/>
        <w:left w:val="none" w:sz="0" w:space="0" w:color="auto"/>
        <w:bottom w:val="none" w:sz="0" w:space="0" w:color="auto"/>
        <w:right w:val="none" w:sz="0" w:space="0" w:color="auto"/>
      </w:divBdr>
    </w:div>
    <w:div w:id="1334911482">
      <w:bodyDiv w:val="1"/>
      <w:marLeft w:val="0"/>
      <w:marRight w:val="0"/>
      <w:marTop w:val="0"/>
      <w:marBottom w:val="0"/>
      <w:divBdr>
        <w:top w:val="none" w:sz="0" w:space="0" w:color="auto"/>
        <w:left w:val="none" w:sz="0" w:space="0" w:color="auto"/>
        <w:bottom w:val="none" w:sz="0" w:space="0" w:color="auto"/>
        <w:right w:val="none" w:sz="0" w:space="0" w:color="auto"/>
      </w:divBdr>
    </w:div>
    <w:div w:id="1335645930">
      <w:bodyDiv w:val="1"/>
      <w:marLeft w:val="0"/>
      <w:marRight w:val="0"/>
      <w:marTop w:val="0"/>
      <w:marBottom w:val="0"/>
      <w:divBdr>
        <w:top w:val="none" w:sz="0" w:space="0" w:color="auto"/>
        <w:left w:val="none" w:sz="0" w:space="0" w:color="auto"/>
        <w:bottom w:val="none" w:sz="0" w:space="0" w:color="auto"/>
        <w:right w:val="none" w:sz="0" w:space="0" w:color="auto"/>
      </w:divBdr>
    </w:div>
    <w:div w:id="1336036985">
      <w:bodyDiv w:val="1"/>
      <w:marLeft w:val="0"/>
      <w:marRight w:val="0"/>
      <w:marTop w:val="0"/>
      <w:marBottom w:val="0"/>
      <w:divBdr>
        <w:top w:val="none" w:sz="0" w:space="0" w:color="auto"/>
        <w:left w:val="none" w:sz="0" w:space="0" w:color="auto"/>
        <w:bottom w:val="none" w:sz="0" w:space="0" w:color="auto"/>
        <w:right w:val="none" w:sz="0" w:space="0" w:color="auto"/>
      </w:divBdr>
    </w:div>
    <w:div w:id="1365911625">
      <w:bodyDiv w:val="1"/>
      <w:marLeft w:val="0"/>
      <w:marRight w:val="0"/>
      <w:marTop w:val="0"/>
      <w:marBottom w:val="0"/>
      <w:divBdr>
        <w:top w:val="none" w:sz="0" w:space="0" w:color="auto"/>
        <w:left w:val="none" w:sz="0" w:space="0" w:color="auto"/>
        <w:bottom w:val="none" w:sz="0" w:space="0" w:color="auto"/>
        <w:right w:val="none" w:sz="0" w:space="0" w:color="auto"/>
      </w:divBdr>
    </w:div>
    <w:div w:id="1377201579">
      <w:bodyDiv w:val="1"/>
      <w:marLeft w:val="0"/>
      <w:marRight w:val="0"/>
      <w:marTop w:val="0"/>
      <w:marBottom w:val="0"/>
      <w:divBdr>
        <w:top w:val="none" w:sz="0" w:space="0" w:color="auto"/>
        <w:left w:val="none" w:sz="0" w:space="0" w:color="auto"/>
        <w:bottom w:val="none" w:sz="0" w:space="0" w:color="auto"/>
        <w:right w:val="none" w:sz="0" w:space="0" w:color="auto"/>
      </w:divBdr>
    </w:div>
    <w:div w:id="1491562792">
      <w:bodyDiv w:val="1"/>
      <w:marLeft w:val="0"/>
      <w:marRight w:val="0"/>
      <w:marTop w:val="0"/>
      <w:marBottom w:val="0"/>
      <w:divBdr>
        <w:top w:val="none" w:sz="0" w:space="0" w:color="auto"/>
        <w:left w:val="none" w:sz="0" w:space="0" w:color="auto"/>
        <w:bottom w:val="none" w:sz="0" w:space="0" w:color="auto"/>
        <w:right w:val="none" w:sz="0" w:space="0" w:color="auto"/>
      </w:divBdr>
    </w:div>
    <w:div w:id="1511215410">
      <w:bodyDiv w:val="1"/>
      <w:marLeft w:val="0"/>
      <w:marRight w:val="0"/>
      <w:marTop w:val="0"/>
      <w:marBottom w:val="0"/>
      <w:divBdr>
        <w:top w:val="none" w:sz="0" w:space="0" w:color="auto"/>
        <w:left w:val="none" w:sz="0" w:space="0" w:color="auto"/>
        <w:bottom w:val="none" w:sz="0" w:space="0" w:color="auto"/>
        <w:right w:val="none" w:sz="0" w:space="0" w:color="auto"/>
      </w:divBdr>
    </w:div>
    <w:div w:id="1511678052">
      <w:bodyDiv w:val="1"/>
      <w:marLeft w:val="0"/>
      <w:marRight w:val="0"/>
      <w:marTop w:val="0"/>
      <w:marBottom w:val="0"/>
      <w:divBdr>
        <w:top w:val="none" w:sz="0" w:space="0" w:color="auto"/>
        <w:left w:val="none" w:sz="0" w:space="0" w:color="auto"/>
        <w:bottom w:val="none" w:sz="0" w:space="0" w:color="auto"/>
        <w:right w:val="none" w:sz="0" w:space="0" w:color="auto"/>
      </w:divBdr>
    </w:div>
    <w:div w:id="1572617712">
      <w:bodyDiv w:val="1"/>
      <w:marLeft w:val="0"/>
      <w:marRight w:val="0"/>
      <w:marTop w:val="0"/>
      <w:marBottom w:val="0"/>
      <w:divBdr>
        <w:top w:val="none" w:sz="0" w:space="0" w:color="auto"/>
        <w:left w:val="none" w:sz="0" w:space="0" w:color="auto"/>
        <w:bottom w:val="none" w:sz="0" w:space="0" w:color="auto"/>
        <w:right w:val="none" w:sz="0" w:space="0" w:color="auto"/>
      </w:divBdr>
    </w:div>
    <w:div w:id="1600720965">
      <w:bodyDiv w:val="1"/>
      <w:marLeft w:val="0"/>
      <w:marRight w:val="0"/>
      <w:marTop w:val="0"/>
      <w:marBottom w:val="0"/>
      <w:divBdr>
        <w:top w:val="none" w:sz="0" w:space="0" w:color="auto"/>
        <w:left w:val="none" w:sz="0" w:space="0" w:color="auto"/>
        <w:bottom w:val="none" w:sz="0" w:space="0" w:color="auto"/>
        <w:right w:val="none" w:sz="0" w:space="0" w:color="auto"/>
      </w:divBdr>
    </w:div>
    <w:div w:id="1727413927">
      <w:bodyDiv w:val="1"/>
      <w:marLeft w:val="0"/>
      <w:marRight w:val="0"/>
      <w:marTop w:val="0"/>
      <w:marBottom w:val="0"/>
      <w:divBdr>
        <w:top w:val="none" w:sz="0" w:space="0" w:color="auto"/>
        <w:left w:val="none" w:sz="0" w:space="0" w:color="auto"/>
        <w:bottom w:val="none" w:sz="0" w:space="0" w:color="auto"/>
        <w:right w:val="none" w:sz="0" w:space="0" w:color="auto"/>
      </w:divBdr>
    </w:div>
    <w:div w:id="1797943714">
      <w:bodyDiv w:val="1"/>
      <w:marLeft w:val="0"/>
      <w:marRight w:val="0"/>
      <w:marTop w:val="0"/>
      <w:marBottom w:val="0"/>
      <w:divBdr>
        <w:top w:val="none" w:sz="0" w:space="0" w:color="auto"/>
        <w:left w:val="none" w:sz="0" w:space="0" w:color="auto"/>
        <w:bottom w:val="none" w:sz="0" w:space="0" w:color="auto"/>
        <w:right w:val="none" w:sz="0" w:space="0" w:color="auto"/>
      </w:divBdr>
    </w:div>
    <w:div w:id="1798795317">
      <w:bodyDiv w:val="1"/>
      <w:marLeft w:val="0"/>
      <w:marRight w:val="0"/>
      <w:marTop w:val="0"/>
      <w:marBottom w:val="0"/>
      <w:divBdr>
        <w:top w:val="none" w:sz="0" w:space="0" w:color="auto"/>
        <w:left w:val="none" w:sz="0" w:space="0" w:color="auto"/>
        <w:bottom w:val="none" w:sz="0" w:space="0" w:color="auto"/>
        <w:right w:val="none" w:sz="0" w:space="0" w:color="auto"/>
      </w:divBdr>
    </w:div>
    <w:div w:id="1799060972">
      <w:bodyDiv w:val="1"/>
      <w:marLeft w:val="0"/>
      <w:marRight w:val="0"/>
      <w:marTop w:val="0"/>
      <w:marBottom w:val="0"/>
      <w:divBdr>
        <w:top w:val="none" w:sz="0" w:space="0" w:color="auto"/>
        <w:left w:val="none" w:sz="0" w:space="0" w:color="auto"/>
        <w:bottom w:val="none" w:sz="0" w:space="0" w:color="auto"/>
        <w:right w:val="none" w:sz="0" w:space="0" w:color="auto"/>
      </w:divBdr>
    </w:div>
    <w:div w:id="1981566950">
      <w:bodyDiv w:val="1"/>
      <w:marLeft w:val="0"/>
      <w:marRight w:val="0"/>
      <w:marTop w:val="0"/>
      <w:marBottom w:val="0"/>
      <w:divBdr>
        <w:top w:val="none" w:sz="0" w:space="0" w:color="auto"/>
        <w:left w:val="none" w:sz="0" w:space="0" w:color="auto"/>
        <w:bottom w:val="none" w:sz="0" w:space="0" w:color="auto"/>
        <w:right w:val="none" w:sz="0" w:space="0" w:color="auto"/>
      </w:divBdr>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bese/docs/fy2022/2022-01/item8.docx" TargetMode="External"/><Relationship Id="rId1" Type="http://schemas.openxmlformats.org/officeDocument/2006/relationships/hyperlink" Target="https://www.doe.mass.edu/bese/docs/fy2022/2021-10/item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Woo, Lauren (DESE)</DisplayName>
        <AccountId>84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773B3-D5F6-439C-B334-37A97EC81B25}">
  <ds:schemaRefs>
    <ds:schemaRef ds:uri="http://schemas.microsoft.com/office/2006/metadata/properties"/>
    <ds:schemaRef ds:uri="http://schemas.microsoft.com/office/infopath/2007/PartnerControls"/>
    <ds:schemaRef ds:uri="7a12eb2f-f040-4639-9fb2-5a6588dc8035"/>
  </ds:schemaRefs>
</ds:datastoreItem>
</file>

<file path=customXml/itemProps2.xml><?xml version="1.0" encoding="utf-8"?>
<ds:datastoreItem xmlns:ds="http://schemas.openxmlformats.org/officeDocument/2006/customXml" ds:itemID="{DC1D031B-E1E6-A24F-88F4-F887D44CF9C0}">
  <ds:schemaRefs>
    <ds:schemaRef ds:uri="http://schemas.openxmlformats.org/officeDocument/2006/bibliography"/>
  </ds:schemaRefs>
</ds:datastoreItem>
</file>

<file path=customXml/itemProps3.xml><?xml version="1.0" encoding="utf-8"?>
<ds:datastoreItem xmlns:ds="http://schemas.openxmlformats.org/officeDocument/2006/customXml" ds:itemID="{703D4F40-1263-4B24-B0A6-4A1F091442A5}">
  <ds:schemaRefs>
    <ds:schemaRef ds:uri="http://schemas.microsoft.com/sharepoint/v3/contenttype/forms"/>
  </ds:schemaRefs>
</ds:datastoreItem>
</file>

<file path=customXml/itemProps4.xml><?xml version="1.0" encoding="utf-8"?>
<ds:datastoreItem xmlns:ds="http://schemas.openxmlformats.org/officeDocument/2006/customXml" ds:itemID="{385BFFA2-8239-4B88-A14A-792647751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BESE April 2022 Item 9 memo - Chronically Underperforming Schools Update</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2022 Item 9: Quarter 3 Update on Chronically Underperforming Schools</dc:title>
  <dc:subject/>
  <dc:creator>DESE</dc:creator>
  <cp:keywords/>
  <cp:lastModifiedBy>Zou, Dong (EOE)</cp:lastModifiedBy>
  <cp:revision>5</cp:revision>
  <cp:lastPrinted>2008-03-05T18:17:00Z</cp:lastPrinted>
  <dcterms:created xsi:type="dcterms:W3CDTF">2022-04-13T15:23:00Z</dcterms:created>
  <dcterms:modified xsi:type="dcterms:W3CDTF">2022-04-20T19:52:00Z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2022</vt:lpwstr>
  </property>
</Properties>
</file>