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9AD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0207B9A" wp14:editId="182C728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B1D231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7D7D0B2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0ACBC21C" wp14:editId="620941C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E2397A4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1D6DFE1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1FB90EB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9759CCE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035EC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500D520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073A00F" w14:textId="77777777">
        <w:tc>
          <w:tcPr>
            <w:tcW w:w="2988" w:type="dxa"/>
          </w:tcPr>
          <w:p w14:paraId="2A1052B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4252E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E74587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ED02176" w14:textId="77777777" w:rsidR="00A20194" w:rsidRDefault="00A20194">
      <w:pPr>
        <w:rPr>
          <w:rFonts w:ascii="Arial" w:hAnsi="Arial"/>
          <w:i/>
          <w:sz w:val="18"/>
        </w:rPr>
      </w:pPr>
    </w:p>
    <w:p w14:paraId="51A086A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5BA0BF" w14:textId="77777777" w:rsidR="007C3CD1" w:rsidRPr="00CF47FC" w:rsidRDefault="007C3CD1" w:rsidP="007C3CD1">
      <w:pPr>
        <w:pStyle w:val="Heading1"/>
        <w:tabs>
          <w:tab w:val="clear" w:pos="4680"/>
        </w:tabs>
        <w:rPr>
          <w:szCs w:val="24"/>
        </w:rPr>
      </w:pPr>
      <w:r w:rsidRPr="00CF47FC">
        <w:rPr>
          <w:szCs w:val="24"/>
        </w:rPr>
        <w:t>MEMORANDUM</w:t>
      </w:r>
    </w:p>
    <w:p w14:paraId="54328991" w14:textId="77777777" w:rsidR="007C3CD1" w:rsidRPr="00CF47F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31D452C6" w14:textId="77777777" w:rsidR="007C3CD1" w:rsidRPr="00EF6950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7C3CD1" w:rsidRPr="00EF6950" w14:paraId="0439E8EF" w14:textId="77777777" w:rsidTr="00126EAC">
        <w:tc>
          <w:tcPr>
            <w:tcW w:w="1188" w:type="dxa"/>
          </w:tcPr>
          <w:p w14:paraId="39783A44" w14:textId="77777777" w:rsidR="007C3CD1" w:rsidRPr="00EF6950" w:rsidRDefault="007C3CD1" w:rsidP="008A132B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To:</w:t>
            </w:r>
          </w:p>
        </w:tc>
        <w:tc>
          <w:tcPr>
            <w:tcW w:w="8388" w:type="dxa"/>
          </w:tcPr>
          <w:p w14:paraId="54600F5B" w14:textId="77777777" w:rsidR="007C3CD1" w:rsidRPr="00EF6950" w:rsidRDefault="007C3CD1" w:rsidP="008A132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7C3CD1" w:rsidRPr="00EF6950" w14:paraId="7E93783B" w14:textId="77777777" w:rsidTr="00126EAC">
        <w:tc>
          <w:tcPr>
            <w:tcW w:w="1188" w:type="dxa"/>
          </w:tcPr>
          <w:p w14:paraId="3CA9C841" w14:textId="77777777" w:rsidR="007C3CD1" w:rsidRPr="00EF6950" w:rsidRDefault="007C3CD1" w:rsidP="008A132B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From: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58743EA0" w14:textId="79866088" w:rsidR="001F6FE0" w:rsidRPr="00EF6950" w:rsidRDefault="007C3CD1" w:rsidP="008A132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Jeffrey C. Riley, Commissioner</w:t>
            </w:r>
          </w:p>
        </w:tc>
      </w:tr>
      <w:tr w:rsidR="007C3CD1" w:rsidRPr="00EF6950" w14:paraId="5C604728" w14:textId="77777777" w:rsidTr="00126EAC">
        <w:tc>
          <w:tcPr>
            <w:tcW w:w="1188" w:type="dxa"/>
          </w:tcPr>
          <w:p w14:paraId="7A787627" w14:textId="77777777" w:rsidR="007C3CD1" w:rsidRPr="00EF6950" w:rsidRDefault="007C3CD1" w:rsidP="008A132B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Date: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7A59A6C8" w14:textId="2FE78926" w:rsidR="007C3CD1" w:rsidRPr="00EF6950" w:rsidRDefault="008A132B" w:rsidP="008A132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June</w:t>
            </w:r>
            <w:r w:rsidR="00AA06CF">
              <w:rPr>
                <w:bCs/>
                <w:snapToGrid w:val="0"/>
              </w:rPr>
              <w:t xml:space="preserve"> </w:t>
            </w:r>
            <w:r w:rsidR="007069FB">
              <w:rPr>
                <w:bCs/>
                <w:snapToGrid w:val="0"/>
              </w:rPr>
              <w:t>22</w:t>
            </w:r>
            <w:r w:rsidR="00AA06CF">
              <w:rPr>
                <w:bCs/>
                <w:snapToGrid w:val="0"/>
              </w:rPr>
              <w:t>, 202</w:t>
            </w:r>
            <w:r w:rsidR="00B67ADC">
              <w:rPr>
                <w:bCs/>
                <w:snapToGrid w:val="0"/>
              </w:rPr>
              <w:t>2</w:t>
            </w:r>
          </w:p>
        </w:tc>
      </w:tr>
      <w:tr w:rsidR="007C3CD1" w:rsidRPr="00EF6950" w14:paraId="0E3628C1" w14:textId="77777777" w:rsidTr="00126EAC">
        <w:tc>
          <w:tcPr>
            <w:tcW w:w="1188" w:type="dxa"/>
          </w:tcPr>
          <w:p w14:paraId="7496B726" w14:textId="77777777" w:rsidR="007C3CD1" w:rsidRPr="00EF6950" w:rsidRDefault="007C3CD1" w:rsidP="008A132B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Subject:</w:t>
            </w:r>
          </w:p>
        </w:tc>
        <w:tc>
          <w:tcPr>
            <w:tcW w:w="8388" w:type="dxa"/>
          </w:tcPr>
          <w:p w14:paraId="54FD230A" w14:textId="23CC9DFD" w:rsidR="007C3CD1" w:rsidRPr="00EF6950" w:rsidRDefault="00923FD7" w:rsidP="008A132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t xml:space="preserve">Amendments </w:t>
            </w:r>
            <w:r w:rsidR="00007576">
              <w:t xml:space="preserve">to Regulations on </w:t>
            </w:r>
            <w:r w:rsidR="00CA39A5">
              <w:t>Educator Licensure</w:t>
            </w:r>
            <w:r w:rsidR="001006AE">
              <w:t xml:space="preserve">, </w:t>
            </w:r>
            <w:r w:rsidR="00A51F3F">
              <w:rPr>
                <w:rStyle w:val="normaltextrun1"/>
              </w:rPr>
              <w:t xml:space="preserve">603 CMR </w:t>
            </w:r>
            <w:r>
              <w:rPr>
                <w:rStyle w:val="normaltextrun1"/>
              </w:rPr>
              <w:t>7.</w:t>
            </w:r>
            <w:r w:rsidR="00A51F3F">
              <w:rPr>
                <w:rStyle w:val="normaltextrun1"/>
              </w:rPr>
              <w:t>00</w:t>
            </w:r>
            <w:r w:rsidR="009E6F02">
              <w:rPr>
                <w:rStyle w:val="normaltextrun1"/>
              </w:rPr>
              <w:t xml:space="preserve"> (Extending</w:t>
            </w:r>
            <w:r w:rsidR="00007576">
              <w:rPr>
                <w:rStyle w:val="normaltextrun1"/>
              </w:rPr>
              <w:t xml:space="preserve"> Staffing Flexibilit</w:t>
            </w:r>
            <w:r w:rsidR="009E6F02">
              <w:rPr>
                <w:rStyle w:val="normaltextrun1"/>
              </w:rPr>
              <w:t>ies</w:t>
            </w:r>
            <w:r w:rsidR="00007576">
              <w:rPr>
                <w:rStyle w:val="normaltextrun1"/>
              </w:rPr>
              <w:t xml:space="preserve"> for 202</w:t>
            </w:r>
            <w:r w:rsidR="00B67ADC">
              <w:rPr>
                <w:rStyle w:val="normaltextrun1"/>
              </w:rPr>
              <w:t>2</w:t>
            </w:r>
            <w:r w:rsidR="00007576">
              <w:rPr>
                <w:rStyle w:val="normaltextrun1"/>
              </w:rPr>
              <w:t>-202</w:t>
            </w:r>
            <w:r w:rsidR="00B67ADC">
              <w:rPr>
                <w:rStyle w:val="normaltextrun1"/>
              </w:rPr>
              <w:t>3</w:t>
            </w:r>
            <w:r w:rsidR="009E6F02">
              <w:rPr>
                <w:rStyle w:val="normaltextrun1"/>
              </w:rPr>
              <w:t>)</w:t>
            </w:r>
            <w:r w:rsidR="001006AE">
              <w:rPr>
                <w:rStyle w:val="normaltextrun1"/>
              </w:rPr>
              <w:t xml:space="preserve"> </w:t>
            </w:r>
          </w:p>
        </w:tc>
      </w:tr>
    </w:tbl>
    <w:p w14:paraId="4EC619BA" w14:textId="77777777" w:rsidR="007C3CD1" w:rsidRPr="00EF6950" w:rsidRDefault="007C3CD1" w:rsidP="007C3CD1">
      <w:pPr>
        <w:pBdr>
          <w:bottom w:val="single" w:sz="4" w:space="1" w:color="auto"/>
        </w:pBdr>
        <w:rPr>
          <w:szCs w:val="24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0D5D574" w14:textId="77777777" w:rsidR="007C3CD1" w:rsidRPr="00C035EC" w:rsidRDefault="007C3CD1" w:rsidP="007C3CD1">
      <w:pPr>
        <w:rPr>
          <w:sz w:val="23"/>
          <w:szCs w:val="23"/>
        </w:rPr>
        <w:sectPr w:rsidR="007C3CD1" w:rsidRPr="00C035E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66A97A9" w14:textId="77777777" w:rsidR="007C3CD1" w:rsidRPr="00C035EC" w:rsidRDefault="007C3CD1" w:rsidP="007C3CD1">
      <w:pPr>
        <w:rPr>
          <w:sz w:val="23"/>
          <w:szCs w:val="23"/>
        </w:rPr>
      </w:pPr>
    </w:p>
    <w:p w14:paraId="0D77CE06" w14:textId="3279373C" w:rsidR="008A132B" w:rsidRDefault="008A132B" w:rsidP="00AA06CF">
      <w:r>
        <w:t xml:space="preserve">In April </w:t>
      </w:r>
      <w:r w:rsidR="00C26C83">
        <w:t>202</w:t>
      </w:r>
      <w:r w:rsidR="00B67ADC">
        <w:t>2</w:t>
      </w:r>
      <w:r>
        <w:t>,</w:t>
      </w:r>
      <w:r w:rsidR="00C26C83">
        <w:t xml:space="preserve"> </w:t>
      </w:r>
      <w:r>
        <w:t xml:space="preserve">the </w:t>
      </w:r>
      <w:r w:rsidR="00C26C83">
        <w:t>Board of Ele</w:t>
      </w:r>
      <w:r w:rsidR="00AA06CF">
        <w:t xml:space="preserve">mentary and Secondary Education </w:t>
      </w:r>
      <w:r>
        <w:t xml:space="preserve">(Board) voted to solicit public comment </w:t>
      </w:r>
      <w:r w:rsidR="009E6F02">
        <w:t xml:space="preserve">on proposed amendments </w:t>
      </w:r>
      <w:r>
        <w:t>t</w:t>
      </w:r>
      <w:r w:rsidR="00C26C83">
        <w:t>o the Educator Licensure regulations (603 CMR 7.0</w:t>
      </w:r>
      <w:r w:rsidR="00577D39">
        <w:t>0</w:t>
      </w:r>
      <w:r w:rsidR="00C26C83">
        <w:t xml:space="preserve">) that </w:t>
      </w:r>
      <w:r w:rsidR="009E6F02">
        <w:t xml:space="preserve">would extend </w:t>
      </w:r>
      <w:r w:rsidR="00C26C83">
        <w:t xml:space="preserve">certain staffing flexibilities </w:t>
      </w:r>
      <w:r w:rsidR="009E6F02">
        <w:t xml:space="preserve">through </w:t>
      </w:r>
      <w:r w:rsidR="00C26C83">
        <w:t>the 202</w:t>
      </w:r>
      <w:r w:rsidR="00B67ADC">
        <w:t>2</w:t>
      </w:r>
      <w:r w:rsidR="00C26C83">
        <w:t>-202</w:t>
      </w:r>
      <w:r w:rsidR="00B67ADC">
        <w:t>3</w:t>
      </w:r>
      <w:r w:rsidR="00C26C83">
        <w:t xml:space="preserve"> school year</w:t>
      </w:r>
      <w:r>
        <w:t>. The Department receive</w:t>
      </w:r>
      <w:r w:rsidR="0058768A">
        <w:t>d</w:t>
      </w:r>
      <w:r>
        <w:t xml:space="preserve"> </w:t>
      </w:r>
      <w:r w:rsidR="00B67ADC">
        <w:t xml:space="preserve">a limited </w:t>
      </w:r>
      <w:r w:rsidR="00CB33FE">
        <w:t xml:space="preserve">number </w:t>
      </w:r>
      <w:r w:rsidR="00B67ADC">
        <w:t xml:space="preserve">of </w:t>
      </w:r>
      <w:r>
        <w:t>public comment</w:t>
      </w:r>
      <w:r w:rsidR="00CB33FE">
        <w:t>s</w:t>
      </w:r>
      <w:r>
        <w:t xml:space="preserve"> regarding the proposed change</w:t>
      </w:r>
      <w:r w:rsidR="0058768A">
        <w:t>s</w:t>
      </w:r>
      <w:r w:rsidR="00B67ADC">
        <w:t xml:space="preserve"> </w:t>
      </w:r>
      <w:r w:rsidR="00CB33FE">
        <w:t>(</w:t>
      </w:r>
      <w:r w:rsidR="00B67ADC">
        <w:t>summarized below</w:t>
      </w:r>
      <w:r>
        <w:t>.</w:t>
      </w:r>
      <w:r w:rsidR="00CB33FE">
        <w:t>)</w:t>
      </w:r>
      <w:r w:rsidR="0058768A">
        <w:t xml:space="preserve"> In response to public comment, I am recommending one further, minor amendment to the regulations.</w:t>
      </w:r>
      <w:r>
        <w:t xml:space="preserve"> I recommend that the Board vote at the June </w:t>
      </w:r>
      <w:r w:rsidR="000F33AD">
        <w:t>2</w:t>
      </w:r>
      <w:r w:rsidR="00B67ADC">
        <w:t>8</w:t>
      </w:r>
      <w:r w:rsidR="00B67ADC" w:rsidRPr="00B67ADC">
        <w:rPr>
          <w:vertAlign w:val="superscript"/>
        </w:rPr>
        <w:t>th</w:t>
      </w:r>
      <w:r w:rsidR="00B67ADC">
        <w:t xml:space="preserve"> </w:t>
      </w:r>
      <w:r w:rsidR="000F33AD">
        <w:t>meeting to adopt the</w:t>
      </w:r>
      <w:r w:rsidR="00CB33FE">
        <w:t>se</w:t>
      </w:r>
      <w:r w:rsidR="000F33AD">
        <w:t xml:space="preserve"> proposed amendments. </w:t>
      </w:r>
    </w:p>
    <w:p w14:paraId="2EED0F6F" w14:textId="77777777" w:rsidR="008A132B" w:rsidRDefault="008A132B" w:rsidP="00AA06CF"/>
    <w:p w14:paraId="061E35ED" w14:textId="1E894333" w:rsidR="00FB1CCF" w:rsidRPr="00FB1CCF" w:rsidRDefault="00FB1CCF" w:rsidP="009E6F02">
      <w:pPr>
        <w:rPr>
          <w:b/>
          <w:bCs/>
          <w:szCs w:val="24"/>
        </w:rPr>
      </w:pPr>
      <w:bookmarkStart w:id="4" w:name="_Hlk55296746"/>
      <w:r w:rsidRPr="00FB1CCF">
        <w:rPr>
          <w:b/>
          <w:bCs/>
          <w:szCs w:val="24"/>
        </w:rPr>
        <w:t>Background</w:t>
      </w:r>
      <w:r w:rsidR="00A21322">
        <w:rPr>
          <w:b/>
          <w:bCs/>
          <w:szCs w:val="24"/>
        </w:rPr>
        <w:t xml:space="preserve"> and Summary of Amendments</w:t>
      </w:r>
    </w:p>
    <w:p w14:paraId="6DCE9DB5" w14:textId="77777777" w:rsidR="00E0390D" w:rsidRPr="00000CD2" w:rsidRDefault="00E0390D" w:rsidP="00BB5527">
      <w:pPr>
        <w:rPr>
          <w:color w:val="333333"/>
          <w:szCs w:val="24"/>
          <w:shd w:val="clear" w:color="auto" w:fill="FFFFFF"/>
        </w:rPr>
      </w:pPr>
    </w:p>
    <w:bookmarkEnd w:id="4"/>
    <w:p w14:paraId="34907833" w14:textId="0F4AA1F4" w:rsidR="00AD669A" w:rsidRPr="0098548A" w:rsidRDefault="00B67ADC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  <w:r>
        <w:rPr>
          <w:snapToGrid w:val="0"/>
          <w:shd w:val="clear" w:color="auto" w:fill="FFFFFF"/>
        </w:rPr>
        <w:t xml:space="preserve">Since </w:t>
      </w:r>
      <w:r w:rsidR="00C26C83">
        <w:rPr>
          <w:snapToGrid w:val="0"/>
          <w:shd w:val="clear" w:color="auto" w:fill="FFFFFF"/>
        </w:rPr>
        <w:t>the 2020-2021 school year, t</w:t>
      </w:r>
      <w:r w:rsidR="00CA39A5" w:rsidRPr="0098548A">
        <w:rPr>
          <w:snapToGrid w:val="0"/>
          <w:shd w:val="clear" w:color="auto" w:fill="FFFFFF"/>
        </w:rPr>
        <w:t>he Department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CA39A5" w:rsidRPr="0098548A">
        <w:rPr>
          <w:snapToGrid w:val="0"/>
          <w:shd w:val="clear" w:color="auto" w:fill="FFFFFF"/>
        </w:rPr>
        <w:t>support</w:t>
      </w:r>
      <w:r w:rsidR="00C26C83">
        <w:rPr>
          <w:snapToGrid w:val="0"/>
          <w:shd w:val="clear" w:color="auto" w:fill="FFFFFF"/>
        </w:rPr>
        <w:t>ed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CA39A5" w:rsidRPr="0098548A">
        <w:rPr>
          <w:snapToGrid w:val="0"/>
          <w:shd w:val="clear" w:color="auto" w:fill="FFFFFF"/>
        </w:rPr>
        <w:t xml:space="preserve">educators </w:t>
      </w:r>
      <w:r w:rsidR="00000CD2" w:rsidRPr="0098548A">
        <w:rPr>
          <w:snapToGrid w:val="0"/>
          <w:shd w:val="clear" w:color="auto" w:fill="FFFFFF"/>
        </w:rPr>
        <w:t xml:space="preserve">and districts </w:t>
      </w:r>
      <w:r w:rsidR="00CA39A5" w:rsidRPr="0098548A">
        <w:rPr>
          <w:snapToGrid w:val="0"/>
          <w:shd w:val="clear" w:color="auto" w:fill="FFFFFF"/>
        </w:rPr>
        <w:t xml:space="preserve">as they </w:t>
      </w:r>
      <w:r w:rsidR="00127D15" w:rsidRPr="0098548A">
        <w:rPr>
          <w:snapToGrid w:val="0"/>
          <w:shd w:val="clear" w:color="auto" w:fill="FFFFFF"/>
        </w:rPr>
        <w:t>work</w:t>
      </w:r>
      <w:r w:rsidR="00C26C83">
        <w:rPr>
          <w:snapToGrid w:val="0"/>
          <w:shd w:val="clear" w:color="auto" w:fill="FFFFFF"/>
        </w:rPr>
        <w:t>ed</w:t>
      </w:r>
      <w:r w:rsidR="00127D15" w:rsidRPr="0098548A">
        <w:rPr>
          <w:snapToGrid w:val="0"/>
          <w:shd w:val="clear" w:color="auto" w:fill="FFFFFF"/>
        </w:rPr>
        <w:t xml:space="preserve"> to </w:t>
      </w:r>
      <w:r w:rsidR="00CA39A5" w:rsidRPr="0098548A">
        <w:rPr>
          <w:snapToGrid w:val="0"/>
          <w:shd w:val="clear" w:color="auto" w:fill="FFFFFF"/>
        </w:rPr>
        <w:t>best match student needs with the knowledge, skills</w:t>
      </w:r>
      <w:r w:rsidR="006F5859" w:rsidRPr="0098548A">
        <w:rPr>
          <w:snapToGrid w:val="0"/>
          <w:shd w:val="clear" w:color="auto" w:fill="FFFFFF"/>
        </w:rPr>
        <w:t>,</w:t>
      </w:r>
      <w:r w:rsidR="00CA39A5" w:rsidRPr="0098548A">
        <w:rPr>
          <w:snapToGrid w:val="0"/>
          <w:shd w:val="clear" w:color="auto" w:fill="FFFFFF"/>
        </w:rPr>
        <w:t xml:space="preserve"> and abilities of educators to staff </w:t>
      </w:r>
      <w:r w:rsidR="00000CD2" w:rsidRPr="0098548A">
        <w:rPr>
          <w:snapToGrid w:val="0"/>
          <w:shd w:val="clear" w:color="auto" w:fill="FFFFFF"/>
        </w:rPr>
        <w:t xml:space="preserve">a variety of </w:t>
      </w:r>
      <w:r w:rsidR="00CA39A5" w:rsidRPr="0098548A">
        <w:rPr>
          <w:snapToGrid w:val="0"/>
          <w:shd w:val="clear" w:color="auto" w:fill="FFFFFF"/>
        </w:rPr>
        <w:t xml:space="preserve">learning environments. </w:t>
      </w:r>
      <w:r w:rsidR="00000CD2" w:rsidRPr="0098548A">
        <w:rPr>
          <w:snapToGrid w:val="0"/>
          <w:shd w:val="clear" w:color="auto" w:fill="FFFFFF"/>
        </w:rPr>
        <w:t>In addition to granting</w:t>
      </w:r>
      <w:r w:rsidR="00182F22" w:rsidRPr="0098548A">
        <w:rPr>
          <w:snapToGrid w:val="0"/>
          <w:shd w:val="clear" w:color="auto" w:fill="FFFFFF"/>
        </w:rPr>
        <w:t xml:space="preserve"> </w:t>
      </w:r>
      <w:r w:rsidR="00000CD2" w:rsidRPr="0098548A">
        <w:rPr>
          <w:snapToGrid w:val="0"/>
          <w:shd w:val="clear" w:color="auto" w:fill="FFFFFF"/>
        </w:rPr>
        <w:t xml:space="preserve">emergency licenses and allowing greater flexibility in granting hardship licensure waivers, </w:t>
      </w:r>
      <w:r w:rsidR="00702901" w:rsidRPr="0098548A">
        <w:rPr>
          <w:snapToGrid w:val="0"/>
          <w:shd w:val="clear" w:color="auto" w:fill="FFFFFF"/>
        </w:rPr>
        <w:t>the</w:t>
      </w:r>
      <w:r w:rsidR="00C26C83">
        <w:rPr>
          <w:snapToGrid w:val="0"/>
          <w:shd w:val="clear" w:color="auto" w:fill="FFFFFF"/>
        </w:rPr>
        <w:t xml:space="preserve"> amendments </w:t>
      </w:r>
      <w:r w:rsidR="00476945">
        <w:rPr>
          <w:snapToGrid w:val="0"/>
          <w:shd w:val="clear" w:color="auto" w:fill="FFFFFF"/>
        </w:rPr>
        <w:t xml:space="preserve">to </w:t>
      </w:r>
      <w:r w:rsidR="00476945" w:rsidRPr="0098548A">
        <w:rPr>
          <w:snapToGrid w:val="0"/>
          <w:shd w:val="clear" w:color="auto" w:fill="FFFFFF"/>
        </w:rPr>
        <w:t xml:space="preserve">the Educator Licensure regulations </w:t>
      </w:r>
      <w:r w:rsidR="00476945">
        <w:rPr>
          <w:snapToGrid w:val="0"/>
          <w:shd w:val="clear" w:color="auto" w:fill="FFFFFF"/>
        </w:rPr>
        <w:t xml:space="preserve">that the </w:t>
      </w:r>
      <w:r w:rsidR="00577D39">
        <w:rPr>
          <w:snapToGrid w:val="0"/>
          <w:shd w:val="clear" w:color="auto" w:fill="FFFFFF"/>
        </w:rPr>
        <w:t xml:space="preserve">Board </w:t>
      </w:r>
      <w:r w:rsidR="00C26C83">
        <w:rPr>
          <w:snapToGrid w:val="0"/>
          <w:shd w:val="clear" w:color="auto" w:fill="FFFFFF"/>
        </w:rPr>
        <w:t xml:space="preserve">adopted in November 2020 </w:t>
      </w:r>
      <w:r>
        <w:rPr>
          <w:snapToGrid w:val="0"/>
          <w:shd w:val="clear" w:color="auto" w:fill="FFFFFF"/>
        </w:rPr>
        <w:t xml:space="preserve">and extended in June 2021 </w:t>
      </w:r>
      <w:r w:rsidR="00000CD2" w:rsidRPr="0098548A">
        <w:rPr>
          <w:snapToGrid w:val="0"/>
          <w:shd w:val="clear" w:color="auto" w:fill="FFFFFF"/>
        </w:rPr>
        <w:t>allow</w:t>
      </w:r>
      <w:r w:rsidR="00C26C83">
        <w:rPr>
          <w:snapToGrid w:val="0"/>
          <w:shd w:val="clear" w:color="auto" w:fill="FFFFFF"/>
        </w:rPr>
        <w:t>ed</w:t>
      </w:r>
      <w:r w:rsidR="00000CD2" w:rsidRPr="0098548A">
        <w:rPr>
          <w:snapToGrid w:val="0"/>
          <w:shd w:val="clear" w:color="auto" w:fill="FFFFFF"/>
        </w:rPr>
        <w:t xml:space="preserve"> greater staffing flexibilit</w:t>
      </w:r>
      <w:r w:rsidR="00AD669A">
        <w:rPr>
          <w:snapToGrid w:val="0"/>
          <w:shd w:val="clear" w:color="auto" w:fill="FFFFFF"/>
        </w:rPr>
        <w:t>ies</w:t>
      </w:r>
      <w:r w:rsidR="00000CD2" w:rsidRPr="0098548A">
        <w:rPr>
          <w:snapToGrid w:val="0"/>
          <w:shd w:val="clear" w:color="auto" w:fill="FFFFFF"/>
        </w:rPr>
        <w:t xml:space="preserve"> for the 2020-</w:t>
      </w:r>
      <w:r w:rsidR="007D6711" w:rsidRPr="0098548A">
        <w:rPr>
          <w:snapToGrid w:val="0"/>
          <w:shd w:val="clear" w:color="auto" w:fill="FFFFFF"/>
        </w:rPr>
        <w:t>20</w:t>
      </w:r>
      <w:r w:rsidR="00000CD2" w:rsidRPr="0098548A">
        <w:rPr>
          <w:snapToGrid w:val="0"/>
          <w:shd w:val="clear" w:color="auto" w:fill="FFFFFF"/>
        </w:rPr>
        <w:t>21</w:t>
      </w:r>
      <w:r w:rsidR="00C26C83">
        <w:rPr>
          <w:snapToGrid w:val="0"/>
          <w:shd w:val="clear" w:color="auto" w:fill="FFFFFF"/>
        </w:rPr>
        <w:t xml:space="preserve"> </w:t>
      </w:r>
      <w:r>
        <w:rPr>
          <w:snapToGrid w:val="0"/>
          <w:shd w:val="clear" w:color="auto" w:fill="FFFFFF"/>
        </w:rPr>
        <w:t xml:space="preserve">and 2021-2022 </w:t>
      </w:r>
      <w:r w:rsidR="00000CD2" w:rsidRPr="0098548A">
        <w:rPr>
          <w:snapToGrid w:val="0"/>
          <w:shd w:val="clear" w:color="auto" w:fill="FFFFFF"/>
        </w:rPr>
        <w:t>school year</w:t>
      </w:r>
      <w:r>
        <w:rPr>
          <w:snapToGrid w:val="0"/>
          <w:shd w:val="clear" w:color="auto" w:fill="FFFFFF"/>
        </w:rPr>
        <w:t>s</w:t>
      </w:r>
      <w:r w:rsidR="00496387" w:rsidRPr="0098548A">
        <w:rPr>
          <w:snapToGrid w:val="0"/>
          <w:shd w:val="clear" w:color="auto" w:fill="FFFFFF"/>
        </w:rPr>
        <w:t xml:space="preserve"> in light of the COVID-19 pandemic</w:t>
      </w:r>
      <w:r w:rsidR="00000CD2" w:rsidRPr="0098548A">
        <w:rPr>
          <w:snapToGrid w:val="0"/>
          <w:shd w:val="clear" w:color="auto" w:fill="FFFFFF"/>
        </w:rPr>
        <w:t xml:space="preserve">. </w:t>
      </w:r>
      <w:r w:rsidR="00AD669A">
        <w:rPr>
          <w:snapToGrid w:val="0"/>
          <w:shd w:val="clear" w:color="auto" w:fill="FFFFFF"/>
        </w:rPr>
        <w:t>These additional flexibilities do not apply to certain positions requiring a Special Education, English as a Second Language</w:t>
      </w:r>
      <w:r w:rsidR="00577D39">
        <w:rPr>
          <w:snapToGrid w:val="0"/>
          <w:shd w:val="clear" w:color="auto" w:fill="FFFFFF"/>
        </w:rPr>
        <w:t>,</w:t>
      </w:r>
      <w:r w:rsidR="00AD669A">
        <w:rPr>
          <w:snapToGrid w:val="0"/>
          <w:shd w:val="clear" w:color="auto" w:fill="FFFFFF"/>
        </w:rPr>
        <w:t xml:space="preserve"> or school nurse license. </w:t>
      </w:r>
    </w:p>
    <w:p w14:paraId="22807607" w14:textId="2276F94F" w:rsidR="00000CD2" w:rsidRPr="0098548A" w:rsidRDefault="00000CD2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</w:p>
    <w:p w14:paraId="49470817" w14:textId="166F5E90" w:rsidR="00000CD2" w:rsidRPr="0098548A" w:rsidRDefault="00000CD2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  <w:r w:rsidRPr="0098548A">
        <w:rPr>
          <w:snapToGrid w:val="0"/>
          <w:shd w:val="clear" w:color="auto" w:fill="FFFFFF"/>
        </w:rPr>
        <w:t>The amendments to the regulations ma</w:t>
      </w:r>
      <w:r w:rsidR="00C26C83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e two changes for the </w:t>
      </w:r>
      <w:r w:rsidR="00C26C83">
        <w:rPr>
          <w:snapToGrid w:val="0"/>
          <w:shd w:val="clear" w:color="auto" w:fill="FFFFFF"/>
        </w:rPr>
        <w:t>2020-2021</w:t>
      </w:r>
      <w:r w:rsidR="006A0893">
        <w:rPr>
          <w:snapToGrid w:val="0"/>
          <w:shd w:val="clear" w:color="auto" w:fill="FFFFFF"/>
        </w:rPr>
        <w:t xml:space="preserve"> </w:t>
      </w:r>
      <w:r w:rsidR="00B67ADC">
        <w:rPr>
          <w:snapToGrid w:val="0"/>
          <w:shd w:val="clear" w:color="auto" w:fill="FFFFFF"/>
        </w:rPr>
        <w:t xml:space="preserve">and 2021-2022 </w:t>
      </w:r>
      <w:r w:rsidRPr="0098548A">
        <w:rPr>
          <w:snapToGrid w:val="0"/>
          <w:shd w:val="clear" w:color="auto" w:fill="FFFFFF"/>
        </w:rPr>
        <w:t>school year</w:t>
      </w:r>
      <w:r w:rsidR="0058768A">
        <w:rPr>
          <w:snapToGrid w:val="0"/>
          <w:shd w:val="clear" w:color="auto" w:fill="FFFFFF"/>
        </w:rPr>
        <w:t>s, which would be extended to the 2022-2023 school year under the proposal</w:t>
      </w:r>
      <w:r w:rsidRPr="0098548A">
        <w:rPr>
          <w:snapToGrid w:val="0"/>
          <w:shd w:val="clear" w:color="auto" w:fill="FFFFFF"/>
        </w:rPr>
        <w:t>:</w:t>
      </w:r>
    </w:p>
    <w:p w14:paraId="5AE46D6D" w14:textId="77777777" w:rsidR="00CA39A5" w:rsidRPr="0098548A" w:rsidRDefault="00CA39A5" w:rsidP="00CA39A5">
      <w:pPr>
        <w:rPr>
          <w:szCs w:val="24"/>
          <w:shd w:val="clear" w:color="auto" w:fill="FFFFFF"/>
        </w:rPr>
      </w:pPr>
    </w:p>
    <w:p w14:paraId="720C3A17" w14:textId="5658794F" w:rsidR="00182F22" w:rsidRDefault="00CA39A5" w:rsidP="008A132B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snapToGrid w:val="0"/>
          <w:shd w:val="clear" w:color="auto" w:fill="FFFFFF"/>
        </w:rPr>
      </w:pPr>
      <w:r w:rsidRPr="00136A62">
        <w:rPr>
          <w:snapToGrid w:val="0"/>
          <w:shd w:val="clear" w:color="auto" w:fill="FFFFFF"/>
        </w:rPr>
        <w:t>Increase</w:t>
      </w:r>
      <w:r w:rsidR="00C26C83" w:rsidRPr="00136A62">
        <w:rPr>
          <w:snapToGrid w:val="0"/>
          <w:shd w:val="clear" w:color="auto" w:fill="FFFFFF"/>
        </w:rPr>
        <w:t>d</w:t>
      </w:r>
      <w:r w:rsidRPr="00136A62">
        <w:rPr>
          <w:snapToGrid w:val="0"/>
          <w:shd w:val="clear" w:color="auto" w:fill="FFFFFF"/>
        </w:rPr>
        <w:t xml:space="preserve"> the time </w:t>
      </w:r>
      <w:r w:rsidR="006F5859" w:rsidRPr="00136A62">
        <w:rPr>
          <w:snapToGrid w:val="0"/>
          <w:shd w:val="clear" w:color="auto" w:fill="FFFFFF"/>
        </w:rPr>
        <w:t xml:space="preserve">a teacher is </w:t>
      </w:r>
      <w:r w:rsidRPr="00136A62">
        <w:rPr>
          <w:snapToGrid w:val="0"/>
          <w:shd w:val="clear" w:color="auto" w:fill="FFFFFF"/>
        </w:rPr>
        <w:t xml:space="preserve">allowed to teach “out of field.” </w:t>
      </w:r>
      <w:r w:rsidR="004278EF">
        <w:rPr>
          <w:snapToGrid w:val="0"/>
          <w:shd w:val="clear" w:color="auto" w:fill="FFFFFF"/>
        </w:rPr>
        <w:t>Previously, t</w:t>
      </w:r>
      <w:r w:rsidR="004B14FD" w:rsidRPr="00136A62">
        <w:rPr>
          <w:snapToGrid w:val="0"/>
          <w:shd w:val="clear" w:color="auto" w:fill="FFFFFF"/>
        </w:rPr>
        <w:t xml:space="preserve">he </w:t>
      </w:r>
      <w:r w:rsidR="00C26C83" w:rsidRPr="00136A62">
        <w:rPr>
          <w:snapToGrid w:val="0"/>
          <w:shd w:val="clear" w:color="auto" w:fill="FFFFFF"/>
        </w:rPr>
        <w:t>r</w:t>
      </w:r>
      <w:r w:rsidRPr="00136A62">
        <w:rPr>
          <w:snapToGrid w:val="0"/>
          <w:shd w:val="clear" w:color="auto" w:fill="FFFFFF"/>
        </w:rPr>
        <w:t>egulations (603 CMR 7.15(9)(a)) allow</w:t>
      </w:r>
      <w:r w:rsidR="004B14FD" w:rsidRPr="00136A62">
        <w:rPr>
          <w:snapToGrid w:val="0"/>
          <w:shd w:val="clear" w:color="auto" w:fill="FFFFFF"/>
        </w:rPr>
        <w:t>ed</w:t>
      </w:r>
      <w:r w:rsidRPr="00136A62">
        <w:rPr>
          <w:snapToGrid w:val="0"/>
          <w:shd w:val="clear" w:color="auto" w:fill="FFFFFF"/>
        </w:rPr>
        <w:t xml:space="preserve"> individuals to teach up to 20% of their time outside of their license area</w:t>
      </w:r>
      <w:r w:rsidR="006F5859" w:rsidRPr="00136A62">
        <w:rPr>
          <w:snapToGrid w:val="0"/>
          <w:shd w:val="clear" w:color="auto" w:fill="FFFFFF"/>
        </w:rPr>
        <w:t>. T</w:t>
      </w:r>
      <w:r w:rsidR="00000CD2" w:rsidRPr="00136A62">
        <w:rPr>
          <w:snapToGrid w:val="0"/>
          <w:shd w:val="clear" w:color="auto" w:fill="FFFFFF"/>
        </w:rPr>
        <w:t xml:space="preserve">he </w:t>
      </w:r>
      <w:r w:rsidR="00C26C83" w:rsidRPr="00136A62">
        <w:rPr>
          <w:snapToGrid w:val="0"/>
          <w:shd w:val="clear" w:color="auto" w:fill="FFFFFF"/>
        </w:rPr>
        <w:t>amendment to th</w:t>
      </w:r>
      <w:r w:rsidR="00136A62" w:rsidRPr="00136A62">
        <w:rPr>
          <w:snapToGrid w:val="0"/>
          <w:shd w:val="clear" w:color="auto" w:fill="FFFFFF"/>
        </w:rPr>
        <w:t>is</w:t>
      </w:r>
      <w:r w:rsidR="00C26C83" w:rsidRPr="00136A62">
        <w:rPr>
          <w:snapToGrid w:val="0"/>
          <w:shd w:val="clear" w:color="auto" w:fill="FFFFFF"/>
        </w:rPr>
        <w:t xml:space="preserve"> </w:t>
      </w:r>
      <w:r w:rsidR="00000CD2" w:rsidRPr="00136A62">
        <w:rPr>
          <w:snapToGrid w:val="0"/>
          <w:shd w:val="clear" w:color="auto" w:fill="FFFFFF"/>
        </w:rPr>
        <w:t xml:space="preserve">regulation </w:t>
      </w:r>
      <w:r w:rsidRPr="00136A62">
        <w:rPr>
          <w:snapToGrid w:val="0"/>
          <w:shd w:val="clear" w:color="auto" w:fill="FFFFFF"/>
        </w:rPr>
        <w:t>increase</w:t>
      </w:r>
      <w:r w:rsidR="00C26C83" w:rsidRPr="00136A62">
        <w:rPr>
          <w:snapToGrid w:val="0"/>
          <w:shd w:val="clear" w:color="auto" w:fill="FFFFFF"/>
        </w:rPr>
        <w:t>d</w:t>
      </w:r>
      <w:r w:rsidRPr="00136A62">
        <w:rPr>
          <w:snapToGrid w:val="0"/>
          <w:shd w:val="clear" w:color="auto" w:fill="FFFFFF"/>
        </w:rPr>
        <w:t xml:space="preserve"> this allowable time to 50%. This mean</w:t>
      </w:r>
      <w:r w:rsidR="00C26C83" w:rsidRPr="00136A62">
        <w:rPr>
          <w:snapToGrid w:val="0"/>
          <w:shd w:val="clear" w:color="auto" w:fill="FFFFFF"/>
        </w:rPr>
        <w:t>t</w:t>
      </w:r>
      <w:r w:rsidRPr="00136A62">
        <w:rPr>
          <w:snapToGrid w:val="0"/>
          <w:shd w:val="clear" w:color="auto" w:fill="FFFFFF"/>
        </w:rPr>
        <w:t xml:space="preserve"> licensed educators could spend half of their time </w:t>
      </w:r>
      <w:r w:rsidR="0058768A">
        <w:rPr>
          <w:snapToGrid w:val="0"/>
          <w:shd w:val="clear" w:color="auto" w:fill="FFFFFF"/>
        </w:rPr>
        <w:t xml:space="preserve">teaching </w:t>
      </w:r>
      <w:r w:rsidRPr="00136A62">
        <w:rPr>
          <w:snapToGrid w:val="0"/>
          <w:shd w:val="clear" w:color="auto" w:fill="FFFFFF"/>
        </w:rPr>
        <w:t xml:space="preserve">out of field without needing to secure a waiver. </w:t>
      </w:r>
    </w:p>
    <w:p w14:paraId="6A668CFD" w14:textId="77777777" w:rsidR="00136A62" w:rsidRPr="00136A62" w:rsidRDefault="00136A62" w:rsidP="00136A62">
      <w:pPr>
        <w:pStyle w:val="NormalWeb"/>
        <w:spacing w:before="0" w:beforeAutospacing="0" w:after="0" w:afterAutospacing="0"/>
        <w:ind w:left="720"/>
        <w:textAlignment w:val="baseline"/>
        <w:rPr>
          <w:snapToGrid w:val="0"/>
          <w:shd w:val="clear" w:color="auto" w:fill="FFFFFF"/>
        </w:rPr>
      </w:pPr>
    </w:p>
    <w:p w14:paraId="1AE53976" w14:textId="2CB01701" w:rsidR="00000CD2" w:rsidRPr="00B40D7C" w:rsidRDefault="00CA39A5" w:rsidP="00000CD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/>
          <w:bCs/>
        </w:rPr>
      </w:pPr>
      <w:r w:rsidRPr="0098548A">
        <w:rPr>
          <w:snapToGrid w:val="0"/>
          <w:shd w:val="clear" w:color="auto" w:fill="FFFFFF"/>
        </w:rPr>
        <w:t>Increase</w:t>
      </w:r>
      <w:r w:rsidR="00C26C83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 the length of time an individual can be considered a </w:t>
      </w:r>
      <w:r w:rsidR="001D525B">
        <w:rPr>
          <w:snapToGrid w:val="0"/>
          <w:shd w:val="clear" w:color="auto" w:fill="FFFFFF"/>
        </w:rPr>
        <w:t xml:space="preserve">temporary </w:t>
      </w:r>
      <w:r w:rsidRPr="0098548A">
        <w:rPr>
          <w:snapToGrid w:val="0"/>
          <w:shd w:val="clear" w:color="auto" w:fill="FFFFFF"/>
        </w:rPr>
        <w:t>substitute</w:t>
      </w:r>
      <w:r w:rsidR="001D525B">
        <w:rPr>
          <w:snapToGrid w:val="0"/>
          <w:shd w:val="clear" w:color="auto" w:fill="FFFFFF"/>
        </w:rPr>
        <w:t xml:space="preserve"> teacher</w:t>
      </w:r>
      <w:r w:rsidRPr="0098548A">
        <w:rPr>
          <w:snapToGrid w:val="0"/>
          <w:shd w:val="clear" w:color="auto" w:fill="FFFFFF"/>
        </w:rPr>
        <w:t xml:space="preserve">. </w:t>
      </w:r>
      <w:r w:rsidR="004278EF">
        <w:rPr>
          <w:snapToGrid w:val="0"/>
          <w:shd w:val="clear" w:color="auto" w:fill="FFFFFF"/>
        </w:rPr>
        <w:t>Previously, t</w:t>
      </w:r>
      <w:r w:rsidR="00702901" w:rsidRPr="0098548A">
        <w:rPr>
          <w:snapToGrid w:val="0"/>
          <w:shd w:val="clear" w:color="auto" w:fill="FFFFFF"/>
        </w:rPr>
        <w:t xml:space="preserve">he </w:t>
      </w:r>
      <w:r w:rsidRPr="0098548A">
        <w:rPr>
          <w:snapToGrid w:val="0"/>
          <w:shd w:val="clear" w:color="auto" w:fill="FFFFFF"/>
        </w:rPr>
        <w:t>regulation</w:t>
      </w:r>
      <w:r w:rsidR="004278EF">
        <w:rPr>
          <w:snapToGrid w:val="0"/>
          <w:shd w:val="clear" w:color="auto" w:fill="FFFFFF"/>
        </w:rPr>
        <w:t>s</w:t>
      </w:r>
      <w:r w:rsidRPr="0098548A">
        <w:rPr>
          <w:snapToGrid w:val="0"/>
          <w:shd w:val="clear" w:color="auto" w:fill="FFFFFF"/>
        </w:rPr>
        <w:t xml:space="preserve"> (603 CMR 7.02) require</w:t>
      </w:r>
      <w:r w:rsidR="00702901" w:rsidRPr="0098548A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 that the district secure a </w:t>
      </w:r>
      <w:r w:rsidRPr="0098548A">
        <w:rPr>
          <w:snapToGrid w:val="0"/>
          <w:shd w:val="clear" w:color="auto" w:fill="FFFFFF"/>
        </w:rPr>
        <w:lastRenderedPageBreak/>
        <w:t xml:space="preserve">waiver for individuals in teaching assignments as a substitute </w:t>
      </w:r>
      <w:r w:rsidR="004278EF">
        <w:rPr>
          <w:snapToGrid w:val="0"/>
          <w:shd w:val="clear" w:color="auto" w:fill="FFFFFF"/>
        </w:rPr>
        <w:t xml:space="preserve">teacher </w:t>
      </w:r>
      <w:r w:rsidRPr="0098548A">
        <w:rPr>
          <w:snapToGrid w:val="0"/>
          <w:shd w:val="clear" w:color="auto" w:fill="FFFFFF"/>
        </w:rPr>
        <w:t xml:space="preserve">for more than 90 school days. </w:t>
      </w:r>
      <w:r w:rsidR="00000CD2" w:rsidRPr="0098548A">
        <w:rPr>
          <w:snapToGrid w:val="0"/>
          <w:shd w:val="clear" w:color="auto" w:fill="FFFFFF"/>
        </w:rPr>
        <w:t xml:space="preserve">The amendment </w:t>
      </w:r>
      <w:r w:rsidR="00C26C83">
        <w:rPr>
          <w:snapToGrid w:val="0"/>
          <w:shd w:val="clear" w:color="auto" w:fill="FFFFFF"/>
        </w:rPr>
        <w:t xml:space="preserve">to the regulation </w:t>
      </w:r>
      <w:r w:rsidR="00000CD2" w:rsidRPr="0098548A">
        <w:rPr>
          <w:snapToGrid w:val="0"/>
          <w:shd w:val="clear" w:color="auto" w:fill="FFFFFF"/>
        </w:rPr>
        <w:t>increase</w:t>
      </w:r>
      <w:r w:rsidR="00C26C83">
        <w:rPr>
          <w:snapToGrid w:val="0"/>
          <w:shd w:val="clear" w:color="auto" w:fill="FFFFFF"/>
        </w:rPr>
        <w:t>d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6F5859" w:rsidRPr="0098548A">
        <w:rPr>
          <w:snapToGrid w:val="0"/>
          <w:shd w:val="clear" w:color="auto" w:fill="FFFFFF"/>
        </w:rPr>
        <w:t xml:space="preserve">the permissible </w:t>
      </w:r>
      <w:r w:rsidR="00000CD2" w:rsidRPr="0098548A">
        <w:rPr>
          <w:snapToGrid w:val="0"/>
          <w:shd w:val="clear" w:color="auto" w:fill="FFFFFF"/>
        </w:rPr>
        <w:t xml:space="preserve">time to </w:t>
      </w:r>
      <w:r w:rsidR="0095240D">
        <w:rPr>
          <w:snapToGrid w:val="0"/>
          <w:shd w:val="clear" w:color="auto" w:fill="FFFFFF"/>
        </w:rPr>
        <w:t xml:space="preserve">serve as a substitute teacher to the </w:t>
      </w:r>
      <w:r w:rsidR="00000CD2" w:rsidRPr="0098548A">
        <w:rPr>
          <w:snapToGrid w:val="0"/>
          <w:shd w:val="clear" w:color="auto" w:fill="FFFFFF"/>
        </w:rPr>
        <w:t xml:space="preserve">full school year for </w:t>
      </w:r>
      <w:r w:rsidR="00973872" w:rsidRPr="0098548A">
        <w:rPr>
          <w:snapToGrid w:val="0"/>
          <w:shd w:val="clear" w:color="auto" w:fill="FFFFFF"/>
        </w:rPr>
        <w:t xml:space="preserve">an </w:t>
      </w:r>
      <w:r w:rsidR="00000CD2" w:rsidRPr="0098548A">
        <w:rPr>
          <w:snapToGrid w:val="0"/>
          <w:shd w:val="clear" w:color="auto" w:fill="FFFFFF"/>
        </w:rPr>
        <w:t>individual who hold</w:t>
      </w:r>
      <w:r w:rsidR="00973872" w:rsidRPr="0098548A">
        <w:rPr>
          <w:snapToGrid w:val="0"/>
          <w:shd w:val="clear" w:color="auto" w:fill="FFFFFF"/>
        </w:rPr>
        <w:t>s a</w:t>
      </w:r>
      <w:r w:rsidR="00000CD2" w:rsidRPr="0098548A">
        <w:rPr>
          <w:snapToGrid w:val="0"/>
          <w:shd w:val="clear" w:color="auto" w:fill="FFFFFF"/>
        </w:rPr>
        <w:t xml:space="preserve"> bachelor’s degree. </w:t>
      </w:r>
    </w:p>
    <w:p w14:paraId="24BF5F0C" w14:textId="77777777" w:rsidR="0095240D" w:rsidRDefault="0095240D" w:rsidP="00B40D7C">
      <w:pPr>
        <w:pStyle w:val="ListParagraph"/>
        <w:rPr>
          <w:b/>
          <w:bCs/>
        </w:rPr>
      </w:pPr>
    </w:p>
    <w:p w14:paraId="562A02EF" w14:textId="0AA7D958" w:rsidR="0095240D" w:rsidRPr="00B40D7C" w:rsidRDefault="0095240D" w:rsidP="003D7D95">
      <w:pPr>
        <w:pStyle w:val="NormalWeb"/>
        <w:spacing w:before="0" w:beforeAutospacing="0" w:after="0" w:afterAutospacing="0"/>
        <w:textAlignment w:val="baseline"/>
      </w:pPr>
      <w:r>
        <w:t xml:space="preserve">In addition, and in response to public comment, I am proposing an additional amendment that would allow licensed teachers who serve as substitute teachers </w:t>
      </w:r>
      <w:r w:rsidR="00CB33FE">
        <w:t xml:space="preserve">for a full year </w:t>
      </w:r>
      <w:r>
        <w:t>in area</w:t>
      </w:r>
      <w:r w:rsidR="00CB33FE">
        <w:t>s</w:t>
      </w:r>
      <w:r>
        <w:t xml:space="preserve"> outside their license</w:t>
      </w:r>
      <w:r w:rsidR="00CB33FE">
        <w:t>s</w:t>
      </w:r>
      <w:r>
        <w:t>, who obtain appropriate license</w:t>
      </w:r>
      <w:r w:rsidR="00CB33FE">
        <w:t>s</w:t>
      </w:r>
      <w:r>
        <w:t xml:space="preserve"> by June 30, </w:t>
      </w:r>
      <w:r w:rsidRPr="003D7D95">
        <w:rPr>
          <w:u w:val="single"/>
        </w:rPr>
        <w:t>2023</w:t>
      </w:r>
      <w:r>
        <w:t>, and who go on to serve an additional two years for the same employer</w:t>
      </w:r>
      <w:r w:rsidR="000F067C">
        <w:t>,</w:t>
      </w:r>
      <w:r>
        <w:t xml:space="preserve"> to count the time spent as a substitute teacher toward professional teacher status. </w:t>
      </w:r>
    </w:p>
    <w:p w14:paraId="58D8DD40" w14:textId="77777777" w:rsidR="00B67ADC" w:rsidRDefault="00B67ADC" w:rsidP="00B67ADC">
      <w:pPr>
        <w:pStyle w:val="ListParagraph"/>
        <w:rPr>
          <w:b/>
          <w:bCs/>
        </w:rPr>
      </w:pPr>
    </w:p>
    <w:p w14:paraId="02E651B2" w14:textId="4D127F73" w:rsidR="00B67ADC" w:rsidRDefault="00B67ADC" w:rsidP="00B67ADC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Summary of Public Comment</w:t>
      </w:r>
    </w:p>
    <w:p w14:paraId="59B03000" w14:textId="572E45F1" w:rsidR="00B67ADC" w:rsidRDefault="00B67ADC" w:rsidP="00B67ADC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</w:p>
    <w:p w14:paraId="253E1581" w14:textId="4E67B856" w:rsidR="00B67ADC" w:rsidRPr="00B67ADC" w:rsidRDefault="00B67ADC" w:rsidP="00B67ADC">
      <w:pPr>
        <w:pStyle w:val="NormalWeb"/>
        <w:spacing w:before="0" w:beforeAutospacing="0" w:after="0" w:afterAutospacing="0"/>
        <w:textAlignment w:val="baseline"/>
      </w:pPr>
      <w:r w:rsidRPr="00B67ADC">
        <w:t>The Department received a total of 10 public comments which included feedback from educators</w:t>
      </w:r>
      <w:r w:rsidR="004344AB">
        <w:t>,</w:t>
      </w:r>
      <w:r w:rsidRPr="00B67ADC">
        <w:t xml:space="preserve"> Boston Public Schools</w:t>
      </w:r>
      <w:r w:rsidR="004344AB">
        <w:t>, and</w:t>
      </w:r>
      <w:r w:rsidRPr="00B67ADC">
        <w:t xml:space="preserve"> the Massachusetts Teachers Association (MTA).  Of the comment</w:t>
      </w:r>
      <w:r w:rsidR="004344AB">
        <w:t>s</w:t>
      </w:r>
      <w:r w:rsidRPr="00B67ADC">
        <w:t xml:space="preserve"> received, </w:t>
      </w:r>
      <w:r w:rsidR="004308EC">
        <w:t>most</w:t>
      </w:r>
      <w:r w:rsidR="00251684">
        <w:t xml:space="preserve"> </w:t>
      </w:r>
      <w:r w:rsidR="004308EC">
        <w:t>supported</w:t>
      </w:r>
      <w:r w:rsidR="00251684">
        <w:t xml:space="preserve"> </w:t>
      </w:r>
      <w:r w:rsidRPr="00B67ADC">
        <w:t>the proposal</w:t>
      </w:r>
      <w:r w:rsidR="004308EC">
        <w:t xml:space="preserve">, </w:t>
      </w:r>
      <w:r>
        <w:t>one oppos</w:t>
      </w:r>
      <w:r w:rsidR="004308EC">
        <w:t xml:space="preserve">ed, </w:t>
      </w:r>
      <w:r>
        <w:t>and several comment</w:t>
      </w:r>
      <w:r w:rsidR="004308EC">
        <w:t xml:space="preserve">ed on aspects of </w:t>
      </w:r>
      <w:r>
        <w:t xml:space="preserve">licensure </w:t>
      </w:r>
      <w:r w:rsidR="004308EC">
        <w:t xml:space="preserve">unrelated to the </w:t>
      </w:r>
      <w:r>
        <w:t>propos</w:t>
      </w:r>
      <w:r w:rsidR="004308EC">
        <w:t>ed amendment</w:t>
      </w:r>
      <w:r w:rsidR="00251684">
        <w:t>s</w:t>
      </w:r>
      <w:r>
        <w:t xml:space="preserve">. The enclosed spreadsheet includes the details of the public comment. </w:t>
      </w:r>
    </w:p>
    <w:p w14:paraId="7D8C506A" w14:textId="77777777" w:rsidR="00000CD2" w:rsidRPr="00B67ADC" w:rsidRDefault="00000CD2" w:rsidP="00000CD2">
      <w:pPr>
        <w:pStyle w:val="NormalWeb"/>
        <w:spacing w:before="0" w:beforeAutospacing="0" w:after="0" w:afterAutospacing="0"/>
        <w:textAlignment w:val="baseline"/>
        <w:rPr>
          <w:snapToGrid w:val="0"/>
          <w:shd w:val="clear" w:color="auto" w:fill="FFFFFF"/>
        </w:rPr>
      </w:pPr>
    </w:p>
    <w:p w14:paraId="4B69FB21" w14:textId="334B6F6F" w:rsidR="000B097B" w:rsidRDefault="00A02FFD" w:rsidP="000B097B">
      <w:pPr>
        <w:widowControl/>
      </w:pPr>
      <w:r>
        <w:t xml:space="preserve">We anticipate that districts will continue to face staffing challenges as they focus on providing needed academic and social/emotional supports to </w:t>
      </w:r>
      <w:r w:rsidR="00136A62">
        <w:t>students</w:t>
      </w:r>
      <w:r>
        <w:t xml:space="preserve"> during the 202</w:t>
      </w:r>
      <w:r w:rsidR="00B67ADC">
        <w:t>2</w:t>
      </w:r>
      <w:r>
        <w:t>-202</w:t>
      </w:r>
      <w:r w:rsidR="00B67ADC">
        <w:t>3</w:t>
      </w:r>
      <w:r>
        <w:t xml:space="preserve"> school year</w:t>
      </w:r>
      <w:r w:rsidR="00C0779B">
        <w:t xml:space="preserve">. </w:t>
      </w:r>
      <w:r w:rsidR="00E84C03">
        <w:t xml:space="preserve">Extending this regulation will provide districts with some flexibilities to handle those challenges. </w:t>
      </w:r>
    </w:p>
    <w:p w14:paraId="6100EB53" w14:textId="7B50B5CD" w:rsidR="00E84C03" w:rsidRDefault="00E84C03" w:rsidP="000B097B">
      <w:pPr>
        <w:widowControl/>
        <w:rPr>
          <w:szCs w:val="24"/>
        </w:rPr>
      </w:pPr>
    </w:p>
    <w:p w14:paraId="625B73D4" w14:textId="548934F7" w:rsidR="00E84C03" w:rsidRDefault="00E84C03" w:rsidP="000B097B">
      <w:pPr>
        <w:widowControl/>
        <w:rPr>
          <w:szCs w:val="24"/>
        </w:rPr>
      </w:pPr>
      <w:r>
        <w:rPr>
          <w:szCs w:val="24"/>
        </w:rPr>
        <w:t>At the June 2</w:t>
      </w:r>
      <w:r w:rsidR="00B67ADC">
        <w:rPr>
          <w:szCs w:val="24"/>
        </w:rPr>
        <w:t>8</w:t>
      </w:r>
      <w:r>
        <w:rPr>
          <w:szCs w:val="24"/>
        </w:rPr>
        <w:t>, 202</w:t>
      </w:r>
      <w:r w:rsidR="00B67ADC">
        <w:rPr>
          <w:szCs w:val="24"/>
        </w:rPr>
        <w:t>2</w:t>
      </w:r>
      <w:r>
        <w:rPr>
          <w:szCs w:val="24"/>
        </w:rPr>
        <w:t xml:space="preserve"> Board meeting, Brian Devine, Director of Educator Licensure</w:t>
      </w:r>
      <w:r w:rsidR="00C0779B">
        <w:rPr>
          <w:szCs w:val="24"/>
        </w:rPr>
        <w:t>,</w:t>
      </w:r>
      <w:r>
        <w:rPr>
          <w:szCs w:val="24"/>
        </w:rPr>
        <w:t xml:space="preserve"> and </w:t>
      </w:r>
      <w:r w:rsidR="00B67ADC">
        <w:rPr>
          <w:szCs w:val="24"/>
        </w:rPr>
        <w:t>As</w:t>
      </w:r>
      <w:r>
        <w:rPr>
          <w:szCs w:val="24"/>
        </w:rPr>
        <w:t xml:space="preserve">sistant General Counsel Lucy Wall will be available to answer any questions you may have. </w:t>
      </w:r>
    </w:p>
    <w:p w14:paraId="153A541F" w14:textId="79B9D2FE" w:rsidR="00C26C83" w:rsidRDefault="00C26C83" w:rsidP="000B097B">
      <w:pPr>
        <w:widowControl/>
        <w:rPr>
          <w:szCs w:val="24"/>
        </w:rPr>
      </w:pPr>
    </w:p>
    <w:p w14:paraId="0B22D253" w14:textId="742AEB0D" w:rsidR="00732ED6" w:rsidRDefault="00C26C83" w:rsidP="00136A62">
      <w:pPr>
        <w:rPr>
          <w:rFonts w:eastAsiaTheme="minorHAnsi"/>
          <w:sz w:val="22"/>
          <w:szCs w:val="22"/>
        </w:rPr>
      </w:pPr>
      <w:r>
        <w:t xml:space="preserve">A redlined version of the regulations is attached, along with a motion to </w:t>
      </w:r>
      <w:r w:rsidR="00E84C03">
        <w:t xml:space="preserve">approve </w:t>
      </w:r>
      <w:r>
        <w:t>the proposed amendment</w:t>
      </w:r>
      <w:r w:rsidR="00577D39">
        <w:t>s</w:t>
      </w:r>
      <w:r>
        <w:t xml:space="preserve">. </w:t>
      </w:r>
    </w:p>
    <w:p w14:paraId="201F99BE" w14:textId="77777777" w:rsidR="00732ED6" w:rsidRDefault="00732ED6" w:rsidP="00540742">
      <w:pPr>
        <w:tabs>
          <w:tab w:val="left" w:pos="1080"/>
        </w:tabs>
        <w:rPr>
          <w:szCs w:val="24"/>
        </w:rPr>
      </w:pPr>
    </w:p>
    <w:p w14:paraId="74FCBC21" w14:textId="70EF2F83" w:rsidR="000F4C50" w:rsidRDefault="000F4C50" w:rsidP="009E48C3">
      <w:pPr>
        <w:tabs>
          <w:tab w:val="left" w:pos="1080"/>
        </w:tabs>
        <w:rPr>
          <w:szCs w:val="24"/>
        </w:rPr>
      </w:pPr>
    </w:p>
    <w:p w14:paraId="0BF9EFF6" w14:textId="0131845E" w:rsidR="008C189D" w:rsidRDefault="008C189D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>Enclosure:</w:t>
      </w:r>
      <w:r>
        <w:rPr>
          <w:szCs w:val="24"/>
        </w:rPr>
        <w:tab/>
      </w:r>
      <w:r w:rsidR="004B14FD">
        <w:rPr>
          <w:szCs w:val="24"/>
        </w:rPr>
        <w:tab/>
      </w:r>
      <w:r>
        <w:rPr>
          <w:szCs w:val="24"/>
        </w:rPr>
        <w:t xml:space="preserve">603 CMR 7.00 Strikethrough version of </w:t>
      </w:r>
      <w:r w:rsidR="00127D15">
        <w:rPr>
          <w:szCs w:val="24"/>
        </w:rPr>
        <w:t xml:space="preserve">relevant portion of </w:t>
      </w:r>
      <w:r>
        <w:rPr>
          <w:szCs w:val="24"/>
        </w:rPr>
        <w:t>regulation</w:t>
      </w:r>
      <w:r w:rsidR="006759D6">
        <w:rPr>
          <w:szCs w:val="24"/>
        </w:rPr>
        <w:t>s</w:t>
      </w:r>
      <w:r>
        <w:rPr>
          <w:szCs w:val="24"/>
        </w:rPr>
        <w:t xml:space="preserve"> showing amendments </w:t>
      </w:r>
    </w:p>
    <w:p w14:paraId="109205AB" w14:textId="4F24C0FC" w:rsidR="00F7466A" w:rsidRDefault="00F7466A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Summary of public comment</w:t>
      </w:r>
    </w:p>
    <w:p w14:paraId="261EEFB2" w14:textId="643C5AF0" w:rsidR="00D2286A" w:rsidRDefault="00D2286A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Motion </w:t>
      </w:r>
    </w:p>
    <w:p w14:paraId="01B57687" w14:textId="6B217CF5" w:rsidR="00973872" w:rsidRPr="007823F4" w:rsidRDefault="00973872" w:rsidP="007823F4"/>
    <w:sectPr w:rsidR="00973872" w:rsidRPr="007823F4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B5045" w14:textId="77777777" w:rsidR="00586982" w:rsidRDefault="00586982" w:rsidP="00C035EC">
      <w:r>
        <w:separator/>
      </w:r>
    </w:p>
  </w:endnote>
  <w:endnote w:type="continuationSeparator" w:id="0">
    <w:p w14:paraId="56C1AE95" w14:textId="77777777" w:rsidR="00586982" w:rsidRDefault="00586982" w:rsidP="00C035EC">
      <w:r>
        <w:continuationSeparator/>
      </w:r>
    </w:p>
  </w:endnote>
  <w:endnote w:type="continuationNotice" w:id="1">
    <w:p w14:paraId="1C689BB1" w14:textId="77777777" w:rsidR="00586982" w:rsidRDefault="00586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4914FFF2" w:rsidR="008E63AA" w:rsidRDefault="008E63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8E63AA" w:rsidRDefault="008E6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E0310" w14:textId="77777777" w:rsidR="00586982" w:rsidRDefault="00586982" w:rsidP="00C035EC">
      <w:r>
        <w:separator/>
      </w:r>
    </w:p>
  </w:footnote>
  <w:footnote w:type="continuationSeparator" w:id="0">
    <w:p w14:paraId="6AA71051" w14:textId="77777777" w:rsidR="00586982" w:rsidRDefault="00586982" w:rsidP="00C035EC">
      <w:r>
        <w:continuationSeparator/>
      </w:r>
    </w:p>
  </w:footnote>
  <w:footnote w:type="continuationNotice" w:id="1">
    <w:p w14:paraId="32269CA7" w14:textId="77777777" w:rsidR="00586982" w:rsidRDefault="005869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0A7"/>
    <w:multiLevelType w:val="hybridMultilevel"/>
    <w:tmpl w:val="03D2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15C"/>
    <w:multiLevelType w:val="hybridMultilevel"/>
    <w:tmpl w:val="C19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9FA"/>
    <w:multiLevelType w:val="hybridMultilevel"/>
    <w:tmpl w:val="8F3A3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26EB7"/>
    <w:multiLevelType w:val="hybridMultilevel"/>
    <w:tmpl w:val="3DF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7E0F"/>
    <w:multiLevelType w:val="hybridMultilevel"/>
    <w:tmpl w:val="26A260EE"/>
    <w:lvl w:ilvl="0" w:tplc="1046924E">
      <w:start w:val="1"/>
      <w:numFmt w:val="lowerLetter"/>
      <w:lvlText w:val="(%1)"/>
      <w:lvlJc w:val="left"/>
      <w:pPr>
        <w:ind w:left="720" w:hanging="360"/>
      </w:pPr>
      <w:rPr>
        <w:rFonts w:eastAsia="Times New Roman"/>
        <w:b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1079"/>
    <w:multiLevelType w:val="hybridMultilevel"/>
    <w:tmpl w:val="203CEEAC"/>
    <w:lvl w:ilvl="0" w:tplc="740C7AD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C7AB8"/>
    <w:multiLevelType w:val="multilevel"/>
    <w:tmpl w:val="79D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3060F"/>
    <w:multiLevelType w:val="hybridMultilevel"/>
    <w:tmpl w:val="3488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F0B4C"/>
    <w:multiLevelType w:val="hybridMultilevel"/>
    <w:tmpl w:val="2952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A187F"/>
    <w:multiLevelType w:val="multilevel"/>
    <w:tmpl w:val="0D1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374A3"/>
    <w:multiLevelType w:val="hybridMultilevel"/>
    <w:tmpl w:val="63A2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45A19"/>
    <w:multiLevelType w:val="hybridMultilevel"/>
    <w:tmpl w:val="BB5667D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6F77"/>
    <w:multiLevelType w:val="hybridMultilevel"/>
    <w:tmpl w:val="27D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14A3"/>
    <w:multiLevelType w:val="hybridMultilevel"/>
    <w:tmpl w:val="E2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89"/>
    <w:rsid w:val="00000CD2"/>
    <w:rsid w:val="00000E97"/>
    <w:rsid w:val="00005224"/>
    <w:rsid w:val="00007576"/>
    <w:rsid w:val="0001581A"/>
    <w:rsid w:val="00025507"/>
    <w:rsid w:val="0003291C"/>
    <w:rsid w:val="00033FFD"/>
    <w:rsid w:val="00041CA1"/>
    <w:rsid w:val="0005637E"/>
    <w:rsid w:val="000A30E1"/>
    <w:rsid w:val="000A41E3"/>
    <w:rsid w:val="000B097B"/>
    <w:rsid w:val="000D4CD8"/>
    <w:rsid w:val="000D6102"/>
    <w:rsid w:val="000E0994"/>
    <w:rsid w:val="000F03D6"/>
    <w:rsid w:val="000F067C"/>
    <w:rsid w:val="000F33AD"/>
    <w:rsid w:val="000F4C50"/>
    <w:rsid w:val="000F7C6D"/>
    <w:rsid w:val="001006AE"/>
    <w:rsid w:val="00100CF0"/>
    <w:rsid w:val="001172BB"/>
    <w:rsid w:val="001176D7"/>
    <w:rsid w:val="00117C07"/>
    <w:rsid w:val="00125E87"/>
    <w:rsid w:val="00126EAC"/>
    <w:rsid w:val="00126EE6"/>
    <w:rsid w:val="00127D15"/>
    <w:rsid w:val="00134832"/>
    <w:rsid w:val="00136A62"/>
    <w:rsid w:val="00142441"/>
    <w:rsid w:val="00143F61"/>
    <w:rsid w:val="001520D0"/>
    <w:rsid w:val="00153677"/>
    <w:rsid w:val="0015761B"/>
    <w:rsid w:val="0016593F"/>
    <w:rsid w:val="00175D27"/>
    <w:rsid w:val="00180489"/>
    <w:rsid w:val="00182F22"/>
    <w:rsid w:val="001B7559"/>
    <w:rsid w:val="001D40EA"/>
    <w:rsid w:val="001D525B"/>
    <w:rsid w:val="001E2677"/>
    <w:rsid w:val="001E2825"/>
    <w:rsid w:val="001F32D2"/>
    <w:rsid w:val="001F611F"/>
    <w:rsid w:val="001F6FE0"/>
    <w:rsid w:val="00201172"/>
    <w:rsid w:val="00207447"/>
    <w:rsid w:val="00221176"/>
    <w:rsid w:val="00233ED0"/>
    <w:rsid w:val="00235A79"/>
    <w:rsid w:val="00236E96"/>
    <w:rsid w:val="00237451"/>
    <w:rsid w:val="00244AB2"/>
    <w:rsid w:val="00247B6F"/>
    <w:rsid w:val="00251684"/>
    <w:rsid w:val="002576AC"/>
    <w:rsid w:val="002924C6"/>
    <w:rsid w:val="0029457F"/>
    <w:rsid w:val="00295164"/>
    <w:rsid w:val="002A35DE"/>
    <w:rsid w:val="002A3E22"/>
    <w:rsid w:val="002A4E62"/>
    <w:rsid w:val="002A675C"/>
    <w:rsid w:val="002B09DC"/>
    <w:rsid w:val="002B4B10"/>
    <w:rsid w:val="002B4D5A"/>
    <w:rsid w:val="002C0CF9"/>
    <w:rsid w:val="002D591B"/>
    <w:rsid w:val="002F5424"/>
    <w:rsid w:val="00320574"/>
    <w:rsid w:val="00321310"/>
    <w:rsid w:val="00335268"/>
    <w:rsid w:val="00336E9A"/>
    <w:rsid w:val="003423E0"/>
    <w:rsid w:val="0035478D"/>
    <w:rsid w:val="00357176"/>
    <w:rsid w:val="003769E4"/>
    <w:rsid w:val="00386F73"/>
    <w:rsid w:val="003953C8"/>
    <w:rsid w:val="003A0987"/>
    <w:rsid w:val="003A67D4"/>
    <w:rsid w:val="003B1B89"/>
    <w:rsid w:val="003D36A2"/>
    <w:rsid w:val="003D4FFA"/>
    <w:rsid w:val="003D7D95"/>
    <w:rsid w:val="003E17A9"/>
    <w:rsid w:val="003F1A5E"/>
    <w:rsid w:val="003F32F0"/>
    <w:rsid w:val="003F7809"/>
    <w:rsid w:val="00401C77"/>
    <w:rsid w:val="00403319"/>
    <w:rsid w:val="00407D7F"/>
    <w:rsid w:val="0041210C"/>
    <w:rsid w:val="004121A1"/>
    <w:rsid w:val="004211C4"/>
    <w:rsid w:val="004278EF"/>
    <w:rsid w:val="004308EC"/>
    <w:rsid w:val="004344AB"/>
    <w:rsid w:val="00460D49"/>
    <w:rsid w:val="00464514"/>
    <w:rsid w:val="004658A7"/>
    <w:rsid w:val="00466A21"/>
    <w:rsid w:val="00476945"/>
    <w:rsid w:val="00477017"/>
    <w:rsid w:val="00481645"/>
    <w:rsid w:val="0048493C"/>
    <w:rsid w:val="00496387"/>
    <w:rsid w:val="004A0B3D"/>
    <w:rsid w:val="004A7BA4"/>
    <w:rsid w:val="004B14FD"/>
    <w:rsid w:val="004B6832"/>
    <w:rsid w:val="004C246F"/>
    <w:rsid w:val="004C2DFB"/>
    <w:rsid w:val="004C3895"/>
    <w:rsid w:val="004E4D59"/>
    <w:rsid w:val="004E5697"/>
    <w:rsid w:val="004F5D49"/>
    <w:rsid w:val="004F630D"/>
    <w:rsid w:val="00511960"/>
    <w:rsid w:val="0051205B"/>
    <w:rsid w:val="0051288C"/>
    <w:rsid w:val="00514D8F"/>
    <w:rsid w:val="005324F3"/>
    <w:rsid w:val="00532976"/>
    <w:rsid w:val="00533DFA"/>
    <w:rsid w:val="00540742"/>
    <w:rsid w:val="00541B7C"/>
    <w:rsid w:val="005430E2"/>
    <w:rsid w:val="005477E7"/>
    <w:rsid w:val="0055422A"/>
    <w:rsid w:val="00555751"/>
    <w:rsid w:val="00571666"/>
    <w:rsid w:val="00572016"/>
    <w:rsid w:val="00577D39"/>
    <w:rsid w:val="00586201"/>
    <w:rsid w:val="00586982"/>
    <w:rsid w:val="0058768A"/>
    <w:rsid w:val="005A2518"/>
    <w:rsid w:val="005A4FF4"/>
    <w:rsid w:val="005B32EF"/>
    <w:rsid w:val="005B7179"/>
    <w:rsid w:val="005B72E3"/>
    <w:rsid w:val="005B7EF2"/>
    <w:rsid w:val="005C0CF7"/>
    <w:rsid w:val="005C1013"/>
    <w:rsid w:val="005C4536"/>
    <w:rsid w:val="005D4069"/>
    <w:rsid w:val="005D64B7"/>
    <w:rsid w:val="005E1B87"/>
    <w:rsid w:val="005E1D1B"/>
    <w:rsid w:val="005E3535"/>
    <w:rsid w:val="005E4B20"/>
    <w:rsid w:val="005F137E"/>
    <w:rsid w:val="00600770"/>
    <w:rsid w:val="00607B6D"/>
    <w:rsid w:val="006171A2"/>
    <w:rsid w:val="00622452"/>
    <w:rsid w:val="00622BFB"/>
    <w:rsid w:val="00635070"/>
    <w:rsid w:val="00635C45"/>
    <w:rsid w:val="00646DBB"/>
    <w:rsid w:val="00655D52"/>
    <w:rsid w:val="006569F5"/>
    <w:rsid w:val="00663115"/>
    <w:rsid w:val="006704AD"/>
    <w:rsid w:val="00671299"/>
    <w:rsid w:val="0067165D"/>
    <w:rsid w:val="00671C9C"/>
    <w:rsid w:val="006726BB"/>
    <w:rsid w:val="006759D6"/>
    <w:rsid w:val="00675CEE"/>
    <w:rsid w:val="00685FF9"/>
    <w:rsid w:val="006871D3"/>
    <w:rsid w:val="006A0893"/>
    <w:rsid w:val="006A1A75"/>
    <w:rsid w:val="006B1C62"/>
    <w:rsid w:val="006B532E"/>
    <w:rsid w:val="006E18AC"/>
    <w:rsid w:val="006E2F0C"/>
    <w:rsid w:val="006F5859"/>
    <w:rsid w:val="00702901"/>
    <w:rsid w:val="00703F99"/>
    <w:rsid w:val="007069FB"/>
    <w:rsid w:val="00711B3D"/>
    <w:rsid w:val="00732ED6"/>
    <w:rsid w:val="007337FB"/>
    <w:rsid w:val="00733E3B"/>
    <w:rsid w:val="00742EAC"/>
    <w:rsid w:val="00742FD7"/>
    <w:rsid w:val="00761FD8"/>
    <w:rsid w:val="007732FB"/>
    <w:rsid w:val="007823F4"/>
    <w:rsid w:val="0079642C"/>
    <w:rsid w:val="007C3CD1"/>
    <w:rsid w:val="007D6711"/>
    <w:rsid w:val="007E36FB"/>
    <w:rsid w:val="007E4576"/>
    <w:rsid w:val="007E59C7"/>
    <w:rsid w:val="008043E2"/>
    <w:rsid w:val="00811F45"/>
    <w:rsid w:val="00813908"/>
    <w:rsid w:val="00815200"/>
    <w:rsid w:val="00825A79"/>
    <w:rsid w:val="00840D60"/>
    <w:rsid w:val="0086444E"/>
    <w:rsid w:val="008812B6"/>
    <w:rsid w:val="008A132B"/>
    <w:rsid w:val="008B0537"/>
    <w:rsid w:val="008B07DB"/>
    <w:rsid w:val="008B4DA7"/>
    <w:rsid w:val="008C189D"/>
    <w:rsid w:val="008C238A"/>
    <w:rsid w:val="008D2984"/>
    <w:rsid w:val="008D4FA6"/>
    <w:rsid w:val="008E63AA"/>
    <w:rsid w:val="008E6DD8"/>
    <w:rsid w:val="008F7C7C"/>
    <w:rsid w:val="00906319"/>
    <w:rsid w:val="00913FFE"/>
    <w:rsid w:val="00923FD7"/>
    <w:rsid w:val="00930959"/>
    <w:rsid w:val="00934E19"/>
    <w:rsid w:val="0095240D"/>
    <w:rsid w:val="00962159"/>
    <w:rsid w:val="00973872"/>
    <w:rsid w:val="0098548A"/>
    <w:rsid w:val="00995D0E"/>
    <w:rsid w:val="009A2B7A"/>
    <w:rsid w:val="009B2C15"/>
    <w:rsid w:val="009B7141"/>
    <w:rsid w:val="009C6970"/>
    <w:rsid w:val="009D13E7"/>
    <w:rsid w:val="009E48C3"/>
    <w:rsid w:val="009E6F02"/>
    <w:rsid w:val="009F644E"/>
    <w:rsid w:val="00A02FFD"/>
    <w:rsid w:val="00A03C14"/>
    <w:rsid w:val="00A07554"/>
    <w:rsid w:val="00A13E66"/>
    <w:rsid w:val="00A1426D"/>
    <w:rsid w:val="00A20194"/>
    <w:rsid w:val="00A20533"/>
    <w:rsid w:val="00A21322"/>
    <w:rsid w:val="00A217CB"/>
    <w:rsid w:val="00A23D09"/>
    <w:rsid w:val="00A32B59"/>
    <w:rsid w:val="00A36BEF"/>
    <w:rsid w:val="00A37911"/>
    <w:rsid w:val="00A51F3F"/>
    <w:rsid w:val="00A55860"/>
    <w:rsid w:val="00A67286"/>
    <w:rsid w:val="00A70FE3"/>
    <w:rsid w:val="00A747D2"/>
    <w:rsid w:val="00A7681B"/>
    <w:rsid w:val="00AA06CF"/>
    <w:rsid w:val="00AB00A7"/>
    <w:rsid w:val="00AB77CB"/>
    <w:rsid w:val="00AC36CB"/>
    <w:rsid w:val="00AD669A"/>
    <w:rsid w:val="00AE28E9"/>
    <w:rsid w:val="00AE4248"/>
    <w:rsid w:val="00B12206"/>
    <w:rsid w:val="00B15E7C"/>
    <w:rsid w:val="00B24161"/>
    <w:rsid w:val="00B34968"/>
    <w:rsid w:val="00B40D7C"/>
    <w:rsid w:val="00B433C2"/>
    <w:rsid w:val="00B43B8E"/>
    <w:rsid w:val="00B57A5B"/>
    <w:rsid w:val="00B57BFE"/>
    <w:rsid w:val="00B63A0B"/>
    <w:rsid w:val="00B670AA"/>
    <w:rsid w:val="00B67ADC"/>
    <w:rsid w:val="00B7275E"/>
    <w:rsid w:val="00B80280"/>
    <w:rsid w:val="00B90DBF"/>
    <w:rsid w:val="00B923E3"/>
    <w:rsid w:val="00B97673"/>
    <w:rsid w:val="00BB2979"/>
    <w:rsid w:val="00BB345B"/>
    <w:rsid w:val="00BB5527"/>
    <w:rsid w:val="00BC7AC3"/>
    <w:rsid w:val="00BD3C18"/>
    <w:rsid w:val="00BF6D12"/>
    <w:rsid w:val="00C035EC"/>
    <w:rsid w:val="00C0779B"/>
    <w:rsid w:val="00C2557D"/>
    <w:rsid w:val="00C26C83"/>
    <w:rsid w:val="00C414DB"/>
    <w:rsid w:val="00C45AF6"/>
    <w:rsid w:val="00C62072"/>
    <w:rsid w:val="00C6241F"/>
    <w:rsid w:val="00C62E3B"/>
    <w:rsid w:val="00C63845"/>
    <w:rsid w:val="00C71DEC"/>
    <w:rsid w:val="00C74CD3"/>
    <w:rsid w:val="00C92396"/>
    <w:rsid w:val="00C974A6"/>
    <w:rsid w:val="00CA39A5"/>
    <w:rsid w:val="00CA4857"/>
    <w:rsid w:val="00CA4A61"/>
    <w:rsid w:val="00CA71C0"/>
    <w:rsid w:val="00CB33FE"/>
    <w:rsid w:val="00CC04F6"/>
    <w:rsid w:val="00CD5024"/>
    <w:rsid w:val="00CE2C60"/>
    <w:rsid w:val="00CF04D6"/>
    <w:rsid w:val="00CF0E0C"/>
    <w:rsid w:val="00D141D8"/>
    <w:rsid w:val="00D1782C"/>
    <w:rsid w:val="00D2286A"/>
    <w:rsid w:val="00D23368"/>
    <w:rsid w:val="00D33426"/>
    <w:rsid w:val="00D37A49"/>
    <w:rsid w:val="00D41035"/>
    <w:rsid w:val="00D456B8"/>
    <w:rsid w:val="00D6663E"/>
    <w:rsid w:val="00D66E08"/>
    <w:rsid w:val="00D73B50"/>
    <w:rsid w:val="00D8139B"/>
    <w:rsid w:val="00DA39E7"/>
    <w:rsid w:val="00DD5012"/>
    <w:rsid w:val="00DE1F4E"/>
    <w:rsid w:val="00DF6568"/>
    <w:rsid w:val="00E0390D"/>
    <w:rsid w:val="00E137D2"/>
    <w:rsid w:val="00E27427"/>
    <w:rsid w:val="00E30242"/>
    <w:rsid w:val="00E3576A"/>
    <w:rsid w:val="00E62791"/>
    <w:rsid w:val="00E77FAD"/>
    <w:rsid w:val="00E84C03"/>
    <w:rsid w:val="00E90798"/>
    <w:rsid w:val="00E934FB"/>
    <w:rsid w:val="00E94EC0"/>
    <w:rsid w:val="00E970F0"/>
    <w:rsid w:val="00EA51D0"/>
    <w:rsid w:val="00EB0B52"/>
    <w:rsid w:val="00EC366D"/>
    <w:rsid w:val="00EE0A55"/>
    <w:rsid w:val="00EF6950"/>
    <w:rsid w:val="00F023ED"/>
    <w:rsid w:val="00F03385"/>
    <w:rsid w:val="00F0762F"/>
    <w:rsid w:val="00F231A0"/>
    <w:rsid w:val="00F25840"/>
    <w:rsid w:val="00F50107"/>
    <w:rsid w:val="00F64E5F"/>
    <w:rsid w:val="00F72AED"/>
    <w:rsid w:val="00F7466A"/>
    <w:rsid w:val="00F76E32"/>
    <w:rsid w:val="00F8612D"/>
    <w:rsid w:val="00F867A2"/>
    <w:rsid w:val="00F878C5"/>
    <w:rsid w:val="00F94795"/>
    <w:rsid w:val="00FA7A15"/>
    <w:rsid w:val="00FB1CCF"/>
    <w:rsid w:val="00FB4338"/>
    <w:rsid w:val="00FB6DE7"/>
    <w:rsid w:val="00FC350C"/>
    <w:rsid w:val="00FC791D"/>
    <w:rsid w:val="00FD39BC"/>
    <w:rsid w:val="00FE1D8D"/>
    <w:rsid w:val="00FF29B4"/>
    <w:rsid w:val="00FF7A58"/>
    <w:rsid w:val="1C9215B8"/>
    <w:rsid w:val="7E12D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0F10"/>
  <w15:docId w15:val="{6687C635-E94C-409E-BD64-B1664367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5EC"/>
    <w:rPr>
      <w:snapToGrid w:val="0"/>
      <w:sz w:val="24"/>
    </w:rPr>
  </w:style>
  <w:style w:type="character" w:customStyle="1" w:styleId="normaltextrun1">
    <w:name w:val="normaltextrun1"/>
    <w:basedOn w:val="DefaultParagraphFont"/>
    <w:rsid w:val="00A51F3F"/>
  </w:style>
  <w:style w:type="character" w:styleId="Hyperlink">
    <w:name w:val="Hyperlink"/>
    <w:basedOn w:val="DefaultParagraphFont"/>
    <w:uiPriority w:val="99"/>
    <w:unhideWhenUsed/>
    <w:rsid w:val="00FB1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39A5"/>
    <w:pPr>
      <w:widowControl/>
      <w:spacing w:before="100" w:beforeAutospacing="1" w:after="100" w:afterAutospacing="1"/>
    </w:pPr>
    <w:rPr>
      <w:snapToGrid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7E36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36FB"/>
    <w:rPr>
      <w:snapToGrid w:val="0"/>
    </w:rPr>
  </w:style>
  <w:style w:type="paragraph" w:styleId="Revision">
    <w:name w:val="Revision"/>
    <w:hidden/>
    <w:uiPriority w:val="99"/>
    <w:semiHidden/>
    <w:rsid w:val="00126EAC"/>
    <w:rPr>
      <w:snapToGrid w:val="0"/>
      <w:sz w:val="24"/>
    </w:rPr>
  </w:style>
  <w:style w:type="paragraph" w:customStyle="1" w:styleId="paragraph">
    <w:name w:val="paragraph"/>
    <w:basedOn w:val="Normal"/>
    <w:rsid w:val="009E6F0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9E6F02"/>
  </w:style>
  <w:style w:type="character" w:customStyle="1" w:styleId="eop">
    <w:name w:val="eop"/>
    <w:basedOn w:val="DefaultParagraphFont"/>
    <w:rsid w:val="009E6F02"/>
  </w:style>
  <w:style w:type="character" w:customStyle="1" w:styleId="tabchar">
    <w:name w:val="tabchar"/>
    <w:basedOn w:val="DefaultParagraphFont"/>
    <w:rsid w:val="009E6F02"/>
  </w:style>
  <w:style w:type="character" w:customStyle="1" w:styleId="scxw60561383">
    <w:name w:val="scxw60561383"/>
    <w:basedOn w:val="DefaultParagraphFont"/>
    <w:rsid w:val="009E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7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2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75208A-E6C0-4EF0-A3CD-39913D767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57C9A-6C01-4161-AE80-81CF82368A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41CB7-2443-4F17-B902-72307BC32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AF13E-B5A5-4CC9-9C1C-DF765012008C}">
  <ds:schemaRefs>
    <ds:schemaRef ds:uri="http://schemas.microsoft.com/office/2006/metadata/properties"/>
    <ds:schemaRef ds:uri="http://schemas.microsoft.com/office/infopath/2007/PartnerControls"/>
    <ds:schemaRef ds:uri="7a12eb2f-f040-4639-9fb2-5a6588dc8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2022 Item 2: 2.	Amendment to Educator Licensure Regulations, 603 CMR 7.00 (Staffing Flexibilities for 2022-2023)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2022 Item 2: Amendment to Educator Licensure Regulations, 603 CMR 7.00 (Staffing Flexibilities for 2022-2023)</dc:title>
  <dc:subject/>
  <dc:creator>DESE</dc:creator>
  <cp:keywords/>
  <cp:lastModifiedBy>Zou, Dong (EOE)</cp:lastModifiedBy>
  <cp:revision>9</cp:revision>
  <cp:lastPrinted>2020-11-04T12:17:00Z</cp:lastPrinted>
  <dcterms:created xsi:type="dcterms:W3CDTF">2022-06-17T17:13:00Z</dcterms:created>
  <dcterms:modified xsi:type="dcterms:W3CDTF">2022-06-23T18:00:00Z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2022</vt:lpwstr>
  </property>
</Properties>
</file>