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7D39A" w14:textId="5024B6CA" w:rsidR="00C95ABD" w:rsidRPr="001A0DBD" w:rsidRDefault="00C95ABD" w:rsidP="005E263E">
      <w:pPr>
        <w:pStyle w:val="Title"/>
        <w:pBdr>
          <w:bottom w:val="single" w:sz="4" w:space="1" w:color="auto"/>
        </w:pBdr>
        <w:spacing w:after="240" w:line="276" w:lineRule="auto"/>
        <w:rPr>
          <w:rFonts w:asciiTheme="minorHAnsi" w:hAnsiTheme="minorHAnsi" w:cstheme="minorHAnsi"/>
          <w:sz w:val="28"/>
        </w:rPr>
      </w:pPr>
      <w:bookmarkStart w:id="0" w:name="OLE_LINK1"/>
      <w:bookmarkStart w:id="1" w:name="OLE_LINK2"/>
      <w:r w:rsidRPr="001A0DBD">
        <w:rPr>
          <w:rFonts w:asciiTheme="minorHAnsi" w:hAnsiTheme="minorHAnsi" w:cstheme="minorHAnsi"/>
          <w:sz w:val="28"/>
        </w:rPr>
        <w:t>Summary of Public Comment</w:t>
      </w:r>
      <w:r w:rsidR="001A0DBD" w:rsidRPr="001A0DBD">
        <w:rPr>
          <w:rFonts w:asciiTheme="minorHAnsi" w:hAnsiTheme="minorHAnsi" w:cstheme="minorHAnsi"/>
          <w:sz w:val="28"/>
        </w:rPr>
        <w:t>s</w:t>
      </w:r>
      <w:r w:rsidRPr="001A0DBD">
        <w:rPr>
          <w:rFonts w:asciiTheme="minorHAnsi" w:hAnsiTheme="minorHAnsi" w:cstheme="minorHAnsi"/>
          <w:sz w:val="28"/>
        </w:rPr>
        <w:t xml:space="preserve"> on Proposed Amendments to Accountability Regulations (603 CMR 2.00: </w:t>
      </w:r>
      <w:r w:rsidRPr="001A0DBD">
        <w:rPr>
          <w:rFonts w:asciiTheme="minorHAnsi" w:hAnsiTheme="minorHAnsi" w:cstheme="minorHAnsi"/>
          <w:i/>
          <w:sz w:val="28"/>
        </w:rPr>
        <w:t>Accountability and Assistance for School Districts and Schools</w:t>
      </w:r>
      <w:r w:rsidRPr="001A0DBD">
        <w:rPr>
          <w:rFonts w:asciiTheme="minorHAnsi" w:hAnsiTheme="minorHAnsi" w:cstheme="minorHAnsi"/>
          <w:sz w:val="28"/>
        </w:rPr>
        <w:t>)</w:t>
      </w:r>
    </w:p>
    <w:bookmarkEnd w:id="0"/>
    <w:bookmarkEnd w:id="1"/>
    <w:p w14:paraId="6F1D7BE8" w14:textId="474A470C" w:rsidR="00C95ABD" w:rsidRDefault="00C95ABD" w:rsidP="005E263E">
      <w:pPr>
        <w:spacing w:after="240"/>
        <w:rPr>
          <w:rFonts w:asciiTheme="minorHAnsi" w:hAnsiTheme="minorHAnsi" w:cstheme="minorHAnsi"/>
        </w:rPr>
      </w:pPr>
      <w:r w:rsidRPr="00CF74EB">
        <w:rPr>
          <w:rFonts w:asciiTheme="minorHAnsi" w:hAnsiTheme="minorHAnsi" w:cstheme="minorHAnsi"/>
          <w:b/>
        </w:rPr>
        <w:t>Source:</w:t>
      </w:r>
      <w:r w:rsidRPr="00CD1570">
        <w:rPr>
          <w:rFonts w:asciiTheme="minorHAnsi" w:hAnsiTheme="minorHAnsi" w:cstheme="minorHAnsi"/>
        </w:rPr>
        <w:t xml:space="preserve"> Correspondence received </w:t>
      </w:r>
      <w:r w:rsidR="009E2984">
        <w:rPr>
          <w:rFonts w:asciiTheme="minorHAnsi" w:hAnsiTheme="minorHAnsi" w:cstheme="minorHAnsi"/>
        </w:rPr>
        <w:t>via</w:t>
      </w:r>
      <w:r w:rsidRPr="00CD1570">
        <w:rPr>
          <w:rFonts w:asciiTheme="minorHAnsi" w:hAnsiTheme="minorHAnsi" w:cstheme="minorHAnsi"/>
        </w:rPr>
        <w:t xml:space="preserve"> email (8)</w:t>
      </w:r>
      <w:r w:rsidR="00BA0AE5" w:rsidRPr="00CD1570">
        <w:rPr>
          <w:rFonts w:asciiTheme="minorHAnsi" w:hAnsiTheme="minorHAnsi" w:cstheme="minorHAnsi"/>
        </w:rPr>
        <w:t>, March 2</w:t>
      </w:r>
      <w:r w:rsidR="00C016B9">
        <w:rPr>
          <w:rFonts w:asciiTheme="minorHAnsi" w:hAnsiTheme="minorHAnsi" w:cstheme="minorHAnsi"/>
        </w:rPr>
        <w:t>2</w:t>
      </w:r>
      <w:r w:rsidR="00BA0AE5" w:rsidRPr="00CD1570">
        <w:rPr>
          <w:rFonts w:asciiTheme="minorHAnsi" w:hAnsiTheme="minorHAnsi" w:cstheme="minorHAnsi"/>
        </w:rPr>
        <w:t>, 20</w:t>
      </w:r>
      <w:r w:rsidR="00C016B9">
        <w:rPr>
          <w:rFonts w:asciiTheme="minorHAnsi" w:hAnsiTheme="minorHAnsi" w:cstheme="minorHAnsi"/>
        </w:rPr>
        <w:t>22</w:t>
      </w:r>
      <w:r w:rsidR="00BA0AE5" w:rsidRPr="00CD1570">
        <w:rPr>
          <w:rFonts w:asciiTheme="minorHAnsi" w:hAnsiTheme="minorHAnsi" w:cstheme="minorHAnsi"/>
        </w:rPr>
        <w:t xml:space="preserve"> – May </w:t>
      </w:r>
      <w:r w:rsidR="00C016B9">
        <w:rPr>
          <w:rFonts w:asciiTheme="minorHAnsi" w:hAnsiTheme="minorHAnsi" w:cstheme="minorHAnsi"/>
        </w:rPr>
        <w:t>27</w:t>
      </w:r>
      <w:r w:rsidR="00BA0AE5" w:rsidRPr="00CD1570">
        <w:rPr>
          <w:rFonts w:asciiTheme="minorHAnsi" w:hAnsiTheme="minorHAnsi" w:cstheme="minorHAnsi"/>
        </w:rPr>
        <w:t>, 20</w:t>
      </w:r>
      <w:r w:rsidR="00C016B9">
        <w:rPr>
          <w:rFonts w:asciiTheme="minorHAnsi" w:hAnsiTheme="minorHAnsi" w:cstheme="minorHAnsi"/>
        </w:rPr>
        <w:t>22</w:t>
      </w:r>
    </w:p>
    <w:p w14:paraId="1DD5BE44" w14:textId="1B756915" w:rsidR="00CF74EB" w:rsidRPr="00CD1570" w:rsidRDefault="00CF74EB" w:rsidP="005E263E">
      <w:pPr>
        <w:spacing w:after="240"/>
        <w:rPr>
          <w:rFonts w:asciiTheme="minorHAnsi" w:hAnsiTheme="minorHAnsi" w:cstheme="minorHAnsi"/>
          <w:b/>
        </w:rPr>
      </w:pPr>
      <w:r w:rsidRPr="00CD1570">
        <w:rPr>
          <w:rFonts w:asciiTheme="minorHAnsi" w:hAnsiTheme="minorHAnsi" w:cstheme="minorHAnsi"/>
          <w:b/>
        </w:rPr>
        <w:t>List of organizations and individuals submitting public comment:</w:t>
      </w:r>
    </w:p>
    <w:tbl>
      <w:tblPr>
        <w:tblStyle w:val="TableGrid"/>
        <w:tblW w:w="0" w:type="auto"/>
        <w:tblBorders>
          <w:insideV w:val="none" w:sz="0" w:space="0" w:color="auto"/>
        </w:tblBorders>
        <w:tblLook w:val="04A0" w:firstRow="1" w:lastRow="0" w:firstColumn="1" w:lastColumn="0" w:noHBand="0" w:noVBand="1"/>
      </w:tblPr>
      <w:tblGrid>
        <w:gridCol w:w="6835"/>
        <w:gridCol w:w="3417"/>
        <w:gridCol w:w="3418"/>
      </w:tblGrid>
      <w:tr w:rsidR="00CF74EB" w:rsidRPr="00CD1570" w14:paraId="1315D5BA" w14:textId="77777777" w:rsidTr="005174F3">
        <w:tc>
          <w:tcPr>
            <w:tcW w:w="6835" w:type="dxa"/>
            <w:tcBorders>
              <w:right w:val="single" w:sz="4" w:space="0" w:color="auto"/>
            </w:tcBorders>
            <w:shd w:val="clear" w:color="auto" w:fill="DEEAF6" w:themeFill="accent1" w:themeFillTint="33"/>
          </w:tcPr>
          <w:p w14:paraId="2BF10130" w14:textId="77777777" w:rsidR="00CF74EB" w:rsidRPr="00CD1570" w:rsidRDefault="00CF74EB" w:rsidP="005E263E">
            <w:pPr>
              <w:spacing w:after="0" w:line="240" w:lineRule="auto"/>
              <w:rPr>
                <w:rFonts w:asciiTheme="minorHAnsi" w:hAnsiTheme="minorHAnsi" w:cstheme="minorHAnsi"/>
                <w:b/>
              </w:rPr>
            </w:pPr>
            <w:r w:rsidRPr="00CD1570">
              <w:rPr>
                <w:rFonts w:asciiTheme="minorHAnsi" w:hAnsiTheme="minorHAnsi" w:cstheme="minorHAnsi"/>
                <w:b/>
              </w:rPr>
              <w:t>Organizations</w:t>
            </w:r>
          </w:p>
        </w:tc>
        <w:tc>
          <w:tcPr>
            <w:tcW w:w="6835" w:type="dxa"/>
            <w:gridSpan w:val="2"/>
            <w:tcBorders>
              <w:left w:val="single" w:sz="4" w:space="0" w:color="auto"/>
            </w:tcBorders>
            <w:shd w:val="clear" w:color="auto" w:fill="DEEAF6" w:themeFill="accent1" w:themeFillTint="33"/>
          </w:tcPr>
          <w:p w14:paraId="57C747AE" w14:textId="77777777" w:rsidR="00CF74EB" w:rsidRPr="00CD1570" w:rsidRDefault="00CF74EB" w:rsidP="005E263E">
            <w:pPr>
              <w:spacing w:after="0" w:line="240" w:lineRule="auto"/>
              <w:rPr>
                <w:rFonts w:asciiTheme="minorHAnsi" w:hAnsiTheme="minorHAnsi" w:cstheme="minorHAnsi"/>
                <w:b/>
              </w:rPr>
            </w:pPr>
            <w:r w:rsidRPr="00CD1570">
              <w:rPr>
                <w:rFonts w:asciiTheme="minorHAnsi" w:hAnsiTheme="minorHAnsi" w:cstheme="minorHAnsi"/>
                <w:b/>
              </w:rPr>
              <w:t>Individuals</w:t>
            </w:r>
          </w:p>
        </w:tc>
      </w:tr>
      <w:tr w:rsidR="00CF74EB" w:rsidRPr="00CD1570" w14:paraId="2A7ECDC6" w14:textId="77777777" w:rsidTr="00CD6BDE">
        <w:tc>
          <w:tcPr>
            <w:tcW w:w="6835" w:type="dxa"/>
            <w:tcBorders>
              <w:right w:val="single" w:sz="4" w:space="0" w:color="auto"/>
            </w:tcBorders>
          </w:tcPr>
          <w:p w14:paraId="47B4E92E" w14:textId="77777777" w:rsidR="00CF74EB" w:rsidRPr="00CD1570" w:rsidRDefault="00CF74EB" w:rsidP="005E263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American Federation of Teachers Massachusetts (AFT-MA)</w:t>
            </w:r>
          </w:p>
          <w:p w14:paraId="16270C27" w14:textId="794F4DC2" w:rsidR="00CF74EB" w:rsidRPr="00C016B9" w:rsidRDefault="00CF74EB" w:rsidP="005E263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Massachusetts Business Alliance for Education (MBAE)</w:t>
            </w:r>
          </w:p>
        </w:tc>
        <w:tc>
          <w:tcPr>
            <w:tcW w:w="3417" w:type="dxa"/>
            <w:tcBorders>
              <w:left w:val="single" w:sz="4" w:space="0" w:color="auto"/>
            </w:tcBorders>
          </w:tcPr>
          <w:p w14:paraId="797125DD" w14:textId="77777777" w:rsidR="00581DB0" w:rsidRPr="00352FFA" w:rsidRDefault="00581DB0" w:rsidP="005E263E">
            <w:pPr>
              <w:pStyle w:val="NoSpacing"/>
              <w:numPr>
                <w:ilvl w:val="0"/>
                <w:numId w:val="8"/>
              </w:numPr>
              <w:ind w:left="342"/>
            </w:pPr>
            <w:r w:rsidRPr="00352FFA">
              <w:t>Laura Conrad-</w:t>
            </w:r>
            <w:proofErr w:type="spellStart"/>
            <w:r w:rsidRPr="00352FFA">
              <w:t>Laberinto</w:t>
            </w:r>
            <w:proofErr w:type="spellEnd"/>
          </w:p>
          <w:p w14:paraId="2E451778" w14:textId="77777777" w:rsidR="00D65F9B" w:rsidRPr="00352FFA" w:rsidRDefault="00D65F9B" w:rsidP="005E263E">
            <w:pPr>
              <w:pStyle w:val="NoSpacing"/>
              <w:numPr>
                <w:ilvl w:val="0"/>
                <w:numId w:val="8"/>
              </w:numPr>
              <w:ind w:left="342"/>
            </w:pPr>
            <w:r w:rsidRPr="00352FFA">
              <w:t>Angela Ferreira</w:t>
            </w:r>
          </w:p>
          <w:p w14:paraId="1C3ED872" w14:textId="77777777" w:rsidR="00352FFA" w:rsidRDefault="00D65F9B" w:rsidP="005E263E">
            <w:pPr>
              <w:pStyle w:val="NoSpacing"/>
              <w:numPr>
                <w:ilvl w:val="0"/>
                <w:numId w:val="8"/>
              </w:numPr>
              <w:ind w:left="342"/>
            </w:pPr>
            <w:r w:rsidRPr="00352FFA">
              <w:t>Rachel Kay</w:t>
            </w:r>
          </w:p>
          <w:p w14:paraId="10C9470E" w14:textId="11B65DF2" w:rsidR="002609A9" w:rsidRPr="00FD4053" w:rsidRDefault="002609A9" w:rsidP="002609A9">
            <w:pPr>
              <w:pStyle w:val="NoSpacing"/>
              <w:ind w:left="342"/>
            </w:pPr>
          </w:p>
        </w:tc>
        <w:tc>
          <w:tcPr>
            <w:tcW w:w="3418" w:type="dxa"/>
          </w:tcPr>
          <w:p w14:paraId="1FC415B6" w14:textId="77777777" w:rsidR="00FD4053" w:rsidRPr="00352FFA" w:rsidRDefault="00FD4053" w:rsidP="005E263E">
            <w:pPr>
              <w:pStyle w:val="NoSpacing"/>
              <w:numPr>
                <w:ilvl w:val="0"/>
                <w:numId w:val="8"/>
              </w:numPr>
              <w:ind w:left="342"/>
            </w:pPr>
            <w:r w:rsidRPr="00352FFA">
              <w:t>Judy Meunier</w:t>
            </w:r>
          </w:p>
          <w:p w14:paraId="4081B32B" w14:textId="77777777" w:rsidR="00FD4053" w:rsidRPr="00352FFA" w:rsidRDefault="00FD4053" w:rsidP="005E263E">
            <w:pPr>
              <w:pStyle w:val="NoSpacing"/>
              <w:numPr>
                <w:ilvl w:val="0"/>
                <w:numId w:val="8"/>
              </w:numPr>
              <w:ind w:left="342"/>
            </w:pPr>
            <w:r w:rsidRPr="00352FFA">
              <w:t>Ben Tobin</w:t>
            </w:r>
          </w:p>
          <w:p w14:paraId="0092904C" w14:textId="77777777" w:rsidR="00CF74EB" w:rsidRPr="002609A9" w:rsidRDefault="00FD4053" w:rsidP="005E263E">
            <w:pPr>
              <w:pStyle w:val="NoSpacing"/>
              <w:numPr>
                <w:ilvl w:val="0"/>
                <w:numId w:val="8"/>
              </w:numPr>
              <w:ind w:left="342"/>
            </w:pPr>
            <w:r w:rsidRPr="00352FFA">
              <w:t>Renée Toth</w:t>
            </w:r>
            <w:r>
              <w:rPr>
                <w:rFonts w:ascii="Segoe UI" w:hAnsi="Segoe UI" w:cs="Segoe UI"/>
                <w:sz w:val="24"/>
                <w:szCs w:val="24"/>
              </w:rPr>
              <w:t> </w:t>
            </w:r>
          </w:p>
          <w:p w14:paraId="64018CAE" w14:textId="464C84E1" w:rsidR="002609A9" w:rsidRPr="00FD4053" w:rsidRDefault="002609A9" w:rsidP="002609A9">
            <w:pPr>
              <w:pStyle w:val="NoSpacing"/>
              <w:ind w:left="342"/>
            </w:pPr>
          </w:p>
        </w:tc>
      </w:tr>
    </w:tbl>
    <w:p w14:paraId="5DA8E13F" w14:textId="77777777" w:rsidR="00CF74EB" w:rsidRPr="00CD1570" w:rsidRDefault="00CF74EB" w:rsidP="005E263E">
      <w:pPr>
        <w:spacing w:after="0" w:line="240" w:lineRule="auto"/>
        <w:rPr>
          <w:rFonts w:asciiTheme="minorHAnsi" w:hAnsiTheme="minorHAnsi" w:cstheme="minorHAnsi"/>
        </w:rPr>
      </w:pPr>
    </w:p>
    <w:tbl>
      <w:tblPr>
        <w:tblStyle w:val="TableGrid"/>
        <w:tblW w:w="5002" w:type="pct"/>
        <w:tblLayout w:type="fixed"/>
        <w:tblLook w:val="04A0" w:firstRow="1" w:lastRow="0" w:firstColumn="1" w:lastColumn="0" w:noHBand="0" w:noVBand="1"/>
      </w:tblPr>
      <w:tblGrid>
        <w:gridCol w:w="6835"/>
        <w:gridCol w:w="6840"/>
      </w:tblGrid>
      <w:tr w:rsidR="00862930" w:rsidRPr="00CD1570" w14:paraId="11E49690" w14:textId="77777777" w:rsidTr="3FC8B0A5">
        <w:trPr>
          <w:tblHeader/>
        </w:trPr>
        <w:tc>
          <w:tcPr>
            <w:tcW w:w="2499" w:type="pct"/>
            <w:shd w:val="clear" w:color="auto" w:fill="DEEAF6" w:themeFill="accent1" w:themeFillTint="33"/>
          </w:tcPr>
          <w:p w14:paraId="461C48F9" w14:textId="77EC1C89" w:rsidR="00862930" w:rsidRPr="00CD1570" w:rsidRDefault="005174F3" w:rsidP="005E263E">
            <w:pPr>
              <w:spacing w:after="0" w:line="240" w:lineRule="auto"/>
              <w:rPr>
                <w:rFonts w:asciiTheme="minorHAnsi" w:hAnsiTheme="minorHAnsi" w:cstheme="minorHAnsi"/>
                <w:b/>
              </w:rPr>
            </w:pPr>
            <w:r>
              <w:rPr>
                <w:rFonts w:asciiTheme="minorHAnsi" w:hAnsiTheme="minorHAnsi" w:cstheme="minorHAnsi"/>
                <w:b/>
              </w:rPr>
              <w:t>Summary of Comment</w:t>
            </w:r>
            <w:r w:rsidR="00E958A1">
              <w:rPr>
                <w:rFonts w:asciiTheme="minorHAnsi" w:hAnsiTheme="minorHAnsi" w:cstheme="minorHAnsi"/>
                <w:b/>
              </w:rPr>
              <w:t>s Received</w:t>
            </w:r>
          </w:p>
        </w:tc>
        <w:tc>
          <w:tcPr>
            <w:tcW w:w="2501" w:type="pct"/>
            <w:shd w:val="clear" w:color="auto" w:fill="DEEAF6" w:themeFill="accent1" w:themeFillTint="33"/>
          </w:tcPr>
          <w:p w14:paraId="462844CF" w14:textId="77777777" w:rsidR="00862930" w:rsidRPr="00CD1570" w:rsidRDefault="00862930" w:rsidP="005E263E">
            <w:pPr>
              <w:spacing w:after="0" w:line="240" w:lineRule="auto"/>
              <w:rPr>
                <w:rFonts w:asciiTheme="minorHAnsi" w:hAnsiTheme="minorHAnsi" w:cstheme="minorHAnsi"/>
                <w:b/>
              </w:rPr>
            </w:pPr>
            <w:r w:rsidRPr="00CD1570">
              <w:rPr>
                <w:rFonts w:asciiTheme="minorHAnsi" w:hAnsiTheme="minorHAnsi" w:cstheme="minorHAnsi"/>
                <w:b/>
              </w:rPr>
              <w:t>Department’s Response</w:t>
            </w:r>
          </w:p>
        </w:tc>
      </w:tr>
      <w:tr w:rsidR="00862930" w:rsidRPr="00CD1570" w14:paraId="06C4A454" w14:textId="77777777" w:rsidTr="3FC8B0A5">
        <w:tc>
          <w:tcPr>
            <w:tcW w:w="2499" w:type="pct"/>
          </w:tcPr>
          <w:p w14:paraId="0970D23B" w14:textId="0AD8C5CC" w:rsidR="00862930" w:rsidRPr="00596AF7" w:rsidRDefault="00EA526B" w:rsidP="005E263E">
            <w:pPr>
              <w:spacing w:after="0" w:line="240" w:lineRule="auto"/>
              <w:rPr>
                <w:rFonts w:asciiTheme="minorHAnsi" w:hAnsiTheme="minorHAnsi" w:cstheme="minorHAnsi"/>
              </w:rPr>
            </w:pPr>
            <w:r w:rsidRPr="00596AF7">
              <w:rPr>
                <w:rFonts w:asciiTheme="minorHAnsi" w:hAnsiTheme="minorHAnsi" w:cstheme="minorHAnsi"/>
              </w:rPr>
              <w:t>The p</w:t>
            </w:r>
            <w:r w:rsidR="00862930" w:rsidRPr="00596AF7">
              <w:rPr>
                <w:rFonts w:asciiTheme="minorHAnsi" w:hAnsiTheme="minorHAnsi" w:cstheme="minorHAnsi"/>
              </w:rPr>
              <w:t xml:space="preserve">roposed </w:t>
            </w:r>
            <w:r w:rsidRPr="00596AF7">
              <w:rPr>
                <w:rFonts w:asciiTheme="minorHAnsi" w:hAnsiTheme="minorHAnsi" w:cstheme="minorHAnsi"/>
              </w:rPr>
              <w:t xml:space="preserve">language in the </w:t>
            </w:r>
            <w:r w:rsidR="00862930" w:rsidRPr="00596AF7">
              <w:rPr>
                <w:rFonts w:asciiTheme="minorHAnsi" w:hAnsiTheme="minorHAnsi" w:cstheme="minorHAnsi"/>
              </w:rPr>
              <w:t xml:space="preserve">regulations </w:t>
            </w:r>
            <w:r w:rsidRPr="00596AF7">
              <w:rPr>
                <w:rFonts w:asciiTheme="minorHAnsi" w:hAnsiTheme="minorHAnsi" w:cstheme="minorHAnsi"/>
              </w:rPr>
              <w:t>is open-ended</w:t>
            </w:r>
            <w:r w:rsidR="00862930" w:rsidRPr="00596AF7">
              <w:rPr>
                <w:rFonts w:asciiTheme="minorHAnsi" w:hAnsiTheme="minorHAnsi" w:cstheme="minorHAnsi"/>
              </w:rPr>
              <w:t>. (AFT-MA)</w:t>
            </w:r>
          </w:p>
        </w:tc>
        <w:tc>
          <w:tcPr>
            <w:tcW w:w="2501" w:type="pct"/>
          </w:tcPr>
          <w:p w14:paraId="2623049A" w14:textId="26A53D02" w:rsidR="00862930" w:rsidRDefault="00AB4EBA" w:rsidP="005E263E">
            <w:pPr>
              <w:spacing w:after="0" w:line="240" w:lineRule="auto"/>
              <w:rPr>
                <w:rFonts w:asciiTheme="minorHAnsi" w:hAnsiTheme="minorHAnsi" w:cstheme="minorHAnsi"/>
              </w:rPr>
            </w:pPr>
            <w:r>
              <w:rPr>
                <w:rFonts w:asciiTheme="minorHAnsi" w:hAnsiTheme="minorHAnsi" w:cstheme="minorHAnsi"/>
              </w:rPr>
              <w:t xml:space="preserve">No change. The Department drafted the regulations to allow for flexibility </w:t>
            </w:r>
            <w:r w:rsidR="00CB1C2B">
              <w:rPr>
                <w:rFonts w:asciiTheme="minorHAnsi" w:hAnsiTheme="minorHAnsi" w:cstheme="minorHAnsi"/>
              </w:rPr>
              <w:t xml:space="preserve">depending on the outcome of DESE’s </w:t>
            </w:r>
            <w:r w:rsidR="005E263E">
              <w:rPr>
                <w:rFonts w:asciiTheme="minorHAnsi" w:hAnsiTheme="minorHAnsi" w:cstheme="minorHAnsi"/>
              </w:rPr>
              <w:t>federal accountability request.</w:t>
            </w:r>
          </w:p>
          <w:p w14:paraId="483DD296" w14:textId="5B2B45D6" w:rsidR="005E263E" w:rsidRPr="00596AF7" w:rsidRDefault="005E263E" w:rsidP="005E263E">
            <w:pPr>
              <w:spacing w:after="0" w:line="240" w:lineRule="auto"/>
            </w:pPr>
          </w:p>
        </w:tc>
      </w:tr>
      <w:tr w:rsidR="000C70FE" w:rsidRPr="00CD1570" w14:paraId="0048EDA1" w14:textId="77777777" w:rsidTr="3FC8B0A5">
        <w:tc>
          <w:tcPr>
            <w:tcW w:w="2499" w:type="pct"/>
          </w:tcPr>
          <w:p w14:paraId="771603E2" w14:textId="77777777" w:rsidR="000C70FE" w:rsidRDefault="000C70FE" w:rsidP="005E263E">
            <w:pPr>
              <w:spacing w:after="0" w:line="240" w:lineRule="auto"/>
              <w:rPr>
                <w:rFonts w:asciiTheme="minorHAnsi" w:hAnsiTheme="minorHAnsi" w:cstheme="minorHAnsi"/>
              </w:rPr>
            </w:pPr>
            <w:r>
              <w:rPr>
                <w:rFonts w:asciiTheme="minorHAnsi" w:hAnsiTheme="minorHAnsi" w:cstheme="minorHAnsi"/>
              </w:rPr>
              <w:t xml:space="preserve">The Department should suspend </w:t>
            </w:r>
            <w:r w:rsidR="00E02142" w:rsidRPr="00E02142">
              <w:rPr>
                <w:rFonts w:asciiTheme="minorHAnsi" w:hAnsiTheme="minorHAnsi" w:cstheme="minorHAnsi"/>
              </w:rPr>
              <w:t>all reported measures and annual performance determinations.</w:t>
            </w:r>
            <w:r w:rsidR="00E02142">
              <w:rPr>
                <w:rFonts w:asciiTheme="minorHAnsi" w:hAnsiTheme="minorHAnsi" w:cstheme="minorHAnsi"/>
              </w:rPr>
              <w:t xml:space="preserve"> (AFT-MA)</w:t>
            </w:r>
          </w:p>
          <w:p w14:paraId="7AFAAF57" w14:textId="63455D37" w:rsidR="00E02142" w:rsidRPr="00596AF7" w:rsidRDefault="00E02142" w:rsidP="005E263E">
            <w:pPr>
              <w:spacing w:after="0" w:line="240" w:lineRule="auto"/>
              <w:rPr>
                <w:rFonts w:asciiTheme="minorHAnsi" w:hAnsiTheme="minorHAnsi" w:cstheme="minorHAnsi"/>
              </w:rPr>
            </w:pPr>
          </w:p>
        </w:tc>
        <w:tc>
          <w:tcPr>
            <w:tcW w:w="2501" w:type="pct"/>
          </w:tcPr>
          <w:p w14:paraId="2DD8669A" w14:textId="0DBFDDDA" w:rsidR="000C70FE" w:rsidRDefault="00E02142" w:rsidP="005E263E">
            <w:pPr>
              <w:spacing w:after="0" w:line="240" w:lineRule="auto"/>
              <w:rPr>
                <w:rFonts w:asciiTheme="minorHAnsi" w:hAnsiTheme="minorHAnsi" w:cstheme="minorHAnsi"/>
              </w:rPr>
            </w:pPr>
            <w:r>
              <w:rPr>
                <w:rFonts w:asciiTheme="minorHAnsi" w:hAnsiTheme="minorHAnsi" w:cstheme="minorHAnsi"/>
              </w:rPr>
              <w:t xml:space="preserve">No change. </w:t>
            </w:r>
            <w:r w:rsidR="008C2457">
              <w:rPr>
                <w:rFonts w:asciiTheme="minorHAnsi" w:hAnsiTheme="minorHAnsi" w:cstheme="minorHAnsi"/>
              </w:rPr>
              <w:t xml:space="preserve">Federal </w:t>
            </w:r>
            <w:r>
              <w:rPr>
                <w:rFonts w:asciiTheme="minorHAnsi" w:hAnsiTheme="minorHAnsi" w:cstheme="minorHAnsi"/>
              </w:rPr>
              <w:t>law require</w:t>
            </w:r>
            <w:r w:rsidR="00107E5B">
              <w:rPr>
                <w:rFonts w:asciiTheme="minorHAnsi" w:hAnsiTheme="minorHAnsi" w:cstheme="minorHAnsi"/>
              </w:rPr>
              <w:t>s</w:t>
            </w:r>
            <w:r>
              <w:rPr>
                <w:rFonts w:asciiTheme="minorHAnsi" w:hAnsiTheme="minorHAnsi" w:cstheme="minorHAnsi"/>
              </w:rPr>
              <w:t xml:space="preserve"> DESE to </w:t>
            </w:r>
            <w:r w:rsidR="008C2457">
              <w:rPr>
                <w:rFonts w:asciiTheme="minorHAnsi" w:hAnsiTheme="minorHAnsi" w:cstheme="minorHAnsi"/>
              </w:rPr>
              <w:t xml:space="preserve">maintain a system of annual meaningful differentiation for all districts and schools, and state law requires the </w:t>
            </w:r>
            <w:r w:rsidR="008E7DEE">
              <w:rPr>
                <w:rFonts w:asciiTheme="minorHAnsi" w:hAnsiTheme="minorHAnsi" w:cstheme="minorHAnsi"/>
              </w:rPr>
              <w:t xml:space="preserve">Board </w:t>
            </w:r>
            <w:r w:rsidR="00107E5B">
              <w:rPr>
                <w:rFonts w:asciiTheme="minorHAnsi" w:hAnsiTheme="minorHAnsi" w:cstheme="minorHAnsi"/>
              </w:rPr>
              <w:t xml:space="preserve">of Elementary and Secondary Education </w:t>
            </w:r>
            <w:r w:rsidR="008E7DEE">
              <w:rPr>
                <w:rFonts w:asciiTheme="minorHAnsi" w:hAnsiTheme="minorHAnsi" w:cstheme="minorHAnsi"/>
              </w:rPr>
              <w:t xml:space="preserve">to adopt </w:t>
            </w:r>
            <w:r w:rsidR="00107E5B">
              <w:rPr>
                <w:rFonts w:asciiTheme="minorHAnsi" w:hAnsiTheme="minorHAnsi" w:cstheme="minorHAnsi"/>
              </w:rPr>
              <w:t>a system for evaluating district and school performance on an annual basis.</w:t>
            </w:r>
          </w:p>
          <w:p w14:paraId="7E258414" w14:textId="354186AD" w:rsidR="00107E5B" w:rsidRDefault="00107E5B" w:rsidP="005E263E">
            <w:pPr>
              <w:spacing w:after="0" w:line="240" w:lineRule="auto"/>
              <w:rPr>
                <w:rFonts w:asciiTheme="minorHAnsi" w:hAnsiTheme="minorHAnsi" w:cstheme="minorHAnsi"/>
              </w:rPr>
            </w:pPr>
          </w:p>
        </w:tc>
      </w:tr>
      <w:tr w:rsidR="00862930" w:rsidRPr="00CD1570" w14:paraId="5863DE36" w14:textId="77777777" w:rsidTr="3FC8B0A5">
        <w:tc>
          <w:tcPr>
            <w:tcW w:w="2499" w:type="pct"/>
          </w:tcPr>
          <w:p w14:paraId="40E0EA34" w14:textId="4B83C5BF" w:rsidR="00862930" w:rsidRPr="00403F84" w:rsidRDefault="00862930" w:rsidP="005E263E">
            <w:pPr>
              <w:spacing w:after="0" w:line="240" w:lineRule="auto"/>
              <w:rPr>
                <w:rFonts w:asciiTheme="minorHAnsi" w:hAnsiTheme="minorHAnsi" w:cstheme="minorHAnsi"/>
              </w:rPr>
            </w:pPr>
            <w:r w:rsidRPr="00403F84">
              <w:rPr>
                <w:rFonts w:asciiTheme="minorHAnsi" w:hAnsiTheme="minorHAnsi" w:cstheme="minorHAnsi"/>
              </w:rPr>
              <w:t xml:space="preserve">The accountability system unfairly penalizes districts serving large populations of </w:t>
            </w:r>
            <w:r w:rsidR="00D05D0E" w:rsidRPr="00403F84">
              <w:rPr>
                <w:rFonts w:asciiTheme="minorHAnsi" w:hAnsiTheme="minorHAnsi" w:cstheme="minorHAnsi"/>
              </w:rPr>
              <w:t>low-income</w:t>
            </w:r>
            <w:r w:rsidR="00AD7C02" w:rsidRPr="00403F84">
              <w:rPr>
                <w:rFonts w:asciiTheme="minorHAnsi" w:hAnsiTheme="minorHAnsi" w:cstheme="minorHAnsi"/>
              </w:rPr>
              <w:t xml:space="preserve"> students and students of color</w:t>
            </w:r>
            <w:r w:rsidRPr="00403F84">
              <w:rPr>
                <w:rFonts w:asciiTheme="minorHAnsi" w:hAnsiTheme="minorHAnsi" w:cstheme="minorHAnsi"/>
              </w:rPr>
              <w:t xml:space="preserve"> and </w:t>
            </w:r>
            <w:r w:rsidR="00AD7C02" w:rsidRPr="00403F84">
              <w:rPr>
                <w:rFonts w:asciiTheme="minorHAnsi" w:hAnsiTheme="minorHAnsi" w:cstheme="minorHAnsi"/>
              </w:rPr>
              <w:t>is</w:t>
            </w:r>
            <w:r w:rsidRPr="00403F84">
              <w:rPr>
                <w:rFonts w:asciiTheme="minorHAnsi" w:hAnsiTheme="minorHAnsi" w:cstheme="minorHAnsi"/>
              </w:rPr>
              <w:t xml:space="preserve"> a system of punishment, not support. (AFT-MA)</w:t>
            </w:r>
          </w:p>
          <w:p w14:paraId="0F85B5DE" w14:textId="77777777" w:rsidR="00862930" w:rsidRPr="00403F84" w:rsidRDefault="00862930" w:rsidP="005E263E">
            <w:pPr>
              <w:spacing w:after="0" w:line="240" w:lineRule="auto"/>
              <w:rPr>
                <w:rFonts w:asciiTheme="minorHAnsi" w:hAnsiTheme="minorHAnsi" w:cstheme="minorHAnsi"/>
              </w:rPr>
            </w:pPr>
          </w:p>
        </w:tc>
        <w:tc>
          <w:tcPr>
            <w:tcW w:w="2501" w:type="pct"/>
          </w:tcPr>
          <w:p w14:paraId="179ECB7C" w14:textId="50D8D92D" w:rsidR="00862930" w:rsidRPr="00403F84" w:rsidRDefault="00862930" w:rsidP="005E263E">
            <w:pPr>
              <w:spacing w:after="0" w:line="240" w:lineRule="auto"/>
              <w:rPr>
                <w:rFonts w:asciiTheme="minorHAnsi" w:hAnsiTheme="minorHAnsi" w:cstheme="minorHAnsi"/>
              </w:rPr>
            </w:pPr>
            <w:r w:rsidRPr="00403F84">
              <w:rPr>
                <w:rFonts w:asciiTheme="minorHAnsi" w:hAnsiTheme="minorHAnsi" w:cstheme="minorHAnsi"/>
              </w:rPr>
              <w:t xml:space="preserve">The Department prioritizes direct targeted assistance and grant resources to districts and schools that </w:t>
            </w:r>
            <w:r w:rsidR="002E757D" w:rsidRPr="00403F84">
              <w:rPr>
                <w:rFonts w:asciiTheme="minorHAnsi" w:hAnsiTheme="minorHAnsi" w:cstheme="minorHAnsi"/>
              </w:rPr>
              <w:t xml:space="preserve">are identified as </w:t>
            </w:r>
            <w:r w:rsidRPr="00403F84">
              <w:rPr>
                <w:rFonts w:asciiTheme="minorHAnsi" w:hAnsiTheme="minorHAnsi" w:cstheme="minorHAnsi"/>
              </w:rPr>
              <w:t xml:space="preserve">most </w:t>
            </w:r>
            <w:r w:rsidR="002E757D" w:rsidRPr="00403F84">
              <w:rPr>
                <w:rFonts w:asciiTheme="minorHAnsi" w:hAnsiTheme="minorHAnsi" w:cstheme="minorHAnsi"/>
              </w:rPr>
              <w:t xml:space="preserve">in </w:t>
            </w:r>
            <w:r w:rsidRPr="00403F84">
              <w:rPr>
                <w:rFonts w:asciiTheme="minorHAnsi" w:hAnsiTheme="minorHAnsi" w:cstheme="minorHAnsi"/>
              </w:rPr>
              <w:t>need</w:t>
            </w:r>
            <w:r w:rsidR="002E757D" w:rsidRPr="00403F84">
              <w:rPr>
                <w:rFonts w:asciiTheme="minorHAnsi" w:hAnsiTheme="minorHAnsi" w:cstheme="minorHAnsi"/>
              </w:rPr>
              <w:t xml:space="preserve"> of rapid improvement</w:t>
            </w:r>
            <w:r w:rsidRPr="00403F84">
              <w:rPr>
                <w:rFonts w:asciiTheme="minorHAnsi" w:hAnsiTheme="minorHAnsi" w:cstheme="minorHAnsi"/>
              </w:rPr>
              <w:t xml:space="preserve">, as well as those on the cusp.  </w:t>
            </w:r>
          </w:p>
          <w:p w14:paraId="41F1129D" w14:textId="77777777" w:rsidR="00862930" w:rsidRPr="00403F84" w:rsidRDefault="00862930" w:rsidP="005E263E">
            <w:pPr>
              <w:spacing w:after="0" w:line="240" w:lineRule="auto"/>
              <w:rPr>
                <w:rFonts w:asciiTheme="minorHAnsi" w:hAnsiTheme="minorHAnsi" w:cstheme="minorHAnsi"/>
              </w:rPr>
            </w:pPr>
          </w:p>
        </w:tc>
      </w:tr>
      <w:tr w:rsidR="00403F84" w:rsidRPr="00CD1570" w14:paraId="5EFFC49E" w14:textId="77777777" w:rsidTr="3FC8B0A5">
        <w:tc>
          <w:tcPr>
            <w:tcW w:w="2499" w:type="pct"/>
          </w:tcPr>
          <w:p w14:paraId="164AE992" w14:textId="6B4D6308" w:rsidR="00403F84" w:rsidRDefault="00403F84" w:rsidP="005E263E">
            <w:pPr>
              <w:spacing w:after="0" w:line="240" w:lineRule="auto"/>
              <w:rPr>
                <w:rFonts w:asciiTheme="minorHAnsi" w:hAnsiTheme="minorHAnsi" w:cstheme="minorHAnsi"/>
              </w:rPr>
            </w:pPr>
            <w:r w:rsidRPr="00403F84">
              <w:rPr>
                <w:rFonts w:asciiTheme="minorHAnsi" w:hAnsiTheme="minorHAnsi" w:cstheme="minorHAnsi"/>
              </w:rPr>
              <w:t xml:space="preserve">Schools and </w:t>
            </w:r>
            <w:r>
              <w:rPr>
                <w:rFonts w:asciiTheme="minorHAnsi" w:hAnsiTheme="minorHAnsi" w:cstheme="minorHAnsi"/>
              </w:rPr>
              <w:t xml:space="preserve">districts identified as requiring assistance by the accountability system remain low </w:t>
            </w:r>
            <w:r w:rsidR="000C70FE">
              <w:rPr>
                <w:rFonts w:asciiTheme="minorHAnsi" w:hAnsiTheme="minorHAnsi" w:cstheme="minorHAnsi"/>
              </w:rPr>
              <w:t xml:space="preserve">performing. </w:t>
            </w:r>
            <w:r w:rsidR="00231620">
              <w:rPr>
                <w:rFonts w:asciiTheme="minorHAnsi" w:hAnsiTheme="minorHAnsi" w:cstheme="minorHAnsi"/>
              </w:rPr>
              <w:t>(AFT-MA)</w:t>
            </w:r>
          </w:p>
          <w:p w14:paraId="600D4DC1" w14:textId="50924416" w:rsidR="000C70FE" w:rsidRPr="00403F84" w:rsidRDefault="000C70FE" w:rsidP="005E263E">
            <w:pPr>
              <w:spacing w:after="0" w:line="240" w:lineRule="auto"/>
              <w:rPr>
                <w:rFonts w:asciiTheme="minorHAnsi" w:hAnsiTheme="minorHAnsi" w:cstheme="minorHAnsi"/>
              </w:rPr>
            </w:pPr>
          </w:p>
        </w:tc>
        <w:tc>
          <w:tcPr>
            <w:tcW w:w="2501" w:type="pct"/>
          </w:tcPr>
          <w:p w14:paraId="321DC289" w14:textId="5BF64E98" w:rsidR="00222DC6" w:rsidRDefault="00A93B54" w:rsidP="005E263E">
            <w:pPr>
              <w:spacing w:after="0" w:line="240" w:lineRule="auto"/>
              <w:rPr>
                <w:rFonts w:asciiTheme="minorHAnsi" w:hAnsiTheme="minorHAnsi" w:cstheme="minorHAnsi"/>
              </w:rPr>
            </w:pPr>
            <w:r>
              <w:rPr>
                <w:rFonts w:asciiTheme="minorHAnsi" w:hAnsiTheme="minorHAnsi" w:cstheme="minorHAnsi"/>
              </w:rPr>
              <w:t xml:space="preserve">No change. The Department continues to support </w:t>
            </w:r>
            <w:r w:rsidR="00A21B1F">
              <w:rPr>
                <w:rFonts w:asciiTheme="minorHAnsi" w:hAnsiTheme="minorHAnsi" w:cstheme="minorHAnsi"/>
              </w:rPr>
              <w:t xml:space="preserve">low performing districts and schools, consistent with state law and regulations. </w:t>
            </w:r>
            <w:r w:rsidR="00231620">
              <w:rPr>
                <w:rFonts w:asciiTheme="minorHAnsi" w:hAnsiTheme="minorHAnsi" w:cstheme="minorHAnsi"/>
              </w:rPr>
              <w:t>To</w:t>
            </w:r>
            <w:r w:rsidR="00222DC6">
              <w:rPr>
                <w:rFonts w:asciiTheme="minorHAnsi" w:hAnsiTheme="minorHAnsi" w:cstheme="minorHAnsi"/>
              </w:rPr>
              <w:t xml:space="preserve"> maintain transparency in reporting, DESE </w:t>
            </w:r>
            <w:r w:rsidR="00231620">
              <w:rPr>
                <w:rFonts w:asciiTheme="minorHAnsi" w:hAnsiTheme="minorHAnsi" w:cstheme="minorHAnsi"/>
              </w:rPr>
              <w:t>publicly report</w:t>
            </w:r>
            <w:r w:rsidR="0085415E">
              <w:rPr>
                <w:rFonts w:asciiTheme="minorHAnsi" w:hAnsiTheme="minorHAnsi" w:cstheme="minorHAnsi"/>
              </w:rPr>
              <w:t>s</w:t>
            </w:r>
            <w:r w:rsidR="00222DC6">
              <w:rPr>
                <w:rFonts w:asciiTheme="minorHAnsi" w:hAnsiTheme="minorHAnsi" w:cstheme="minorHAnsi"/>
              </w:rPr>
              <w:t xml:space="preserve"> data on district, school, and student group performance </w:t>
            </w:r>
            <w:r w:rsidR="00B435A4">
              <w:rPr>
                <w:rFonts w:asciiTheme="minorHAnsi" w:hAnsiTheme="minorHAnsi" w:cstheme="minorHAnsi"/>
              </w:rPr>
              <w:t xml:space="preserve">on a variety of measures. </w:t>
            </w:r>
          </w:p>
          <w:p w14:paraId="796CD3A1" w14:textId="16541106" w:rsidR="00222DC6" w:rsidRPr="00403F84" w:rsidRDefault="00222DC6" w:rsidP="005E263E">
            <w:pPr>
              <w:spacing w:after="0" w:line="240" w:lineRule="auto"/>
              <w:rPr>
                <w:rFonts w:asciiTheme="minorHAnsi" w:hAnsiTheme="minorHAnsi" w:cstheme="minorHAnsi"/>
              </w:rPr>
            </w:pPr>
          </w:p>
        </w:tc>
      </w:tr>
      <w:tr w:rsidR="00F6296B" w:rsidRPr="00CD1570" w14:paraId="2338E434" w14:textId="77777777" w:rsidTr="3FC8B0A5">
        <w:tc>
          <w:tcPr>
            <w:tcW w:w="2499" w:type="pct"/>
          </w:tcPr>
          <w:p w14:paraId="153C9868" w14:textId="32C67026" w:rsidR="005A02E3" w:rsidRDefault="00F62C15" w:rsidP="005E263E">
            <w:pPr>
              <w:spacing w:after="0" w:line="240" w:lineRule="auto"/>
              <w:rPr>
                <w:rFonts w:asciiTheme="minorHAnsi" w:hAnsiTheme="minorHAnsi" w:cstheme="minorHAnsi"/>
              </w:rPr>
            </w:pPr>
            <w:r>
              <w:rPr>
                <w:rFonts w:asciiTheme="minorHAnsi" w:hAnsiTheme="minorHAnsi" w:cstheme="minorHAnsi"/>
              </w:rPr>
              <w:t>The state should report on progress toward accountability targets</w:t>
            </w:r>
            <w:r w:rsidR="00FE1131">
              <w:rPr>
                <w:rFonts w:asciiTheme="minorHAnsi" w:hAnsiTheme="minorHAnsi" w:cstheme="minorHAnsi"/>
              </w:rPr>
              <w:t>. G</w:t>
            </w:r>
            <w:r w:rsidR="00FE1131" w:rsidRPr="00535138">
              <w:rPr>
                <w:rFonts w:asciiTheme="minorHAnsi" w:hAnsiTheme="minorHAnsi" w:cstheme="minorHAnsi"/>
              </w:rPr>
              <w:t>iven the impacts on learning caused by the pandemic</w:t>
            </w:r>
            <w:r w:rsidR="003D174D">
              <w:rPr>
                <w:rFonts w:asciiTheme="minorHAnsi" w:hAnsiTheme="minorHAnsi" w:cstheme="minorHAnsi"/>
              </w:rPr>
              <w:t xml:space="preserve"> and </w:t>
            </w:r>
            <w:r w:rsidR="004D5EF2">
              <w:rPr>
                <w:rFonts w:asciiTheme="minorHAnsi" w:hAnsiTheme="minorHAnsi" w:cstheme="minorHAnsi"/>
              </w:rPr>
              <w:t>the</w:t>
            </w:r>
            <w:r w:rsidR="003D174D">
              <w:rPr>
                <w:rFonts w:asciiTheme="minorHAnsi" w:hAnsiTheme="minorHAnsi" w:cstheme="minorHAnsi"/>
              </w:rPr>
              <w:t xml:space="preserve"> influx of </w:t>
            </w:r>
            <w:r w:rsidR="004D5EF2" w:rsidRPr="00535138">
              <w:rPr>
                <w:rFonts w:asciiTheme="minorHAnsi" w:hAnsiTheme="minorHAnsi" w:cstheme="minorHAnsi"/>
              </w:rPr>
              <w:t xml:space="preserve">federal dollars and state Student Opportunity Act </w:t>
            </w:r>
            <w:r w:rsidR="004D5EF2" w:rsidRPr="00DE14C0">
              <w:rPr>
                <w:rFonts w:asciiTheme="minorHAnsi" w:hAnsiTheme="minorHAnsi" w:cstheme="minorHAnsi"/>
              </w:rPr>
              <w:t>funding</w:t>
            </w:r>
            <w:r w:rsidR="004D5EF2">
              <w:rPr>
                <w:rFonts w:asciiTheme="minorHAnsi" w:hAnsiTheme="minorHAnsi" w:cstheme="minorHAnsi"/>
              </w:rPr>
              <w:t>, stakeholders</w:t>
            </w:r>
            <w:r w:rsidR="003D174D">
              <w:rPr>
                <w:rFonts w:asciiTheme="minorHAnsi" w:hAnsiTheme="minorHAnsi" w:cstheme="minorHAnsi"/>
              </w:rPr>
              <w:t xml:space="preserve"> </w:t>
            </w:r>
            <w:r w:rsidR="005A02E3" w:rsidRPr="005A02E3">
              <w:rPr>
                <w:rFonts w:asciiTheme="minorHAnsi" w:hAnsiTheme="minorHAnsi" w:cstheme="minorHAnsi"/>
              </w:rPr>
              <w:t xml:space="preserve">have a right to know more about whether achievement gaps for our highest </w:t>
            </w:r>
            <w:r w:rsidR="005A02E3" w:rsidRPr="005A02E3">
              <w:rPr>
                <w:rFonts w:asciiTheme="minorHAnsi" w:hAnsiTheme="minorHAnsi" w:cstheme="minorHAnsi"/>
              </w:rPr>
              <w:lastRenderedPageBreak/>
              <w:t>need students have closed or widened, and about whether schools have made progress in advancing student learning.</w:t>
            </w:r>
            <w:r w:rsidR="00535138" w:rsidRPr="00DE14C0">
              <w:rPr>
                <w:rFonts w:asciiTheme="minorHAnsi" w:hAnsiTheme="minorHAnsi" w:cstheme="minorHAnsi"/>
              </w:rPr>
              <w:t xml:space="preserve"> </w:t>
            </w:r>
            <w:r w:rsidR="005A02E3" w:rsidRPr="00DE14C0">
              <w:rPr>
                <w:rFonts w:asciiTheme="minorHAnsi" w:hAnsiTheme="minorHAnsi" w:cstheme="minorHAnsi"/>
              </w:rPr>
              <w:t>(MBAE)</w:t>
            </w:r>
          </w:p>
          <w:p w14:paraId="07CC5999" w14:textId="0A8B18A1" w:rsidR="00535138" w:rsidRPr="00535138" w:rsidRDefault="00535138" w:rsidP="005E263E">
            <w:pPr>
              <w:spacing w:after="0" w:line="240" w:lineRule="auto"/>
              <w:rPr>
                <w:rFonts w:asciiTheme="minorHAnsi" w:hAnsiTheme="minorHAnsi" w:cstheme="minorHAnsi"/>
              </w:rPr>
            </w:pPr>
          </w:p>
        </w:tc>
        <w:tc>
          <w:tcPr>
            <w:tcW w:w="2501" w:type="pct"/>
          </w:tcPr>
          <w:p w14:paraId="4E153859" w14:textId="4FF36A06" w:rsidR="00844D49" w:rsidRDefault="00844D49" w:rsidP="3FC8B0A5">
            <w:pPr>
              <w:spacing w:after="0" w:line="240" w:lineRule="auto"/>
              <w:rPr>
                <w:rFonts w:asciiTheme="minorHAnsi" w:hAnsiTheme="minorHAnsi"/>
              </w:rPr>
            </w:pPr>
            <w:r w:rsidRPr="3FC8B0A5">
              <w:rPr>
                <w:rFonts w:asciiTheme="minorHAnsi" w:hAnsiTheme="minorHAnsi"/>
              </w:rPr>
              <w:lastRenderedPageBreak/>
              <w:t>No change. The Department intends to report certain accountability measures and maintain its practice of reporting district, school, and student group-level data for each accountability indicator.</w:t>
            </w:r>
            <w:r w:rsidR="005A297D" w:rsidRPr="3FC8B0A5">
              <w:rPr>
                <w:rFonts w:asciiTheme="minorHAnsi" w:hAnsiTheme="minorHAnsi"/>
              </w:rPr>
              <w:t xml:space="preserve"> </w:t>
            </w:r>
            <w:r w:rsidR="00AF0CA5" w:rsidRPr="3FC8B0A5">
              <w:rPr>
                <w:rFonts w:asciiTheme="minorHAnsi" w:hAnsiTheme="minorHAnsi"/>
              </w:rPr>
              <w:t>However, DESE</w:t>
            </w:r>
            <w:r w:rsidR="00311D7F" w:rsidRPr="3FC8B0A5">
              <w:rPr>
                <w:rFonts w:asciiTheme="minorHAnsi" w:hAnsiTheme="minorHAnsi"/>
              </w:rPr>
              <w:t xml:space="preserve"> </w:t>
            </w:r>
            <w:r w:rsidR="00CA685C" w:rsidRPr="3FC8B0A5">
              <w:rPr>
                <w:rFonts w:asciiTheme="minorHAnsi" w:hAnsiTheme="minorHAnsi"/>
              </w:rPr>
              <w:t xml:space="preserve">has determined that </w:t>
            </w:r>
            <w:r w:rsidR="007416B0" w:rsidRPr="3FC8B0A5">
              <w:rPr>
                <w:rFonts w:asciiTheme="minorHAnsi" w:hAnsiTheme="minorHAnsi"/>
              </w:rPr>
              <w:t>making district and school</w:t>
            </w:r>
            <w:r w:rsidR="00AF0CA5" w:rsidRPr="3FC8B0A5">
              <w:rPr>
                <w:rFonts w:asciiTheme="minorHAnsi" w:hAnsiTheme="minorHAnsi"/>
              </w:rPr>
              <w:t xml:space="preserve"> </w:t>
            </w:r>
            <w:r w:rsidR="007416B0" w:rsidRPr="3FC8B0A5">
              <w:rPr>
                <w:rFonts w:asciiTheme="minorHAnsi" w:hAnsiTheme="minorHAnsi"/>
              </w:rPr>
              <w:t xml:space="preserve">level accountability </w:t>
            </w:r>
            <w:r w:rsidR="007416B0" w:rsidRPr="3FC8B0A5">
              <w:rPr>
                <w:rFonts w:asciiTheme="minorHAnsi" w:hAnsiTheme="minorHAnsi"/>
              </w:rPr>
              <w:lastRenderedPageBreak/>
              <w:t xml:space="preserve">determinations based on overall progress toward accountability targets </w:t>
            </w:r>
            <w:r w:rsidR="00EC4638" w:rsidRPr="3FC8B0A5">
              <w:rPr>
                <w:rFonts w:asciiTheme="minorHAnsi" w:hAnsiTheme="minorHAnsi"/>
              </w:rPr>
              <w:t>presents</w:t>
            </w:r>
            <w:r w:rsidR="00692763" w:rsidRPr="3FC8B0A5">
              <w:rPr>
                <w:rFonts w:asciiTheme="minorHAnsi" w:hAnsiTheme="minorHAnsi"/>
              </w:rPr>
              <w:t xml:space="preserve"> </w:t>
            </w:r>
            <w:r w:rsidR="00EC4638" w:rsidRPr="3FC8B0A5">
              <w:rPr>
                <w:rFonts w:asciiTheme="minorHAnsi" w:hAnsiTheme="minorHAnsi"/>
              </w:rPr>
              <w:t xml:space="preserve">challenges </w:t>
            </w:r>
            <w:r w:rsidR="00692763" w:rsidRPr="3FC8B0A5">
              <w:rPr>
                <w:rFonts w:asciiTheme="minorHAnsi" w:hAnsiTheme="minorHAnsi"/>
              </w:rPr>
              <w:t>when considering the data</w:t>
            </w:r>
            <w:r w:rsidR="003A0666" w:rsidRPr="3FC8B0A5">
              <w:rPr>
                <w:rFonts w:asciiTheme="minorHAnsi" w:hAnsiTheme="minorHAnsi"/>
              </w:rPr>
              <w:t xml:space="preserve"> needed to establish a baseline.</w:t>
            </w:r>
          </w:p>
          <w:p w14:paraId="4595E9D8" w14:textId="77777777" w:rsidR="00F6296B" w:rsidRPr="00D82CD5" w:rsidRDefault="00F6296B" w:rsidP="005E263E">
            <w:pPr>
              <w:spacing w:after="0" w:line="240" w:lineRule="auto"/>
              <w:rPr>
                <w:rFonts w:asciiTheme="minorHAnsi" w:hAnsiTheme="minorHAnsi" w:cstheme="minorHAnsi"/>
                <w:highlight w:val="yellow"/>
              </w:rPr>
            </w:pPr>
          </w:p>
        </w:tc>
      </w:tr>
      <w:tr w:rsidR="004368B2" w:rsidRPr="00CD1570" w14:paraId="28BD250C" w14:textId="77777777" w:rsidTr="3FC8B0A5">
        <w:tc>
          <w:tcPr>
            <w:tcW w:w="2499" w:type="pct"/>
          </w:tcPr>
          <w:p w14:paraId="77A576A8" w14:textId="08FF8D74" w:rsidR="004368B2" w:rsidRDefault="004368B2" w:rsidP="005E263E">
            <w:pPr>
              <w:spacing w:after="0" w:line="240" w:lineRule="auto"/>
              <w:rPr>
                <w:rFonts w:asciiTheme="minorHAnsi" w:hAnsiTheme="minorHAnsi" w:cstheme="minorHAnsi"/>
              </w:rPr>
            </w:pPr>
            <w:r w:rsidRPr="00F6296B">
              <w:rPr>
                <w:rFonts w:asciiTheme="minorHAnsi" w:hAnsiTheme="minorHAnsi" w:cstheme="minorHAnsi"/>
              </w:rPr>
              <w:lastRenderedPageBreak/>
              <w:t>There is no reason to limit public reporting of data</w:t>
            </w:r>
            <w:r>
              <w:rPr>
                <w:rFonts w:asciiTheme="minorHAnsi" w:hAnsiTheme="minorHAnsi" w:cstheme="minorHAnsi"/>
              </w:rPr>
              <w:t xml:space="preserve"> when </w:t>
            </w:r>
            <w:r w:rsidRPr="00F6296B">
              <w:rPr>
                <w:rFonts w:asciiTheme="minorHAnsi" w:hAnsiTheme="minorHAnsi" w:cstheme="minorHAnsi"/>
              </w:rPr>
              <w:t xml:space="preserve">data limitations can be explained by context. All data and reporting of measures should continue as they have annually and be accompanied, if necessary, with an explanation of circumstances that may have impacted them. </w:t>
            </w:r>
            <w:r>
              <w:rPr>
                <w:rFonts w:asciiTheme="minorHAnsi" w:hAnsiTheme="minorHAnsi" w:cstheme="minorHAnsi"/>
              </w:rPr>
              <w:t>(MBAE</w:t>
            </w:r>
            <w:r w:rsidR="00DE14C0">
              <w:rPr>
                <w:rFonts w:asciiTheme="minorHAnsi" w:hAnsiTheme="minorHAnsi" w:cstheme="minorHAnsi"/>
              </w:rPr>
              <w:t>, Tobin</w:t>
            </w:r>
            <w:r>
              <w:rPr>
                <w:rFonts w:asciiTheme="minorHAnsi" w:hAnsiTheme="minorHAnsi" w:cstheme="minorHAnsi"/>
              </w:rPr>
              <w:t>)</w:t>
            </w:r>
          </w:p>
          <w:p w14:paraId="1977CE78" w14:textId="50AF7EEF" w:rsidR="004368B2" w:rsidRPr="00D82CD5" w:rsidRDefault="004368B2" w:rsidP="005E263E">
            <w:pPr>
              <w:spacing w:after="0" w:line="240" w:lineRule="auto"/>
              <w:rPr>
                <w:rFonts w:asciiTheme="minorHAnsi" w:hAnsiTheme="minorHAnsi" w:cstheme="minorHAnsi"/>
                <w:highlight w:val="yellow"/>
              </w:rPr>
            </w:pPr>
          </w:p>
        </w:tc>
        <w:tc>
          <w:tcPr>
            <w:tcW w:w="2501" w:type="pct"/>
          </w:tcPr>
          <w:p w14:paraId="6C8549AE" w14:textId="31872D3E" w:rsidR="004368B2" w:rsidRDefault="004368B2" w:rsidP="005E263E">
            <w:pPr>
              <w:spacing w:after="0" w:line="240" w:lineRule="auto"/>
              <w:rPr>
                <w:rFonts w:asciiTheme="minorHAnsi" w:hAnsiTheme="minorHAnsi" w:cstheme="minorHAnsi"/>
              </w:rPr>
            </w:pPr>
            <w:r>
              <w:rPr>
                <w:rFonts w:asciiTheme="minorHAnsi" w:hAnsiTheme="minorHAnsi" w:cstheme="minorHAnsi"/>
              </w:rPr>
              <w:t xml:space="preserve">No change. The Department intends to report certain accountability measures and maintain its practice of reporting district, school, and student group-level data for each accountability indicator. </w:t>
            </w:r>
          </w:p>
          <w:p w14:paraId="24388E70" w14:textId="77777777" w:rsidR="004368B2" w:rsidRPr="00D82CD5" w:rsidRDefault="004368B2" w:rsidP="005E263E">
            <w:pPr>
              <w:spacing w:after="0" w:line="240" w:lineRule="auto"/>
              <w:rPr>
                <w:rFonts w:asciiTheme="minorHAnsi" w:hAnsiTheme="minorHAnsi" w:cstheme="minorHAnsi"/>
                <w:highlight w:val="yellow"/>
              </w:rPr>
            </w:pPr>
          </w:p>
        </w:tc>
      </w:tr>
      <w:tr w:rsidR="004368B2" w:rsidRPr="00CD1570" w14:paraId="3154523A" w14:textId="77777777" w:rsidTr="3FC8B0A5">
        <w:tc>
          <w:tcPr>
            <w:tcW w:w="2499" w:type="pct"/>
          </w:tcPr>
          <w:p w14:paraId="2F5B2590" w14:textId="56363E98" w:rsidR="004368B2" w:rsidRDefault="004368B2" w:rsidP="005E263E">
            <w:pPr>
              <w:spacing w:after="0" w:line="240" w:lineRule="auto"/>
              <w:rPr>
                <w:rFonts w:asciiTheme="minorHAnsi" w:hAnsiTheme="minorHAnsi" w:cstheme="minorHAnsi"/>
              </w:rPr>
            </w:pPr>
            <w:r w:rsidRPr="00944B79">
              <w:rPr>
                <w:rFonts w:asciiTheme="minorHAnsi" w:hAnsiTheme="minorHAnsi" w:cstheme="minorHAnsi"/>
              </w:rPr>
              <w:t xml:space="preserve">Given </w:t>
            </w:r>
            <w:r>
              <w:rPr>
                <w:rFonts w:asciiTheme="minorHAnsi" w:hAnsiTheme="minorHAnsi" w:cstheme="minorHAnsi"/>
              </w:rPr>
              <w:t>challenges of the last two years</w:t>
            </w:r>
            <w:r w:rsidRPr="00944B79">
              <w:rPr>
                <w:rFonts w:asciiTheme="minorHAnsi" w:hAnsiTheme="minorHAnsi" w:cstheme="minorHAnsi"/>
              </w:rPr>
              <w:t xml:space="preserve">, it is more important than ever that districts and the state </w:t>
            </w:r>
            <w:r w:rsidR="00032F56" w:rsidRPr="00944B79">
              <w:rPr>
                <w:rFonts w:asciiTheme="minorHAnsi" w:hAnsiTheme="minorHAnsi" w:cstheme="minorHAnsi"/>
              </w:rPr>
              <w:t>can</w:t>
            </w:r>
            <w:r w:rsidRPr="00944B79">
              <w:rPr>
                <w:rFonts w:asciiTheme="minorHAnsi" w:hAnsiTheme="minorHAnsi" w:cstheme="minorHAnsi"/>
              </w:rPr>
              <w:t xml:space="preserve"> assess educational progress</w:t>
            </w:r>
            <w:r>
              <w:rPr>
                <w:rFonts w:asciiTheme="minorHAnsi" w:hAnsiTheme="minorHAnsi" w:cstheme="minorHAnsi"/>
              </w:rPr>
              <w:t xml:space="preserve">, especially for students with disabilities and </w:t>
            </w:r>
            <w:r w:rsidRPr="00944B79">
              <w:rPr>
                <w:rFonts w:asciiTheme="minorHAnsi" w:hAnsiTheme="minorHAnsi" w:cstheme="minorHAnsi"/>
              </w:rPr>
              <w:t xml:space="preserve">English learners. While the state may change what is done with this information, it </w:t>
            </w:r>
            <w:r w:rsidR="00032F56" w:rsidRPr="00944B79">
              <w:rPr>
                <w:rFonts w:asciiTheme="minorHAnsi" w:hAnsiTheme="minorHAnsi" w:cstheme="minorHAnsi"/>
              </w:rPr>
              <w:t>remains</w:t>
            </w:r>
            <w:r w:rsidRPr="00944B79">
              <w:rPr>
                <w:rFonts w:asciiTheme="minorHAnsi" w:hAnsiTheme="minorHAnsi" w:cstheme="minorHAnsi"/>
              </w:rPr>
              <w:t xml:space="preserve"> important to collect it.</w:t>
            </w:r>
            <w:r>
              <w:rPr>
                <w:rFonts w:asciiTheme="minorHAnsi" w:hAnsiTheme="minorHAnsi" w:cstheme="minorHAnsi"/>
              </w:rPr>
              <w:t xml:space="preserve"> (Kay)</w:t>
            </w:r>
          </w:p>
          <w:p w14:paraId="245A3D4B" w14:textId="136BF322" w:rsidR="004368B2" w:rsidRPr="00CD1570" w:rsidRDefault="004368B2" w:rsidP="005E263E">
            <w:pPr>
              <w:spacing w:after="0" w:line="240" w:lineRule="auto"/>
              <w:rPr>
                <w:rFonts w:asciiTheme="minorHAnsi" w:hAnsiTheme="minorHAnsi" w:cstheme="minorHAnsi"/>
              </w:rPr>
            </w:pPr>
          </w:p>
        </w:tc>
        <w:tc>
          <w:tcPr>
            <w:tcW w:w="2501" w:type="pct"/>
          </w:tcPr>
          <w:p w14:paraId="37ED49CB" w14:textId="0CE5922A" w:rsidR="004368B2" w:rsidRDefault="004368B2" w:rsidP="005E263E">
            <w:pPr>
              <w:spacing w:after="0" w:line="240" w:lineRule="auto"/>
              <w:rPr>
                <w:rFonts w:asciiTheme="minorHAnsi" w:hAnsiTheme="minorHAnsi" w:cstheme="minorHAnsi"/>
              </w:rPr>
            </w:pPr>
            <w:r>
              <w:rPr>
                <w:rFonts w:asciiTheme="minorHAnsi" w:hAnsiTheme="minorHAnsi" w:cstheme="minorHAnsi"/>
              </w:rPr>
              <w:t>No change. The proposed amendment does not alter DESE’s data collection requirements. Additionally, DESE intends to maintain its practice of reporting district, school, and student group-level data for each accountability indicator.</w:t>
            </w:r>
          </w:p>
          <w:p w14:paraId="34EE342C" w14:textId="53CE99C0" w:rsidR="004368B2" w:rsidRPr="00CD1570" w:rsidRDefault="004368B2" w:rsidP="005E263E">
            <w:pPr>
              <w:spacing w:after="0" w:line="240" w:lineRule="auto"/>
              <w:rPr>
                <w:rFonts w:asciiTheme="minorHAnsi" w:hAnsiTheme="minorHAnsi" w:cstheme="minorHAnsi"/>
              </w:rPr>
            </w:pPr>
          </w:p>
        </w:tc>
      </w:tr>
      <w:tr w:rsidR="004368B2" w:rsidRPr="00CD1570" w14:paraId="5D409862" w14:textId="77777777" w:rsidTr="3FC8B0A5">
        <w:tc>
          <w:tcPr>
            <w:tcW w:w="2499" w:type="pct"/>
          </w:tcPr>
          <w:p w14:paraId="0FE11A6B" w14:textId="6E99F0BB" w:rsidR="004368B2" w:rsidRDefault="004368B2" w:rsidP="005E263E">
            <w:pPr>
              <w:spacing w:after="0" w:line="240" w:lineRule="auto"/>
              <w:rPr>
                <w:rFonts w:asciiTheme="minorHAnsi" w:hAnsiTheme="minorHAnsi" w:cstheme="minorHAnsi"/>
              </w:rPr>
            </w:pPr>
            <w:r>
              <w:rPr>
                <w:rFonts w:asciiTheme="minorHAnsi" w:hAnsiTheme="minorHAnsi" w:cstheme="minorHAnsi"/>
              </w:rPr>
              <w:t>Removing</w:t>
            </w:r>
            <w:r w:rsidRPr="007A7C59">
              <w:rPr>
                <w:rFonts w:asciiTheme="minorHAnsi" w:hAnsiTheme="minorHAnsi" w:cstheme="minorHAnsi"/>
              </w:rPr>
              <w:t xml:space="preserve"> data and accountability information for schools</w:t>
            </w:r>
            <w:r>
              <w:rPr>
                <w:rFonts w:asciiTheme="minorHAnsi" w:hAnsiTheme="minorHAnsi" w:cstheme="minorHAnsi"/>
              </w:rPr>
              <w:t xml:space="preserve"> will prevent students with disabilities from receiving appropriate services. (Ferreira, Meunier)</w:t>
            </w:r>
          </w:p>
          <w:p w14:paraId="097CA942" w14:textId="193B3807" w:rsidR="004368B2" w:rsidRPr="00CD1570" w:rsidRDefault="004368B2" w:rsidP="005E263E">
            <w:pPr>
              <w:spacing w:after="0" w:line="240" w:lineRule="auto"/>
              <w:rPr>
                <w:rFonts w:asciiTheme="minorHAnsi" w:hAnsiTheme="minorHAnsi" w:cstheme="minorHAnsi"/>
              </w:rPr>
            </w:pPr>
          </w:p>
        </w:tc>
        <w:tc>
          <w:tcPr>
            <w:tcW w:w="2501" w:type="pct"/>
          </w:tcPr>
          <w:p w14:paraId="231ABCED" w14:textId="5AFF3D75" w:rsidR="004368B2" w:rsidRDefault="004368B2" w:rsidP="005E263E">
            <w:pPr>
              <w:spacing w:after="0" w:line="240" w:lineRule="auto"/>
              <w:rPr>
                <w:rFonts w:asciiTheme="minorHAnsi" w:hAnsiTheme="minorHAnsi" w:cstheme="minorHAnsi"/>
              </w:rPr>
            </w:pPr>
            <w:r>
              <w:rPr>
                <w:rFonts w:asciiTheme="minorHAnsi" w:hAnsiTheme="minorHAnsi" w:cstheme="minorHAnsi"/>
              </w:rPr>
              <w:t>No change. The Department intends to maintain its practice of reporting district, school, and student group-level data for each accountability indicator.</w:t>
            </w:r>
          </w:p>
          <w:p w14:paraId="0E75EE38" w14:textId="71CEBC4D" w:rsidR="004368B2" w:rsidRPr="00CD1570" w:rsidRDefault="004368B2" w:rsidP="005E263E">
            <w:pPr>
              <w:spacing w:after="0" w:line="240" w:lineRule="auto"/>
              <w:rPr>
                <w:rFonts w:asciiTheme="minorHAnsi" w:hAnsiTheme="minorHAnsi" w:cstheme="minorHAnsi"/>
              </w:rPr>
            </w:pPr>
          </w:p>
        </w:tc>
      </w:tr>
      <w:tr w:rsidR="004368B2" w:rsidRPr="00CD1570" w14:paraId="47AA4246" w14:textId="77777777" w:rsidTr="3FC8B0A5">
        <w:tc>
          <w:tcPr>
            <w:tcW w:w="2499" w:type="pct"/>
          </w:tcPr>
          <w:p w14:paraId="0D9C9897" w14:textId="0ABACA48" w:rsidR="004368B2" w:rsidRPr="00143690" w:rsidRDefault="004368B2" w:rsidP="005E263E">
            <w:pPr>
              <w:spacing w:after="0" w:line="240" w:lineRule="auto"/>
              <w:rPr>
                <w:rFonts w:asciiTheme="minorHAnsi" w:hAnsiTheme="minorHAnsi" w:cstheme="minorHAnsi"/>
              </w:rPr>
            </w:pPr>
            <w:r>
              <w:rPr>
                <w:rFonts w:asciiTheme="minorHAnsi" w:hAnsiTheme="minorHAnsi" w:cstheme="minorHAnsi"/>
              </w:rPr>
              <w:t>D</w:t>
            </w:r>
            <w:r w:rsidRPr="00143690">
              <w:rPr>
                <w:rFonts w:asciiTheme="minorHAnsi" w:hAnsiTheme="minorHAnsi" w:cstheme="minorHAnsi"/>
              </w:rPr>
              <w:t xml:space="preserve">ata </w:t>
            </w:r>
            <w:r>
              <w:rPr>
                <w:rFonts w:asciiTheme="minorHAnsi" w:hAnsiTheme="minorHAnsi" w:cstheme="minorHAnsi"/>
              </w:rPr>
              <w:t>helps</w:t>
            </w:r>
            <w:r w:rsidRPr="00143690">
              <w:rPr>
                <w:rFonts w:asciiTheme="minorHAnsi" w:hAnsiTheme="minorHAnsi" w:cstheme="minorHAnsi"/>
              </w:rPr>
              <w:t xml:space="preserve"> districts</w:t>
            </w:r>
            <w:r>
              <w:rPr>
                <w:rFonts w:asciiTheme="minorHAnsi" w:hAnsiTheme="minorHAnsi" w:cstheme="minorHAnsi"/>
              </w:rPr>
              <w:t xml:space="preserve">, </w:t>
            </w:r>
            <w:r w:rsidRPr="00143690">
              <w:rPr>
                <w:rFonts w:asciiTheme="minorHAnsi" w:hAnsiTheme="minorHAnsi" w:cstheme="minorHAnsi"/>
              </w:rPr>
              <w:t>parents</w:t>
            </w:r>
            <w:r>
              <w:rPr>
                <w:rFonts w:asciiTheme="minorHAnsi" w:hAnsiTheme="minorHAnsi" w:cstheme="minorHAnsi"/>
              </w:rPr>
              <w:t>, and stakeholders</w:t>
            </w:r>
            <w:r w:rsidRPr="00143690">
              <w:rPr>
                <w:rFonts w:asciiTheme="minorHAnsi" w:hAnsiTheme="minorHAnsi" w:cstheme="minorHAnsi"/>
              </w:rPr>
              <w:t xml:space="preserve"> </w:t>
            </w:r>
            <w:r>
              <w:rPr>
                <w:rFonts w:asciiTheme="minorHAnsi" w:hAnsiTheme="minorHAnsi" w:cstheme="minorHAnsi"/>
              </w:rPr>
              <w:t>understand where progress is being made, what strengths and challenges exist, and whether certain student groups (i.e., students with disabilities) are supported effectively</w:t>
            </w:r>
            <w:r w:rsidRPr="00143690">
              <w:rPr>
                <w:rFonts w:asciiTheme="minorHAnsi" w:hAnsiTheme="minorHAnsi" w:cstheme="minorHAnsi"/>
              </w:rPr>
              <w:t xml:space="preserve">. </w:t>
            </w:r>
            <w:r>
              <w:rPr>
                <w:rFonts w:asciiTheme="minorHAnsi" w:hAnsiTheme="minorHAnsi" w:cstheme="minorHAnsi"/>
              </w:rPr>
              <w:t>(</w:t>
            </w:r>
            <w:r w:rsidRPr="00B45C2A">
              <w:rPr>
                <w:rFonts w:asciiTheme="minorHAnsi" w:hAnsiTheme="minorHAnsi" w:cstheme="minorHAnsi"/>
              </w:rPr>
              <w:t>Conrad-</w:t>
            </w:r>
            <w:proofErr w:type="spellStart"/>
            <w:r w:rsidRPr="00B45C2A">
              <w:rPr>
                <w:rFonts w:asciiTheme="minorHAnsi" w:hAnsiTheme="minorHAnsi" w:cstheme="minorHAnsi"/>
              </w:rPr>
              <w:t>Laberinto</w:t>
            </w:r>
            <w:proofErr w:type="spellEnd"/>
            <w:r>
              <w:rPr>
                <w:rFonts w:asciiTheme="minorHAnsi" w:hAnsiTheme="minorHAnsi" w:cstheme="minorHAnsi"/>
              </w:rPr>
              <w:t>, Meunier, Toth)</w:t>
            </w:r>
          </w:p>
          <w:p w14:paraId="7818FAA3" w14:textId="77777777" w:rsidR="004368B2" w:rsidRPr="00CD1570" w:rsidRDefault="004368B2" w:rsidP="005E263E">
            <w:pPr>
              <w:spacing w:after="0" w:line="240" w:lineRule="auto"/>
              <w:rPr>
                <w:rFonts w:asciiTheme="minorHAnsi" w:hAnsiTheme="minorHAnsi" w:cstheme="minorHAnsi"/>
              </w:rPr>
            </w:pPr>
          </w:p>
        </w:tc>
        <w:tc>
          <w:tcPr>
            <w:tcW w:w="2501" w:type="pct"/>
          </w:tcPr>
          <w:p w14:paraId="07464DE0" w14:textId="77777777" w:rsidR="004368B2" w:rsidRDefault="004368B2" w:rsidP="005E263E">
            <w:pPr>
              <w:spacing w:after="0" w:line="240" w:lineRule="auto"/>
              <w:rPr>
                <w:rFonts w:asciiTheme="minorHAnsi" w:hAnsiTheme="minorHAnsi" w:cstheme="minorHAnsi"/>
              </w:rPr>
            </w:pPr>
            <w:r>
              <w:rPr>
                <w:rFonts w:asciiTheme="minorHAnsi" w:hAnsiTheme="minorHAnsi" w:cstheme="minorHAnsi"/>
              </w:rPr>
              <w:t>No change. The Department intends to maintain its practice of reporting district, school, and student group-level data for each accountability indicator.</w:t>
            </w:r>
          </w:p>
          <w:p w14:paraId="71543CB8" w14:textId="77777777" w:rsidR="004368B2" w:rsidRPr="00CD1570" w:rsidRDefault="004368B2" w:rsidP="005E263E">
            <w:pPr>
              <w:spacing w:after="0" w:line="240" w:lineRule="auto"/>
              <w:rPr>
                <w:rFonts w:asciiTheme="minorHAnsi" w:hAnsiTheme="minorHAnsi" w:cstheme="minorHAnsi"/>
              </w:rPr>
            </w:pPr>
          </w:p>
        </w:tc>
      </w:tr>
      <w:tr w:rsidR="004368B2" w:rsidRPr="00CD1570" w14:paraId="5DBA3E6A" w14:textId="77777777" w:rsidTr="3FC8B0A5">
        <w:tc>
          <w:tcPr>
            <w:tcW w:w="2499" w:type="pct"/>
          </w:tcPr>
          <w:p w14:paraId="6BA63931" w14:textId="6A1397B9" w:rsidR="004368B2" w:rsidRDefault="004368B2" w:rsidP="005E263E">
            <w:pPr>
              <w:spacing w:after="0" w:line="240" w:lineRule="auto"/>
              <w:rPr>
                <w:rFonts w:asciiTheme="minorHAnsi" w:hAnsiTheme="minorHAnsi" w:cstheme="minorHAnsi"/>
              </w:rPr>
            </w:pPr>
            <w:r>
              <w:rPr>
                <w:rFonts w:asciiTheme="minorHAnsi" w:hAnsiTheme="minorHAnsi" w:cstheme="minorHAnsi"/>
              </w:rPr>
              <w:t>D</w:t>
            </w:r>
            <w:r w:rsidRPr="005A53E5">
              <w:rPr>
                <w:rFonts w:asciiTheme="minorHAnsi" w:hAnsiTheme="minorHAnsi" w:cstheme="minorHAnsi"/>
              </w:rPr>
              <w:t xml:space="preserve">ata informs school districts whether </w:t>
            </w:r>
            <w:r>
              <w:rPr>
                <w:rFonts w:asciiTheme="minorHAnsi" w:hAnsiTheme="minorHAnsi" w:cstheme="minorHAnsi"/>
              </w:rPr>
              <w:t>taxpayer</w:t>
            </w:r>
            <w:r w:rsidRPr="005A53E5">
              <w:rPr>
                <w:rFonts w:asciiTheme="minorHAnsi" w:hAnsiTheme="minorHAnsi" w:cstheme="minorHAnsi"/>
              </w:rPr>
              <w:t xml:space="preserve"> funds have been well invested in new programs and COVID recovery efforts. </w:t>
            </w:r>
            <w:r>
              <w:rPr>
                <w:rFonts w:asciiTheme="minorHAnsi" w:hAnsiTheme="minorHAnsi" w:cstheme="minorHAnsi"/>
              </w:rPr>
              <w:t>(</w:t>
            </w:r>
            <w:r w:rsidRPr="005A67D7">
              <w:rPr>
                <w:rFonts w:asciiTheme="minorHAnsi" w:hAnsiTheme="minorHAnsi" w:cstheme="minorHAnsi"/>
              </w:rPr>
              <w:t>Meunier</w:t>
            </w:r>
            <w:r>
              <w:rPr>
                <w:rFonts w:asciiTheme="minorHAnsi" w:hAnsiTheme="minorHAnsi" w:cstheme="minorHAnsi"/>
              </w:rPr>
              <w:t>)</w:t>
            </w:r>
          </w:p>
          <w:p w14:paraId="0AA20769" w14:textId="153349E3" w:rsidR="004368B2" w:rsidRPr="00CD1570" w:rsidRDefault="004368B2" w:rsidP="005E263E">
            <w:pPr>
              <w:spacing w:after="0" w:line="240" w:lineRule="auto"/>
              <w:rPr>
                <w:rFonts w:asciiTheme="minorHAnsi" w:hAnsiTheme="minorHAnsi" w:cstheme="minorHAnsi"/>
              </w:rPr>
            </w:pPr>
          </w:p>
        </w:tc>
        <w:tc>
          <w:tcPr>
            <w:tcW w:w="2501" w:type="pct"/>
          </w:tcPr>
          <w:p w14:paraId="6BEE4589" w14:textId="77777777" w:rsidR="004368B2" w:rsidRDefault="004368B2" w:rsidP="005E263E">
            <w:pPr>
              <w:spacing w:after="0" w:line="240" w:lineRule="auto"/>
              <w:rPr>
                <w:rFonts w:asciiTheme="minorHAnsi" w:hAnsiTheme="minorHAnsi" w:cstheme="minorHAnsi"/>
              </w:rPr>
            </w:pPr>
            <w:r>
              <w:rPr>
                <w:rFonts w:asciiTheme="minorHAnsi" w:hAnsiTheme="minorHAnsi" w:cstheme="minorHAnsi"/>
              </w:rPr>
              <w:t>No change. The Department intends to maintain its practice of reporting district, school, and student group-level data for each accountability indicator.</w:t>
            </w:r>
          </w:p>
          <w:p w14:paraId="0502F694" w14:textId="77777777" w:rsidR="004368B2" w:rsidRPr="00CD1570" w:rsidRDefault="004368B2" w:rsidP="005E263E">
            <w:pPr>
              <w:spacing w:after="0" w:line="240" w:lineRule="auto"/>
              <w:rPr>
                <w:rFonts w:asciiTheme="minorHAnsi" w:hAnsiTheme="minorHAnsi" w:cstheme="minorHAnsi"/>
              </w:rPr>
            </w:pPr>
          </w:p>
        </w:tc>
      </w:tr>
    </w:tbl>
    <w:p w14:paraId="5DCFAF48" w14:textId="5A2B22F1" w:rsidR="00C628C0" w:rsidRDefault="00C628C0" w:rsidP="005E263E">
      <w:pPr>
        <w:spacing w:after="0" w:line="240" w:lineRule="auto"/>
        <w:rPr>
          <w:rFonts w:asciiTheme="minorHAnsi" w:hAnsiTheme="minorHAnsi" w:cstheme="minorHAnsi"/>
        </w:rPr>
      </w:pPr>
    </w:p>
    <w:p w14:paraId="37E05C82" w14:textId="280FA326" w:rsidR="00865D61" w:rsidRPr="00CD1570" w:rsidRDefault="00865D61" w:rsidP="005E263E">
      <w:pPr>
        <w:spacing w:after="0" w:line="240" w:lineRule="auto"/>
        <w:rPr>
          <w:rFonts w:asciiTheme="minorHAnsi" w:hAnsiTheme="minorHAnsi" w:cstheme="minorHAnsi"/>
        </w:rPr>
      </w:pPr>
    </w:p>
    <w:sectPr w:rsidR="00865D61" w:rsidRPr="00CD1570" w:rsidSect="007D0E5A">
      <w:headerReference w:type="default" r:id="rId11"/>
      <w:footerReference w:type="defaul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C315" w14:textId="77777777" w:rsidR="008A0E4B" w:rsidRDefault="008A0E4B" w:rsidP="000509CD">
      <w:pPr>
        <w:spacing w:after="0" w:line="240" w:lineRule="auto"/>
      </w:pPr>
      <w:r>
        <w:separator/>
      </w:r>
    </w:p>
  </w:endnote>
  <w:endnote w:type="continuationSeparator" w:id="0">
    <w:p w14:paraId="2C3664EC" w14:textId="77777777" w:rsidR="008A0E4B" w:rsidRDefault="008A0E4B" w:rsidP="0005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DA67" w14:textId="75723DB5" w:rsidR="000509CD" w:rsidRDefault="00821621" w:rsidP="000509CD">
    <w:pPr>
      <w:pStyle w:val="Footer"/>
      <w:jc w:val="right"/>
    </w:pPr>
    <w:r>
      <w:t xml:space="preserve">Massachusetts Department of Elementary and Secondary Education – </w:t>
    </w:r>
    <w:r w:rsidR="00C472F1">
      <w:t xml:space="preserve">Page </w:t>
    </w:r>
    <w:sdt>
      <w:sdtPr>
        <w:id w:val="-1613508227"/>
        <w:docPartObj>
          <w:docPartGallery w:val="Page Numbers (Bottom of Page)"/>
          <w:docPartUnique/>
        </w:docPartObj>
      </w:sdtPr>
      <w:sdtEndPr>
        <w:rPr>
          <w:noProof/>
        </w:rPr>
      </w:sdtEndPr>
      <w:sdtContent>
        <w:r w:rsidR="000509CD">
          <w:fldChar w:fldCharType="begin"/>
        </w:r>
        <w:r w:rsidR="000509CD">
          <w:instrText xml:space="preserve"> PAGE   \* MERGEFORMAT </w:instrText>
        </w:r>
        <w:r w:rsidR="000509CD">
          <w:fldChar w:fldCharType="separate"/>
        </w:r>
        <w:r w:rsidR="009617BA">
          <w:rPr>
            <w:noProof/>
          </w:rPr>
          <w:t>5</w:t>
        </w:r>
        <w:r w:rsidR="000509C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09B1C" w14:textId="77777777" w:rsidR="008A0E4B" w:rsidRDefault="008A0E4B" w:rsidP="000509CD">
      <w:pPr>
        <w:spacing w:after="0" w:line="240" w:lineRule="auto"/>
      </w:pPr>
      <w:r>
        <w:separator/>
      </w:r>
    </w:p>
  </w:footnote>
  <w:footnote w:type="continuationSeparator" w:id="0">
    <w:p w14:paraId="0078A16B" w14:textId="77777777" w:rsidR="008A0E4B" w:rsidRDefault="008A0E4B" w:rsidP="0005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693C" w14:textId="2A6113D9" w:rsidR="00B9406D" w:rsidRDefault="00B94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00884"/>
    <w:multiLevelType w:val="hybridMultilevel"/>
    <w:tmpl w:val="9D16C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0"/>
  </w:num>
  <w:num w:numId="4">
    <w:abstractNumId w:val="6"/>
  </w:num>
  <w:num w:numId="5">
    <w:abstractNumId w:val="7"/>
  </w:num>
  <w:num w:numId="6">
    <w:abstractNumId w:val="2"/>
  </w:num>
  <w:num w:numId="7">
    <w:abstractNumId w:val="9"/>
  </w:num>
  <w:num w:numId="8">
    <w:abstractNumId w:val="8"/>
  </w:num>
  <w:num w:numId="9">
    <w:abstractNumId w:val="4"/>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D"/>
    <w:rsid w:val="00001A87"/>
    <w:rsid w:val="0000589B"/>
    <w:rsid w:val="000076E0"/>
    <w:rsid w:val="00010700"/>
    <w:rsid w:val="00032F56"/>
    <w:rsid w:val="000509CD"/>
    <w:rsid w:val="00081017"/>
    <w:rsid w:val="000918F0"/>
    <w:rsid w:val="000A6772"/>
    <w:rsid w:val="000B40D1"/>
    <w:rsid w:val="000C19D4"/>
    <w:rsid w:val="000C1F6E"/>
    <w:rsid w:val="000C70FE"/>
    <w:rsid w:val="000E7AF7"/>
    <w:rsid w:val="000F0CD8"/>
    <w:rsid w:val="00107E5B"/>
    <w:rsid w:val="001406AC"/>
    <w:rsid w:val="00143690"/>
    <w:rsid w:val="0015393B"/>
    <w:rsid w:val="0015526E"/>
    <w:rsid w:val="001676B0"/>
    <w:rsid w:val="00184AF7"/>
    <w:rsid w:val="001935EF"/>
    <w:rsid w:val="001A0DBD"/>
    <w:rsid w:val="001A6928"/>
    <w:rsid w:val="001A7FD2"/>
    <w:rsid w:val="001C5A6D"/>
    <w:rsid w:val="001F4836"/>
    <w:rsid w:val="00211F12"/>
    <w:rsid w:val="00214715"/>
    <w:rsid w:val="00222DC6"/>
    <w:rsid w:val="00231620"/>
    <w:rsid w:val="00232FA3"/>
    <w:rsid w:val="00236CD4"/>
    <w:rsid w:val="002609A9"/>
    <w:rsid w:val="00263C52"/>
    <w:rsid w:val="00265A7B"/>
    <w:rsid w:val="00295CE1"/>
    <w:rsid w:val="00296355"/>
    <w:rsid w:val="002A01D1"/>
    <w:rsid w:val="002B4D54"/>
    <w:rsid w:val="002C51D3"/>
    <w:rsid w:val="002D50E0"/>
    <w:rsid w:val="002E757D"/>
    <w:rsid w:val="00311D7F"/>
    <w:rsid w:val="00352FFA"/>
    <w:rsid w:val="003608CE"/>
    <w:rsid w:val="00363918"/>
    <w:rsid w:val="0036692C"/>
    <w:rsid w:val="00390261"/>
    <w:rsid w:val="003903A8"/>
    <w:rsid w:val="003A0666"/>
    <w:rsid w:val="003D0E6E"/>
    <w:rsid w:val="003D174D"/>
    <w:rsid w:val="003D6EAB"/>
    <w:rsid w:val="003E0C46"/>
    <w:rsid w:val="003E2161"/>
    <w:rsid w:val="003F0660"/>
    <w:rsid w:val="003F2D61"/>
    <w:rsid w:val="0040334B"/>
    <w:rsid w:val="00403F84"/>
    <w:rsid w:val="004106C2"/>
    <w:rsid w:val="00411D82"/>
    <w:rsid w:val="004200AB"/>
    <w:rsid w:val="00430222"/>
    <w:rsid w:val="004368B2"/>
    <w:rsid w:val="00437625"/>
    <w:rsid w:val="004409DE"/>
    <w:rsid w:val="00441C80"/>
    <w:rsid w:val="004435A9"/>
    <w:rsid w:val="00470EDB"/>
    <w:rsid w:val="004832A3"/>
    <w:rsid w:val="004A3EEE"/>
    <w:rsid w:val="004A4A13"/>
    <w:rsid w:val="004C41CB"/>
    <w:rsid w:val="004D25C8"/>
    <w:rsid w:val="004D5EF2"/>
    <w:rsid w:val="004E031C"/>
    <w:rsid w:val="00506FA3"/>
    <w:rsid w:val="005174F3"/>
    <w:rsid w:val="00522D6D"/>
    <w:rsid w:val="00526274"/>
    <w:rsid w:val="00535138"/>
    <w:rsid w:val="0054265F"/>
    <w:rsid w:val="00571331"/>
    <w:rsid w:val="00581DB0"/>
    <w:rsid w:val="0058383D"/>
    <w:rsid w:val="0058549C"/>
    <w:rsid w:val="00596AF7"/>
    <w:rsid w:val="005A02E3"/>
    <w:rsid w:val="005A297D"/>
    <w:rsid w:val="005A53E5"/>
    <w:rsid w:val="005A67D7"/>
    <w:rsid w:val="005C0759"/>
    <w:rsid w:val="005D0C9C"/>
    <w:rsid w:val="005D68F8"/>
    <w:rsid w:val="005E11D8"/>
    <w:rsid w:val="005E263E"/>
    <w:rsid w:val="005E364A"/>
    <w:rsid w:val="005F3EF1"/>
    <w:rsid w:val="00603947"/>
    <w:rsid w:val="00622751"/>
    <w:rsid w:val="00622793"/>
    <w:rsid w:val="00627B9E"/>
    <w:rsid w:val="00635991"/>
    <w:rsid w:val="0064218A"/>
    <w:rsid w:val="00643F99"/>
    <w:rsid w:val="006510A8"/>
    <w:rsid w:val="00676D04"/>
    <w:rsid w:val="00692763"/>
    <w:rsid w:val="006A1766"/>
    <w:rsid w:val="006B49FF"/>
    <w:rsid w:val="006D6495"/>
    <w:rsid w:val="00704CCB"/>
    <w:rsid w:val="007157A2"/>
    <w:rsid w:val="00720A99"/>
    <w:rsid w:val="007310B4"/>
    <w:rsid w:val="007416B0"/>
    <w:rsid w:val="007434F4"/>
    <w:rsid w:val="007575BE"/>
    <w:rsid w:val="00757CD8"/>
    <w:rsid w:val="00763D7B"/>
    <w:rsid w:val="00770B68"/>
    <w:rsid w:val="00777324"/>
    <w:rsid w:val="007978FD"/>
    <w:rsid w:val="007A7C59"/>
    <w:rsid w:val="007D0E5A"/>
    <w:rsid w:val="00802580"/>
    <w:rsid w:val="008074D3"/>
    <w:rsid w:val="00821621"/>
    <w:rsid w:val="00832B86"/>
    <w:rsid w:val="00844D49"/>
    <w:rsid w:val="00845487"/>
    <w:rsid w:val="00852990"/>
    <w:rsid w:val="0085415E"/>
    <w:rsid w:val="0086055E"/>
    <w:rsid w:val="00862930"/>
    <w:rsid w:val="00864618"/>
    <w:rsid w:val="00865D61"/>
    <w:rsid w:val="00867C6C"/>
    <w:rsid w:val="00873B06"/>
    <w:rsid w:val="00885B86"/>
    <w:rsid w:val="00893EFF"/>
    <w:rsid w:val="008945AF"/>
    <w:rsid w:val="00895998"/>
    <w:rsid w:val="008A0E4B"/>
    <w:rsid w:val="008C2457"/>
    <w:rsid w:val="008C5738"/>
    <w:rsid w:val="008E7DEE"/>
    <w:rsid w:val="008F18F6"/>
    <w:rsid w:val="00913617"/>
    <w:rsid w:val="00926DF2"/>
    <w:rsid w:val="00932656"/>
    <w:rsid w:val="00944B79"/>
    <w:rsid w:val="00947F1B"/>
    <w:rsid w:val="009617BA"/>
    <w:rsid w:val="00992AFE"/>
    <w:rsid w:val="009C429F"/>
    <w:rsid w:val="009C5A78"/>
    <w:rsid w:val="009C75AA"/>
    <w:rsid w:val="009E2984"/>
    <w:rsid w:val="00A127DC"/>
    <w:rsid w:val="00A21B1F"/>
    <w:rsid w:val="00A22006"/>
    <w:rsid w:val="00A46AA3"/>
    <w:rsid w:val="00A63806"/>
    <w:rsid w:val="00A67B24"/>
    <w:rsid w:val="00A8562C"/>
    <w:rsid w:val="00A93B54"/>
    <w:rsid w:val="00A94653"/>
    <w:rsid w:val="00A94871"/>
    <w:rsid w:val="00AB4EBA"/>
    <w:rsid w:val="00AD7C02"/>
    <w:rsid w:val="00AF0815"/>
    <w:rsid w:val="00AF0CA5"/>
    <w:rsid w:val="00AF5FC6"/>
    <w:rsid w:val="00B26ECA"/>
    <w:rsid w:val="00B36D24"/>
    <w:rsid w:val="00B40E73"/>
    <w:rsid w:val="00B435A4"/>
    <w:rsid w:val="00B43860"/>
    <w:rsid w:val="00B45C2A"/>
    <w:rsid w:val="00B503C7"/>
    <w:rsid w:val="00B50AEC"/>
    <w:rsid w:val="00B52739"/>
    <w:rsid w:val="00B936EE"/>
    <w:rsid w:val="00B9406D"/>
    <w:rsid w:val="00BA0AE5"/>
    <w:rsid w:val="00BC0622"/>
    <w:rsid w:val="00BD358A"/>
    <w:rsid w:val="00BD38EE"/>
    <w:rsid w:val="00BD5148"/>
    <w:rsid w:val="00C016B9"/>
    <w:rsid w:val="00C05080"/>
    <w:rsid w:val="00C472F1"/>
    <w:rsid w:val="00C54933"/>
    <w:rsid w:val="00C628C0"/>
    <w:rsid w:val="00C72D67"/>
    <w:rsid w:val="00C94B5B"/>
    <w:rsid w:val="00C95ABD"/>
    <w:rsid w:val="00CA685C"/>
    <w:rsid w:val="00CB1C2B"/>
    <w:rsid w:val="00CB7AD5"/>
    <w:rsid w:val="00CD1570"/>
    <w:rsid w:val="00CE2F0B"/>
    <w:rsid w:val="00CE57CE"/>
    <w:rsid w:val="00CF38A5"/>
    <w:rsid w:val="00CF74EB"/>
    <w:rsid w:val="00D03809"/>
    <w:rsid w:val="00D05D0E"/>
    <w:rsid w:val="00D17315"/>
    <w:rsid w:val="00D22122"/>
    <w:rsid w:val="00D43C76"/>
    <w:rsid w:val="00D4406C"/>
    <w:rsid w:val="00D650EE"/>
    <w:rsid w:val="00D65F9B"/>
    <w:rsid w:val="00D70A18"/>
    <w:rsid w:val="00D70EFE"/>
    <w:rsid w:val="00D81CCB"/>
    <w:rsid w:val="00D82CD5"/>
    <w:rsid w:val="00D97DC8"/>
    <w:rsid w:val="00DA6324"/>
    <w:rsid w:val="00DD75AC"/>
    <w:rsid w:val="00DE14C0"/>
    <w:rsid w:val="00DF6718"/>
    <w:rsid w:val="00E02142"/>
    <w:rsid w:val="00E03CA2"/>
    <w:rsid w:val="00E152C5"/>
    <w:rsid w:val="00E240B6"/>
    <w:rsid w:val="00E25ECB"/>
    <w:rsid w:val="00E46154"/>
    <w:rsid w:val="00E869B5"/>
    <w:rsid w:val="00E958A1"/>
    <w:rsid w:val="00EA14F6"/>
    <w:rsid w:val="00EA3688"/>
    <w:rsid w:val="00EA526B"/>
    <w:rsid w:val="00EA7D21"/>
    <w:rsid w:val="00EC4638"/>
    <w:rsid w:val="00EC596B"/>
    <w:rsid w:val="00EC5B84"/>
    <w:rsid w:val="00EF28AB"/>
    <w:rsid w:val="00F0382F"/>
    <w:rsid w:val="00F064B9"/>
    <w:rsid w:val="00F4242A"/>
    <w:rsid w:val="00F6296B"/>
    <w:rsid w:val="00F62C15"/>
    <w:rsid w:val="00F72EE8"/>
    <w:rsid w:val="00FB28C7"/>
    <w:rsid w:val="00FD4053"/>
    <w:rsid w:val="00FE1131"/>
    <w:rsid w:val="3FC8B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EE8C10AF-3B9D-400C-AFEA-B20E7E0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 w:type="paragraph" w:styleId="PlainText">
    <w:name w:val="Plain Text"/>
    <w:basedOn w:val="Normal"/>
    <w:link w:val="PlainTextChar"/>
    <w:uiPriority w:val="99"/>
    <w:semiHidden/>
    <w:unhideWhenUsed/>
    <w:rsid w:val="00581DB0"/>
    <w:pPr>
      <w:spacing w:after="0" w:line="240" w:lineRule="auto"/>
    </w:pPr>
    <w:rPr>
      <w:szCs w:val="21"/>
    </w:rPr>
  </w:style>
  <w:style w:type="character" w:customStyle="1" w:styleId="PlainTextChar">
    <w:name w:val="Plain Text Char"/>
    <w:basedOn w:val="DefaultParagraphFont"/>
    <w:link w:val="PlainText"/>
    <w:uiPriority w:val="99"/>
    <w:semiHidden/>
    <w:rsid w:val="00581DB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28187">
      <w:bodyDiv w:val="1"/>
      <w:marLeft w:val="0"/>
      <w:marRight w:val="0"/>
      <w:marTop w:val="0"/>
      <w:marBottom w:val="0"/>
      <w:divBdr>
        <w:top w:val="none" w:sz="0" w:space="0" w:color="auto"/>
        <w:left w:val="none" w:sz="0" w:space="0" w:color="auto"/>
        <w:bottom w:val="none" w:sz="0" w:space="0" w:color="auto"/>
        <w:right w:val="none" w:sz="0" w:space="0" w:color="auto"/>
      </w:divBdr>
    </w:div>
    <w:div w:id="676154811">
      <w:bodyDiv w:val="1"/>
      <w:marLeft w:val="0"/>
      <w:marRight w:val="0"/>
      <w:marTop w:val="0"/>
      <w:marBottom w:val="0"/>
      <w:divBdr>
        <w:top w:val="none" w:sz="0" w:space="0" w:color="auto"/>
        <w:left w:val="none" w:sz="0" w:space="0" w:color="auto"/>
        <w:bottom w:val="none" w:sz="0" w:space="0" w:color="auto"/>
        <w:right w:val="none" w:sz="0" w:space="0" w:color="auto"/>
      </w:divBdr>
    </w:div>
    <w:div w:id="1144280195">
      <w:bodyDiv w:val="1"/>
      <w:marLeft w:val="0"/>
      <w:marRight w:val="0"/>
      <w:marTop w:val="0"/>
      <w:marBottom w:val="0"/>
      <w:divBdr>
        <w:top w:val="none" w:sz="0" w:space="0" w:color="auto"/>
        <w:left w:val="none" w:sz="0" w:space="0" w:color="auto"/>
        <w:bottom w:val="none" w:sz="0" w:space="0" w:color="auto"/>
        <w:right w:val="none" w:sz="0" w:space="0" w:color="auto"/>
      </w:divBdr>
    </w:div>
    <w:div w:id="1301153214">
      <w:bodyDiv w:val="1"/>
      <w:marLeft w:val="0"/>
      <w:marRight w:val="0"/>
      <w:marTop w:val="0"/>
      <w:marBottom w:val="0"/>
      <w:divBdr>
        <w:top w:val="none" w:sz="0" w:space="0" w:color="auto"/>
        <w:left w:val="none" w:sz="0" w:space="0" w:color="auto"/>
        <w:bottom w:val="none" w:sz="0" w:space="0" w:color="auto"/>
        <w:right w:val="none" w:sz="0" w:space="0" w:color="auto"/>
      </w:divBdr>
    </w:div>
    <w:div w:id="1389644273">
      <w:bodyDiv w:val="1"/>
      <w:marLeft w:val="0"/>
      <w:marRight w:val="0"/>
      <w:marTop w:val="0"/>
      <w:marBottom w:val="0"/>
      <w:divBdr>
        <w:top w:val="none" w:sz="0" w:space="0" w:color="auto"/>
        <w:left w:val="none" w:sz="0" w:space="0" w:color="auto"/>
        <w:bottom w:val="none" w:sz="0" w:space="0" w:color="auto"/>
        <w:right w:val="none" w:sz="0" w:space="0" w:color="auto"/>
      </w:divBdr>
    </w:div>
    <w:div w:id="16894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8F49-83A8-4D14-896C-030E271C1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C758D-8384-46EA-A89A-ABE1870C1612}">
  <ds:schemaRefs>
    <ds:schemaRef ds:uri="http://schemas.microsoft.com/sharepoint/v3/contenttype/forms"/>
  </ds:schemaRefs>
</ds:datastoreItem>
</file>

<file path=customXml/itemProps3.xml><?xml version="1.0" encoding="utf-8"?>
<ds:datastoreItem xmlns:ds="http://schemas.openxmlformats.org/officeDocument/2006/customXml" ds:itemID="{18FBD918-1E7B-41CD-A5A9-AE527ECDD3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DB9CE8-2AEA-46A2-8DFA-DA56F6EA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Summary of public comment on 603 CMR 2.00 - June 2018</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3 Attachment: Summary of Public Comment Received</dc:title>
  <dc:subject/>
  <dc:creator>DESE</dc:creator>
  <cp:keywords/>
  <dc:description/>
  <cp:lastModifiedBy>Zou, Dong (EOE)</cp:lastModifiedBy>
  <cp:revision>4</cp:revision>
  <dcterms:created xsi:type="dcterms:W3CDTF">2022-06-21T17:07:00Z</dcterms:created>
  <dcterms:modified xsi:type="dcterms:W3CDTF">2022-06-23T14:43:00Z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