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E5C6A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4257C119" wp14:editId="2A76E56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625C3409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6451BD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8BA52EB" wp14:editId="2E4BADC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64248E0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244976B3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315B6CF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B704BED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E1D70C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6967A4D" w14:textId="77777777">
        <w:tc>
          <w:tcPr>
            <w:tcW w:w="2988" w:type="dxa"/>
          </w:tcPr>
          <w:p w14:paraId="0A7D610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070053B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29844DC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5DE8F4D" w14:textId="77777777" w:rsidR="00A20194" w:rsidRDefault="00A20194">
      <w:pPr>
        <w:rPr>
          <w:rFonts w:ascii="Arial" w:hAnsi="Arial"/>
          <w:i/>
          <w:sz w:val="18"/>
        </w:rPr>
      </w:pPr>
    </w:p>
    <w:p w14:paraId="662C40B5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4ABB4163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CC84072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795D01D8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31D714FF" w14:textId="77777777" w:rsidTr="00F865A3">
        <w:tc>
          <w:tcPr>
            <w:tcW w:w="1188" w:type="dxa"/>
          </w:tcPr>
          <w:p w14:paraId="001CB0A9" w14:textId="77777777" w:rsidR="0059178C" w:rsidRDefault="0059178C" w:rsidP="00F865A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67B1FA2A" w14:textId="77777777" w:rsidR="0059178C" w:rsidRDefault="0059178C" w:rsidP="00F865A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EC702FF" w14:textId="77777777" w:rsidTr="00F865A3">
        <w:tc>
          <w:tcPr>
            <w:tcW w:w="1188" w:type="dxa"/>
          </w:tcPr>
          <w:p w14:paraId="234D468B" w14:textId="77777777" w:rsidR="0059178C" w:rsidRDefault="0059178C" w:rsidP="00F865A3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6697F60B" w14:textId="77777777" w:rsidR="0059178C" w:rsidRDefault="0059178C" w:rsidP="00F865A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20A1E518" w14:textId="77777777" w:rsidTr="00F865A3">
        <w:tc>
          <w:tcPr>
            <w:tcW w:w="1188" w:type="dxa"/>
          </w:tcPr>
          <w:p w14:paraId="63CAEC44" w14:textId="77777777" w:rsidR="0059178C" w:rsidRDefault="0059178C" w:rsidP="00F865A3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AD6E1D0" w14:textId="339D7762" w:rsidR="0059178C" w:rsidRPr="00AA6708" w:rsidRDefault="00DB488E" w:rsidP="00F865A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AA6708">
              <w:rPr>
                <w:bCs/>
                <w:snapToGrid w:val="0"/>
                <w:szCs w:val="20"/>
              </w:rPr>
              <w:t xml:space="preserve">June </w:t>
            </w:r>
            <w:r w:rsidR="0005455B">
              <w:rPr>
                <w:bCs/>
                <w:snapToGrid w:val="0"/>
                <w:szCs w:val="20"/>
              </w:rPr>
              <w:t>22</w:t>
            </w:r>
            <w:r w:rsidR="00C26FBE" w:rsidRPr="00AA6708">
              <w:rPr>
                <w:bCs/>
                <w:snapToGrid w:val="0"/>
                <w:szCs w:val="20"/>
              </w:rPr>
              <w:t>, 202</w:t>
            </w:r>
            <w:r w:rsidR="00AA6708" w:rsidRPr="00AA6708">
              <w:rPr>
                <w:bCs/>
                <w:snapToGrid w:val="0"/>
                <w:szCs w:val="20"/>
              </w:rPr>
              <w:t>2</w:t>
            </w:r>
          </w:p>
        </w:tc>
      </w:tr>
      <w:tr w:rsidR="0059178C" w14:paraId="3BAD616D" w14:textId="77777777" w:rsidTr="00F865A3">
        <w:tc>
          <w:tcPr>
            <w:tcW w:w="1188" w:type="dxa"/>
          </w:tcPr>
          <w:p w14:paraId="7DDE9F5C" w14:textId="77777777" w:rsidR="0059178C" w:rsidRPr="004D7FB9" w:rsidRDefault="0059178C" w:rsidP="004D7FB9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4D7FB9">
              <w:rPr>
                <w:b/>
                <w:snapToGrid w:val="0"/>
                <w:szCs w:val="20"/>
              </w:rPr>
              <w:t>Subject:</w:t>
            </w:r>
          </w:p>
        </w:tc>
        <w:tc>
          <w:tcPr>
            <w:tcW w:w="8388" w:type="dxa"/>
          </w:tcPr>
          <w:p w14:paraId="60947DDD" w14:textId="4FD0803D" w:rsidR="0059178C" w:rsidRPr="007A22FF" w:rsidRDefault="004D7FB9" w:rsidP="004D7FB9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4D7FB9">
              <w:rPr>
                <w:bCs/>
                <w:snapToGrid w:val="0"/>
                <w:szCs w:val="20"/>
              </w:rPr>
              <w:t>Proposed Amendment to Regulations on Accountability and Assistance for School Districts and Schools, 603 CMR 2.00</w:t>
            </w:r>
          </w:p>
        </w:tc>
      </w:tr>
    </w:tbl>
    <w:p w14:paraId="057F59C9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1A41691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F02620A" w14:textId="77777777" w:rsidR="0059178C" w:rsidRDefault="0059178C" w:rsidP="0059178C">
      <w:pPr>
        <w:rPr>
          <w:sz w:val="16"/>
        </w:rPr>
      </w:pPr>
    </w:p>
    <w:p w14:paraId="0F91F423" w14:textId="02644F99" w:rsidR="00DB488E" w:rsidRDefault="00DB488E" w:rsidP="00DB488E">
      <w:pPr>
        <w:rPr>
          <w:color w:val="000000"/>
          <w:szCs w:val="24"/>
        </w:rPr>
      </w:pPr>
      <w:r w:rsidRPr="00DB488E">
        <w:rPr>
          <w:color w:val="000000"/>
          <w:szCs w:val="24"/>
        </w:rPr>
        <w:t xml:space="preserve">At the </w:t>
      </w:r>
      <w:r w:rsidR="0011527F">
        <w:rPr>
          <w:color w:val="000000"/>
          <w:szCs w:val="24"/>
        </w:rPr>
        <w:t>March 22, 2022</w:t>
      </w:r>
      <w:r w:rsidRPr="00DB488E">
        <w:rPr>
          <w:color w:val="000000"/>
          <w:szCs w:val="24"/>
        </w:rPr>
        <w:t xml:space="preserve"> meeting, the Board </w:t>
      </w:r>
      <w:r>
        <w:rPr>
          <w:color w:val="000000"/>
          <w:szCs w:val="24"/>
        </w:rPr>
        <w:t xml:space="preserve">of Elementary and Secondary Education (Board) </w:t>
      </w:r>
      <w:r w:rsidRPr="00DB488E">
        <w:rPr>
          <w:color w:val="000000"/>
          <w:szCs w:val="24"/>
        </w:rPr>
        <w:t xml:space="preserve">voted to solicit public comment on </w:t>
      </w:r>
      <w:r>
        <w:rPr>
          <w:color w:val="000000"/>
          <w:szCs w:val="24"/>
        </w:rPr>
        <w:t xml:space="preserve">a </w:t>
      </w:r>
      <w:r w:rsidRPr="00DB488E">
        <w:rPr>
          <w:color w:val="000000"/>
          <w:szCs w:val="24"/>
        </w:rPr>
        <w:t>proposed amendment to 603 CMR 2.00: </w:t>
      </w:r>
      <w:r w:rsidRPr="00DB488E">
        <w:rPr>
          <w:i/>
          <w:iCs/>
          <w:color w:val="000000"/>
          <w:szCs w:val="24"/>
        </w:rPr>
        <w:t>Accountability and Assistance for School Districts and Schools</w:t>
      </w:r>
      <w:r w:rsidRPr="00DB488E">
        <w:rPr>
          <w:color w:val="000000"/>
          <w:szCs w:val="24"/>
        </w:rPr>
        <w:t xml:space="preserve">. </w:t>
      </w:r>
      <w:r w:rsidR="00823C06">
        <w:rPr>
          <w:color w:val="000000"/>
          <w:szCs w:val="24"/>
        </w:rPr>
        <w:t>At the June 2</w:t>
      </w:r>
      <w:r w:rsidR="00457E24">
        <w:rPr>
          <w:color w:val="000000"/>
          <w:szCs w:val="24"/>
        </w:rPr>
        <w:t>8</w:t>
      </w:r>
      <w:r w:rsidR="00823C06">
        <w:rPr>
          <w:color w:val="000000"/>
          <w:szCs w:val="24"/>
        </w:rPr>
        <w:t xml:space="preserve"> meeting, </w:t>
      </w:r>
      <w:r w:rsidRPr="00DB488E">
        <w:rPr>
          <w:color w:val="000000"/>
          <w:szCs w:val="24"/>
        </w:rPr>
        <w:t>I</w:t>
      </w:r>
      <w:r w:rsidR="00823C06">
        <w:rPr>
          <w:color w:val="000000"/>
          <w:szCs w:val="24"/>
        </w:rPr>
        <w:t xml:space="preserve"> will</w:t>
      </w:r>
      <w:r w:rsidRPr="00DB488E">
        <w:rPr>
          <w:color w:val="000000"/>
          <w:szCs w:val="24"/>
        </w:rPr>
        <w:t xml:space="preserve"> recommend that the Board take a final vote to approve the proposed amendment to the regulations, as presented below</w:t>
      </w:r>
      <w:r w:rsidR="008C3BB8">
        <w:rPr>
          <w:color w:val="000000"/>
          <w:szCs w:val="24"/>
        </w:rPr>
        <w:t>.</w:t>
      </w:r>
    </w:p>
    <w:p w14:paraId="1B449CFB" w14:textId="77777777" w:rsidR="00DB488E" w:rsidRPr="00DB488E" w:rsidRDefault="00DB488E" w:rsidP="00DB488E">
      <w:pPr>
        <w:rPr>
          <w:color w:val="000000"/>
          <w:szCs w:val="24"/>
        </w:rPr>
      </w:pPr>
    </w:p>
    <w:p w14:paraId="6D4FADDE" w14:textId="72D1979D" w:rsidR="00DB488E" w:rsidRDefault="00DB488E" w:rsidP="67ADAED2">
      <w:pPr>
        <w:rPr>
          <w:color w:val="000000"/>
        </w:rPr>
      </w:pPr>
      <w:r w:rsidRPr="67ADAED2">
        <w:rPr>
          <w:color w:val="000000" w:themeColor="text1"/>
        </w:rPr>
        <w:t>The memorandum to you dated </w:t>
      </w:r>
      <w:hyperlink r:id="rId12">
        <w:r w:rsidR="00EC72BF" w:rsidRPr="67ADAED2">
          <w:rPr>
            <w:rStyle w:val="Hyperlink"/>
          </w:rPr>
          <w:t>March 14, 2022</w:t>
        </w:r>
      </w:hyperlink>
      <w:r w:rsidRPr="67ADAED2">
        <w:rPr>
          <w:color w:val="000000" w:themeColor="text1"/>
        </w:rPr>
        <w:t> includes the rationale for the proposed amendment</w:t>
      </w:r>
      <w:r w:rsidR="0041696D" w:rsidRPr="67ADAED2">
        <w:rPr>
          <w:color w:val="000000" w:themeColor="text1"/>
        </w:rPr>
        <w:t xml:space="preserve">, which would </w:t>
      </w:r>
      <w:r w:rsidR="0041696D" w:rsidRPr="67ADAED2">
        <w:rPr>
          <w:rStyle w:val="normaltextrun1"/>
        </w:rPr>
        <w:t xml:space="preserve">allow </w:t>
      </w:r>
      <w:r w:rsidR="00C75C6C" w:rsidRPr="67ADAED2">
        <w:rPr>
          <w:rStyle w:val="normaltextrun1"/>
        </w:rPr>
        <w:t xml:space="preserve">a temporary suspension </w:t>
      </w:r>
      <w:r w:rsidR="000E46C2" w:rsidRPr="67ADAED2">
        <w:rPr>
          <w:rStyle w:val="normaltextrun1"/>
        </w:rPr>
        <w:t xml:space="preserve">in </w:t>
      </w:r>
      <w:r w:rsidR="0041696D" w:rsidRPr="67ADAED2">
        <w:rPr>
          <w:rStyle w:val="normaltextrun1"/>
        </w:rPr>
        <w:t xml:space="preserve">reporting </w:t>
      </w:r>
      <w:r w:rsidR="00DC6793" w:rsidRPr="67ADAED2">
        <w:rPr>
          <w:rStyle w:val="normaltextrun1"/>
        </w:rPr>
        <w:t>some</w:t>
      </w:r>
      <w:r w:rsidR="008617F6" w:rsidRPr="67ADAED2">
        <w:rPr>
          <w:rStyle w:val="normaltextrun1"/>
        </w:rPr>
        <w:t xml:space="preserve"> </w:t>
      </w:r>
      <w:r w:rsidR="009106DF" w:rsidRPr="67ADAED2">
        <w:rPr>
          <w:rStyle w:val="normaltextrun1"/>
        </w:rPr>
        <w:t xml:space="preserve">components of </w:t>
      </w:r>
      <w:r w:rsidR="00B50CC2" w:rsidRPr="67ADAED2">
        <w:rPr>
          <w:rStyle w:val="normaltextrun1"/>
        </w:rPr>
        <w:t xml:space="preserve">our school and district </w:t>
      </w:r>
      <w:r w:rsidR="0041696D" w:rsidRPr="67ADAED2">
        <w:rPr>
          <w:rStyle w:val="normaltextrun1"/>
        </w:rPr>
        <w:t xml:space="preserve">accountability </w:t>
      </w:r>
      <w:r w:rsidR="00B50CC2" w:rsidRPr="67ADAED2">
        <w:rPr>
          <w:rStyle w:val="normaltextrun1"/>
        </w:rPr>
        <w:t xml:space="preserve">system </w:t>
      </w:r>
      <w:r w:rsidR="0041696D" w:rsidRPr="67ADAED2">
        <w:rPr>
          <w:rStyle w:val="normaltextrun1"/>
        </w:rPr>
        <w:t>this fall because of the COVID-19 pandemic</w:t>
      </w:r>
      <w:r w:rsidRPr="67ADAED2">
        <w:rPr>
          <w:color w:val="000000" w:themeColor="text1"/>
        </w:rPr>
        <w:t>. Below, I am providing a summary of the public comment the Department of Elementary and Secondary Education (Department) received, as well as a summary of the discussion with the Board</w:t>
      </w:r>
      <w:r w:rsidR="00DA0A37" w:rsidRPr="67ADAED2">
        <w:rPr>
          <w:color w:val="000000" w:themeColor="text1"/>
        </w:rPr>
        <w:t>’</w:t>
      </w:r>
      <w:r w:rsidRPr="67ADAED2">
        <w:rPr>
          <w:color w:val="000000" w:themeColor="text1"/>
        </w:rPr>
        <w:t>s Accountability and Assistance Advisory Council (AAAC)</w:t>
      </w:r>
      <w:r w:rsidR="008C3BB8" w:rsidRPr="67ADAED2">
        <w:rPr>
          <w:color w:val="000000" w:themeColor="text1"/>
        </w:rPr>
        <w:t>.</w:t>
      </w:r>
    </w:p>
    <w:p w14:paraId="67D09725" w14:textId="77777777" w:rsidR="00DB488E" w:rsidRPr="00DB488E" w:rsidRDefault="00DB488E" w:rsidP="00DB488E">
      <w:pPr>
        <w:rPr>
          <w:color w:val="000000"/>
          <w:szCs w:val="24"/>
        </w:rPr>
      </w:pPr>
    </w:p>
    <w:p w14:paraId="24CDFE9C" w14:textId="77777777" w:rsidR="00DB488E" w:rsidRDefault="00DB488E" w:rsidP="00DB488E">
      <w:pPr>
        <w:rPr>
          <w:b/>
          <w:bCs/>
          <w:color w:val="000000"/>
          <w:szCs w:val="24"/>
        </w:rPr>
      </w:pPr>
      <w:r w:rsidRPr="00DB488E">
        <w:rPr>
          <w:b/>
          <w:bCs/>
          <w:color w:val="000000"/>
          <w:szCs w:val="24"/>
        </w:rPr>
        <w:t>Public Comment</w:t>
      </w:r>
    </w:p>
    <w:p w14:paraId="1CBD1962" w14:textId="77777777" w:rsidR="00FF3793" w:rsidRPr="00DB488E" w:rsidRDefault="00FF3793" w:rsidP="00DB488E">
      <w:pPr>
        <w:rPr>
          <w:b/>
          <w:bCs/>
          <w:color w:val="000000"/>
          <w:szCs w:val="24"/>
        </w:rPr>
      </w:pPr>
    </w:p>
    <w:p w14:paraId="095861AE" w14:textId="15E3B7F3" w:rsidR="00DB488E" w:rsidRDefault="00DB488E" w:rsidP="0027659C">
      <w:pPr>
        <w:widowControl/>
        <w:autoSpaceDE w:val="0"/>
        <w:autoSpaceDN w:val="0"/>
        <w:adjustRightInd w:val="0"/>
        <w:rPr>
          <w:color w:val="000000"/>
          <w:szCs w:val="24"/>
        </w:rPr>
      </w:pPr>
      <w:r w:rsidRPr="00DB488E">
        <w:rPr>
          <w:color w:val="000000"/>
          <w:szCs w:val="24"/>
        </w:rPr>
        <w:t>The Department received written comment</w:t>
      </w:r>
      <w:r w:rsidR="00810D85">
        <w:rPr>
          <w:color w:val="000000"/>
          <w:szCs w:val="24"/>
        </w:rPr>
        <w:t>s</w:t>
      </w:r>
      <w:r w:rsidRPr="00DB488E">
        <w:rPr>
          <w:color w:val="000000"/>
          <w:szCs w:val="24"/>
        </w:rPr>
        <w:t xml:space="preserve"> </w:t>
      </w:r>
      <w:r w:rsidR="00EC72BF">
        <w:rPr>
          <w:color w:val="000000"/>
          <w:szCs w:val="24"/>
        </w:rPr>
        <w:t xml:space="preserve">from 8 individuals or organizations </w:t>
      </w:r>
      <w:r w:rsidRPr="00DB488E">
        <w:rPr>
          <w:color w:val="000000"/>
          <w:szCs w:val="24"/>
        </w:rPr>
        <w:t>during the public comment period</w:t>
      </w:r>
      <w:r w:rsidR="00810D85">
        <w:rPr>
          <w:color w:val="000000"/>
          <w:szCs w:val="24"/>
        </w:rPr>
        <w:t xml:space="preserve">. </w:t>
      </w:r>
      <w:r w:rsidR="0007536C">
        <w:rPr>
          <w:color w:val="000000"/>
          <w:szCs w:val="24"/>
        </w:rPr>
        <w:t xml:space="preserve">A summary of the comments and the Department’s </w:t>
      </w:r>
      <w:r w:rsidR="00AF57D0">
        <w:rPr>
          <w:color w:val="000000"/>
          <w:szCs w:val="24"/>
        </w:rPr>
        <w:t>responses</w:t>
      </w:r>
      <w:r w:rsidR="0007536C">
        <w:rPr>
          <w:color w:val="000000"/>
          <w:szCs w:val="24"/>
        </w:rPr>
        <w:t xml:space="preserve"> </w:t>
      </w:r>
      <w:r w:rsidR="00634D05">
        <w:rPr>
          <w:color w:val="000000"/>
          <w:szCs w:val="24"/>
        </w:rPr>
        <w:t xml:space="preserve">is </w:t>
      </w:r>
      <w:r w:rsidR="0007536C">
        <w:rPr>
          <w:color w:val="000000"/>
          <w:szCs w:val="24"/>
        </w:rPr>
        <w:t>attached</w:t>
      </w:r>
      <w:r w:rsidRPr="00DB488E">
        <w:rPr>
          <w:color w:val="000000"/>
          <w:szCs w:val="24"/>
        </w:rPr>
        <w:t xml:space="preserve"> to this memo</w:t>
      </w:r>
      <w:r w:rsidR="0027659C">
        <w:rPr>
          <w:color w:val="000000"/>
          <w:szCs w:val="24"/>
        </w:rPr>
        <w:t>randum</w:t>
      </w:r>
      <w:r w:rsidR="0007536C">
        <w:rPr>
          <w:color w:val="000000"/>
          <w:szCs w:val="24"/>
        </w:rPr>
        <w:t xml:space="preserve"> along with </w:t>
      </w:r>
      <w:r w:rsidR="00AF57D0">
        <w:rPr>
          <w:color w:val="000000"/>
          <w:szCs w:val="24"/>
        </w:rPr>
        <w:t>copies of the submitted comments</w:t>
      </w:r>
      <w:r w:rsidRPr="00DB488E">
        <w:rPr>
          <w:color w:val="000000"/>
          <w:szCs w:val="24"/>
        </w:rPr>
        <w:t xml:space="preserve">. </w:t>
      </w:r>
      <w:r w:rsidR="00A82DCF">
        <w:rPr>
          <w:color w:val="000000"/>
          <w:szCs w:val="24"/>
        </w:rPr>
        <w:t>Most</w:t>
      </w:r>
      <w:r w:rsidR="00CB6F30">
        <w:rPr>
          <w:color w:val="000000"/>
          <w:szCs w:val="24"/>
        </w:rPr>
        <w:t xml:space="preserve"> comments supported transparent public reporting of </w:t>
      </w:r>
      <w:r w:rsidR="00A82DCF">
        <w:rPr>
          <w:color w:val="000000"/>
          <w:szCs w:val="24"/>
        </w:rPr>
        <w:t xml:space="preserve">all </w:t>
      </w:r>
      <w:r w:rsidR="00CB6F30">
        <w:rPr>
          <w:color w:val="000000"/>
          <w:szCs w:val="24"/>
        </w:rPr>
        <w:t xml:space="preserve">school and district </w:t>
      </w:r>
      <w:r w:rsidR="00374D33">
        <w:rPr>
          <w:color w:val="000000"/>
          <w:szCs w:val="24"/>
        </w:rPr>
        <w:t>performance data</w:t>
      </w:r>
      <w:r w:rsidR="00A82DCF">
        <w:rPr>
          <w:color w:val="000000"/>
          <w:szCs w:val="24"/>
        </w:rPr>
        <w:t xml:space="preserve">. </w:t>
      </w:r>
      <w:r w:rsidR="000F4C0F">
        <w:rPr>
          <w:color w:val="000000"/>
          <w:szCs w:val="24"/>
        </w:rPr>
        <w:t>One</w:t>
      </w:r>
      <w:r w:rsidR="00B0323E">
        <w:rPr>
          <w:color w:val="000000"/>
          <w:szCs w:val="24"/>
        </w:rPr>
        <w:t xml:space="preserve"> comment </w:t>
      </w:r>
      <w:r w:rsidR="000935DD">
        <w:rPr>
          <w:color w:val="000000"/>
          <w:szCs w:val="24"/>
        </w:rPr>
        <w:t>advocated for</w:t>
      </w:r>
      <w:r w:rsidR="00B0323E">
        <w:rPr>
          <w:color w:val="000000"/>
          <w:szCs w:val="24"/>
        </w:rPr>
        <w:t xml:space="preserve"> the </w:t>
      </w:r>
      <w:r w:rsidR="000935DD">
        <w:rPr>
          <w:color w:val="000000"/>
          <w:szCs w:val="24"/>
        </w:rPr>
        <w:t>complete discontinuation of the Department’s accountability system</w:t>
      </w:r>
      <w:r w:rsidR="000F4C0F">
        <w:rPr>
          <w:color w:val="000000"/>
          <w:szCs w:val="24"/>
        </w:rPr>
        <w:t>.</w:t>
      </w:r>
      <w:r w:rsidR="000935DD">
        <w:rPr>
          <w:color w:val="000000"/>
          <w:szCs w:val="24"/>
        </w:rPr>
        <w:t xml:space="preserve"> </w:t>
      </w:r>
      <w:r w:rsidR="000200B0">
        <w:rPr>
          <w:color w:val="000000"/>
          <w:szCs w:val="24"/>
        </w:rPr>
        <w:t>N</w:t>
      </w:r>
      <w:r w:rsidR="00320E52">
        <w:rPr>
          <w:color w:val="000000"/>
          <w:szCs w:val="24"/>
        </w:rPr>
        <w:t xml:space="preserve">o change was made to the proposed amendment as a result of </w:t>
      </w:r>
      <w:r w:rsidR="001746A4">
        <w:rPr>
          <w:color w:val="000000"/>
          <w:szCs w:val="24"/>
        </w:rPr>
        <w:t>these</w:t>
      </w:r>
      <w:r w:rsidR="00320E52">
        <w:rPr>
          <w:color w:val="000000"/>
          <w:szCs w:val="24"/>
        </w:rPr>
        <w:t xml:space="preserve"> comment</w:t>
      </w:r>
      <w:r w:rsidR="001746A4">
        <w:rPr>
          <w:color w:val="000000"/>
          <w:szCs w:val="24"/>
        </w:rPr>
        <w:t>s.</w:t>
      </w:r>
    </w:p>
    <w:p w14:paraId="4B416A82" w14:textId="77777777" w:rsidR="00823C06" w:rsidRPr="00DB488E" w:rsidRDefault="00823C06" w:rsidP="00823C06">
      <w:pPr>
        <w:rPr>
          <w:color w:val="000000"/>
          <w:szCs w:val="24"/>
        </w:rPr>
      </w:pPr>
    </w:p>
    <w:p w14:paraId="1EA80304" w14:textId="77777777" w:rsidR="00DB488E" w:rsidRDefault="00DB488E" w:rsidP="00DB488E">
      <w:pPr>
        <w:rPr>
          <w:b/>
          <w:bCs/>
          <w:color w:val="000000"/>
          <w:szCs w:val="24"/>
        </w:rPr>
      </w:pPr>
      <w:r w:rsidRPr="00DB488E">
        <w:rPr>
          <w:b/>
          <w:bCs/>
          <w:color w:val="000000"/>
          <w:szCs w:val="24"/>
        </w:rPr>
        <w:t>AAAC Discussion</w:t>
      </w:r>
    </w:p>
    <w:p w14:paraId="79EF47C3" w14:textId="77777777" w:rsidR="00FF3793" w:rsidRPr="00DB488E" w:rsidRDefault="00FF3793" w:rsidP="00DB488E">
      <w:pPr>
        <w:rPr>
          <w:b/>
          <w:bCs/>
          <w:color w:val="000000"/>
          <w:szCs w:val="24"/>
        </w:rPr>
      </w:pPr>
    </w:p>
    <w:p w14:paraId="640B4109" w14:textId="2D7CE15B" w:rsidR="00823C06" w:rsidRDefault="00DB488E" w:rsidP="00DB488E">
      <w:pPr>
        <w:rPr>
          <w:color w:val="000000"/>
          <w:szCs w:val="24"/>
        </w:rPr>
      </w:pPr>
      <w:r w:rsidRPr="00E34E2E">
        <w:rPr>
          <w:color w:val="000000"/>
          <w:szCs w:val="24"/>
        </w:rPr>
        <w:t xml:space="preserve">The </w:t>
      </w:r>
      <w:r w:rsidR="008C3BB8" w:rsidRPr="00E34E2E">
        <w:rPr>
          <w:color w:val="000000"/>
          <w:szCs w:val="24"/>
        </w:rPr>
        <w:t>AAAC</w:t>
      </w:r>
      <w:r w:rsidRPr="00E34E2E">
        <w:rPr>
          <w:color w:val="000000"/>
          <w:szCs w:val="24"/>
        </w:rPr>
        <w:t xml:space="preserve"> discussed the proposed amendment to the accountability regulations on </w:t>
      </w:r>
      <w:r w:rsidR="000200B0" w:rsidRPr="00E34E2E">
        <w:rPr>
          <w:color w:val="000000"/>
          <w:szCs w:val="24"/>
        </w:rPr>
        <w:t>June 1, 2022</w:t>
      </w:r>
      <w:r w:rsidRPr="00E34E2E">
        <w:rPr>
          <w:color w:val="000000"/>
          <w:szCs w:val="24"/>
        </w:rPr>
        <w:t xml:space="preserve">. </w:t>
      </w:r>
      <w:r w:rsidR="00C103B9" w:rsidRPr="00E34E2E">
        <w:rPr>
          <w:color w:val="000000"/>
          <w:szCs w:val="24"/>
        </w:rPr>
        <w:t>Some</w:t>
      </w:r>
      <w:r w:rsidR="008C3BB8" w:rsidRPr="00E34E2E">
        <w:rPr>
          <w:color w:val="000000"/>
          <w:szCs w:val="24"/>
        </w:rPr>
        <w:t xml:space="preserve"> Council members signaled their support for the </w:t>
      </w:r>
      <w:r w:rsidR="003A3EBC" w:rsidRPr="00E34E2E">
        <w:rPr>
          <w:color w:val="000000"/>
          <w:szCs w:val="24"/>
        </w:rPr>
        <w:t xml:space="preserve">temporary </w:t>
      </w:r>
      <w:r w:rsidR="008C3BB8" w:rsidRPr="00E34E2E">
        <w:rPr>
          <w:color w:val="000000"/>
          <w:szCs w:val="24"/>
        </w:rPr>
        <w:t xml:space="preserve">change, given the </w:t>
      </w:r>
      <w:r w:rsidR="00D711FA" w:rsidRPr="00E34E2E">
        <w:rPr>
          <w:color w:val="000000"/>
          <w:szCs w:val="24"/>
        </w:rPr>
        <w:t xml:space="preserve">many </w:t>
      </w:r>
      <w:r w:rsidR="008C3BB8" w:rsidRPr="00E34E2E">
        <w:rPr>
          <w:color w:val="000000"/>
          <w:szCs w:val="24"/>
        </w:rPr>
        <w:t xml:space="preserve">challenges that </w:t>
      </w:r>
      <w:proofErr w:type="gramStart"/>
      <w:r w:rsidR="008C3BB8" w:rsidRPr="00E34E2E">
        <w:rPr>
          <w:color w:val="000000"/>
          <w:szCs w:val="24"/>
        </w:rPr>
        <w:t>districts</w:t>
      </w:r>
      <w:proofErr w:type="gramEnd"/>
      <w:r w:rsidR="008C3BB8" w:rsidRPr="00E34E2E">
        <w:rPr>
          <w:color w:val="000000"/>
          <w:szCs w:val="24"/>
        </w:rPr>
        <w:t xml:space="preserve"> and schools </w:t>
      </w:r>
      <w:r w:rsidR="003A3EBC" w:rsidRPr="00E34E2E">
        <w:rPr>
          <w:color w:val="000000"/>
          <w:szCs w:val="24"/>
        </w:rPr>
        <w:t>continue to face</w:t>
      </w:r>
      <w:r w:rsidR="008C3BB8" w:rsidRPr="00E34E2E">
        <w:rPr>
          <w:color w:val="000000"/>
          <w:szCs w:val="24"/>
        </w:rPr>
        <w:t xml:space="preserve"> as a result of the pandemic. </w:t>
      </w:r>
      <w:r w:rsidR="00F5428B" w:rsidRPr="00E34E2E">
        <w:rPr>
          <w:color w:val="000000"/>
          <w:szCs w:val="24"/>
        </w:rPr>
        <w:t>At least one Council member encouraged the Dep</w:t>
      </w:r>
      <w:r w:rsidR="00EB62F2" w:rsidRPr="00E34E2E">
        <w:rPr>
          <w:color w:val="000000"/>
          <w:szCs w:val="24"/>
        </w:rPr>
        <w:t>artment to</w:t>
      </w:r>
      <w:r w:rsidR="00426740" w:rsidRPr="00E34E2E">
        <w:rPr>
          <w:color w:val="000000"/>
          <w:szCs w:val="24"/>
        </w:rPr>
        <w:t xml:space="preserve"> maintain its regular accountability reporting practices</w:t>
      </w:r>
      <w:r w:rsidR="008C0D45" w:rsidRPr="00E34E2E">
        <w:rPr>
          <w:color w:val="000000"/>
          <w:szCs w:val="24"/>
        </w:rPr>
        <w:t xml:space="preserve"> and provide </w:t>
      </w:r>
      <w:r w:rsidR="00026DE6" w:rsidRPr="00E34E2E">
        <w:rPr>
          <w:color w:val="000000"/>
          <w:szCs w:val="24"/>
        </w:rPr>
        <w:t xml:space="preserve">additional </w:t>
      </w:r>
      <w:r w:rsidR="008C0D45" w:rsidRPr="00E34E2E">
        <w:rPr>
          <w:color w:val="000000"/>
          <w:szCs w:val="24"/>
        </w:rPr>
        <w:t xml:space="preserve">context and </w:t>
      </w:r>
      <w:r w:rsidR="00026DE6" w:rsidRPr="00E34E2E">
        <w:rPr>
          <w:color w:val="000000"/>
          <w:szCs w:val="24"/>
        </w:rPr>
        <w:t>explanatory materials to stakeholders to use when interpreting the results.</w:t>
      </w:r>
      <w:r w:rsidR="00026DE6">
        <w:rPr>
          <w:color w:val="000000"/>
          <w:szCs w:val="24"/>
        </w:rPr>
        <w:t xml:space="preserve"> </w:t>
      </w:r>
      <w:r w:rsidR="00C070D5">
        <w:rPr>
          <w:color w:val="000000"/>
          <w:szCs w:val="24"/>
        </w:rPr>
        <w:t xml:space="preserve">No change was made to the proposed amendment as a result of the </w:t>
      </w:r>
      <w:r w:rsidR="00C070D5">
        <w:rPr>
          <w:color w:val="000000"/>
          <w:szCs w:val="24"/>
        </w:rPr>
        <w:lastRenderedPageBreak/>
        <w:t>Council’s discussion.</w:t>
      </w:r>
    </w:p>
    <w:p w14:paraId="67898E94" w14:textId="77777777" w:rsidR="008C3BB8" w:rsidRPr="00DB488E" w:rsidRDefault="008C3BB8" w:rsidP="00DB488E">
      <w:pPr>
        <w:rPr>
          <w:color w:val="000000"/>
          <w:szCs w:val="24"/>
        </w:rPr>
      </w:pPr>
    </w:p>
    <w:p w14:paraId="422E7156" w14:textId="52646DBA" w:rsidR="00DB488E" w:rsidRPr="00DB488E" w:rsidRDefault="00DB488E" w:rsidP="00DB488E">
      <w:pPr>
        <w:rPr>
          <w:color w:val="000000"/>
          <w:szCs w:val="24"/>
        </w:rPr>
      </w:pPr>
      <w:r w:rsidRPr="00DB488E">
        <w:rPr>
          <w:color w:val="000000"/>
          <w:szCs w:val="24"/>
        </w:rPr>
        <w:t>I recommend that the Board vote on June 2</w:t>
      </w:r>
      <w:r w:rsidR="000200B0">
        <w:rPr>
          <w:color w:val="000000"/>
          <w:szCs w:val="24"/>
        </w:rPr>
        <w:t>8</w:t>
      </w:r>
      <w:r w:rsidRPr="00DB488E">
        <w:rPr>
          <w:color w:val="000000"/>
          <w:szCs w:val="24"/>
        </w:rPr>
        <w:t xml:space="preserve"> to adopt the amendment to 603 CMR 2.00 as presented. A redlined copy of the proposed change to the regulations is attached, along with a motion.</w:t>
      </w:r>
    </w:p>
    <w:p w14:paraId="7D3D2904" w14:textId="7CDFF570" w:rsidR="004C25EA" w:rsidRDefault="004C25EA" w:rsidP="00DB488E">
      <w:pPr>
        <w:rPr>
          <w:szCs w:val="24"/>
        </w:rPr>
      </w:pPr>
    </w:p>
    <w:p w14:paraId="36D7BDD4" w14:textId="6D75FB31" w:rsidR="00DB488E" w:rsidRDefault="00DB488E" w:rsidP="00DB488E">
      <w:pPr>
        <w:rPr>
          <w:szCs w:val="24"/>
        </w:rPr>
      </w:pPr>
      <w:r>
        <w:rPr>
          <w:szCs w:val="24"/>
        </w:rPr>
        <w:t>Enclosures:</w:t>
      </w:r>
    </w:p>
    <w:p w14:paraId="3B07B18E" w14:textId="2509B1F2" w:rsidR="00DB488E" w:rsidRPr="00823C06" w:rsidRDefault="00DB488E" w:rsidP="00823C06">
      <w:pPr>
        <w:pStyle w:val="ListParagraph"/>
        <w:numPr>
          <w:ilvl w:val="0"/>
          <w:numId w:val="4"/>
        </w:numPr>
        <w:rPr>
          <w:szCs w:val="24"/>
        </w:rPr>
      </w:pPr>
      <w:r w:rsidRPr="00823C06">
        <w:rPr>
          <w:szCs w:val="24"/>
        </w:rPr>
        <w:t>Proposed Amendment to Regulations on Accountability and Assistance for School Districts and Schools, 603 CMR 2.00 — strikethrough version (redlined version)</w:t>
      </w:r>
    </w:p>
    <w:p w14:paraId="6280C3A8" w14:textId="705FD7B1" w:rsidR="00823C06" w:rsidRDefault="00E7453C" w:rsidP="00823C0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Summary of </w:t>
      </w:r>
      <w:r w:rsidR="00823C06" w:rsidRPr="00823C06">
        <w:rPr>
          <w:szCs w:val="24"/>
        </w:rPr>
        <w:t>Public Comment Received</w:t>
      </w:r>
    </w:p>
    <w:p w14:paraId="39A5E2DA" w14:textId="5368B66E" w:rsidR="00E7453C" w:rsidRPr="00823C06" w:rsidRDefault="00E7453C" w:rsidP="00823C06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Individual Comments Received</w:t>
      </w:r>
    </w:p>
    <w:p w14:paraId="683798BF" w14:textId="1FDFA9C6" w:rsidR="00DB488E" w:rsidRPr="00823C06" w:rsidRDefault="00DB488E" w:rsidP="00823C06">
      <w:pPr>
        <w:pStyle w:val="ListParagraph"/>
        <w:numPr>
          <w:ilvl w:val="0"/>
          <w:numId w:val="4"/>
        </w:numPr>
        <w:rPr>
          <w:szCs w:val="24"/>
        </w:rPr>
      </w:pPr>
      <w:r w:rsidRPr="00823C06">
        <w:rPr>
          <w:szCs w:val="24"/>
        </w:rPr>
        <w:t>Motion</w:t>
      </w:r>
    </w:p>
    <w:sectPr w:rsidR="00DB488E" w:rsidRPr="00823C06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67FF" w14:textId="77777777" w:rsidR="00FA33FC" w:rsidRDefault="00FA33FC" w:rsidP="00AA0A27">
      <w:r>
        <w:separator/>
      </w:r>
    </w:p>
  </w:endnote>
  <w:endnote w:type="continuationSeparator" w:id="0">
    <w:p w14:paraId="3E213AEA" w14:textId="77777777" w:rsidR="00FA33FC" w:rsidRDefault="00FA33FC" w:rsidP="00AA0A27">
      <w:r>
        <w:continuationSeparator/>
      </w:r>
    </w:p>
  </w:endnote>
  <w:endnote w:type="continuationNotice" w:id="1">
    <w:p w14:paraId="2B1506B7" w14:textId="77777777" w:rsidR="00FA33FC" w:rsidRDefault="00FA3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FF985" w14:textId="77777777" w:rsidR="00FA33FC" w:rsidRDefault="00FA33FC" w:rsidP="00AA0A27">
      <w:r>
        <w:separator/>
      </w:r>
    </w:p>
  </w:footnote>
  <w:footnote w:type="continuationSeparator" w:id="0">
    <w:p w14:paraId="4D57162C" w14:textId="77777777" w:rsidR="00FA33FC" w:rsidRDefault="00FA33FC" w:rsidP="00AA0A27">
      <w:r>
        <w:continuationSeparator/>
      </w:r>
    </w:p>
  </w:footnote>
  <w:footnote w:type="continuationNotice" w:id="1">
    <w:p w14:paraId="42EB7FF6" w14:textId="77777777" w:rsidR="00FA33FC" w:rsidRDefault="00FA33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3D7B"/>
    <w:multiLevelType w:val="multilevel"/>
    <w:tmpl w:val="C8C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3C352D"/>
    <w:multiLevelType w:val="hybridMultilevel"/>
    <w:tmpl w:val="7F06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17CB"/>
    <w:multiLevelType w:val="multilevel"/>
    <w:tmpl w:val="ECB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9"/>
    <w:rsid w:val="000200B0"/>
    <w:rsid w:val="000221F3"/>
    <w:rsid w:val="00025507"/>
    <w:rsid w:val="00026DE6"/>
    <w:rsid w:val="00041CA1"/>
    <w:rsid w:val="0005455B"/>
    <w:rsid w:val="00061396"/>
    <w:rsid w:val="0007536C"/>
    <w:rsid w:val="00085B63"/>
    <w:rsid w:val="000935DD"/>
    <w:rsid w:val="000E0994"/>
    <w:rsid w:val="000E46C2"/>
    <w:rsid w:val="000F4C0F"/>
    <w:rsid w:val="0011527F"/>
    <w:rsid w:val="001718B8"/>
    <w:rsid w:val="00173C54"/>
    <w:rsid w:val="001746A4"/>
    <w:rsid w:val="00201172"/>
    <w:rsid w:val="00206147"/>
    <w:rsid w:val="00241D6E"/>
    <w:rsid w:val="0025369E"/>
    <w:rsid w:val="002567AB"/>
    <w:rsid w:val="0027659C"/>
    <w:rsid w:val="002928B9"/>
    <w:rsid w:val="002A3E22"/>
    <w:rsid w:val="002A6AB3"/>
    <w:rsid w:val="002B4B10"/>
    <w:rsid w:val="002C0CF9"/>
    <w:rsid w:val="002D3C10"/>
    <w:rsid w:val="002F1971"/>
    <w:rsid w:val="002F5424"/>
    <w:rsid w:val="00320E52"/>
    <w:rsid w:val="003272F0"/>
    <w:rsid w:val="0033705A"/>
    <w:rsid w:val="003661DD"/>
    <w:rsid w:val="00367693"/>
    <w:rsid w:val="00374D33"/>
    <w:rsid w:val="00380BD9"/>
    <w:rsid w:val="003953C8"/>
    <w:rsid w:val="003A3EBC"/>
    <w:rsid w:val="004061FC"/>
    <w:rsid w:val="0041210C"/>
    <w:rsid w:val="0041696D"/>
    <w:rsid w:val="00421B1A"/>
    <w:rsid w:val="00426740"/>
    <w:rsid w:val="00433D7C"/>
    <w:rsid w:val="00457E24"/>
    <w:rsid w:val="0048238D"/>
    <w:rsid w:val="004904FA"/>
    <w:rsid w:val="004C25EA"/>
    <w:rsid w:val="004D3CE2"/>
    <w:rsid w:val="004D7FB9"/>
    <w:rsid w:val="004E5697"/>
    <w:rsid w:val="004F7134"/>
    <w:rsid w:val="004F751E"/>
    <w:rsid w:val="00514F33"/>
    <w:rsid w:val="005430E2"/>
    <w:rsid w:val="00563E89"/>
    <w:rsid w:val="00571666"/>
    <w:rsid w:val="0059178C"/>
    <w:rsid w:val="005A05BF"/>
    <w:rsid w:val="005C0C60"/>
    <w:rsid w:val="005C1013"/>
    <w:rsid w:val="005E1527"/>
    <w:rsid w:val="005E3535"/>
    <w:rsid w:val="005E3AFC"/>
    <w:rsid w:val="00634D05"/>
    <w:rsid w:val="00635070"/>
    <w:rsid w:val="00666F85"/>
    <w:rsid w:val="006E4658"/>
    <w:rsid w:val="006E755C"/>
    <w:rsid w:val="007042B7"/>
    <w:rsid w:val="00731165"/>
    <w:rsid w:val="00751BEC"/>
    <w:rsid w:val="00761FD8"/>
    <w:rsid w:val="007732FB"/>
    <w:rsid w:val="00793B54"/>
    <w:rsid w:val="00793EFA"/>
    <w:rsid w:val="007F5E69"/>
    <w:rsid w:val="00810D85"/>
    <w:rsid w:val="00823C06"/>
    <w:rsid w:val="008617F6"/>
    <w:rsid w:val="00872A6B"/>
    <w:rsid w:val="008749C0"/>
    <w:rsid w:val="008832FE"/>
    <w:rsid w:val="008C0D45"/>
    <w:rsid w:val="008C238A"/>
    <w:rsid w:val="008C3BB8"/>
    <w:rsid w:val="008C67F7"/>
    <w:rsid w:val="009106DF"/>
    <w:rsid w:val="00927CD0"/>
    <w:rsid w:val="00996B99"/>
    <w:rsid w:val="009D3E75"/>
    <w:rsid w:val="00A20194"/>
    <w:rsid w:val="00A3092B"/>
    <w:rsid w:val="00A4432B"/>
    <w:rsid w:val="00A70FE3"/>
    <w:rsid w:val="00A7681B"/>
    <w:rsid w:val="00A82DCF"/>
    <w:rsid w:val="00A93DB7"/>
    <w:rsid w:val="00AA0A27"/>
    <w:rsid w:val="00AA6708"/>
    <w:rsid w:val="00AD7D3F"/>
    <w:rsid w:val="00AE5273"/>
    <w:rsid w:val="00AF57D0"/>
    <w:rsid w:val="00B0323E"/>
    <w:rsid w:val="00B15E7C"/>
    <w:rsid w:val="00B278C2"/>
    <w:rsid w:val="00B34968"/>
    <w:rsid w:val="00B50CC2"/>
    <w:rsid w:val="00B81B3B"/>
    <w:rsid w:val="00B873FD"/>
    <w:rsid w:val="00BB53E4"/>
    <w:rsid w:val="00BE23A3"/>
    <w:rsid w:val="00C070D5"/>
    <w:rsid w:val="00C103B9"/>
    <w:rsid w:val="00C25EE9"/>
    <w:rsid w:val="00C26FBE"/>
    <w:rsid w:val="00C75C6C"/>
    <w:rsid w:val="00C974A6"/>
    <w:rsid w:val="00CA77CA"/>
    <w:rsid w:val="00CB6F30"/>
    <w:rsid w:val="00CD7E33"/>
    <w:rsid w:val="00D1782C"/>
    <w:rsid w:val="00D456B8"/>
    <w:rsid w:val="00D470A8"/>
    <w:rsid w:val="00D711FA"/>
    <w:rsid w:val="00D73B50"/>
    <w:rsid w:val="00D7481B"/>
    <w:rsid w:val="00D8198E"/>
    <w:rsid w:val="00DA0A37"/>
    <w:rsid w:val="00DB488E"/>
    <w:rsid w:val="00DB6AFC"/>
    <w:rsid w:val="00DC6793"/>
    <w:rsid w:val="00DE3197"/>
    <w:rsid w:val="00E06BD6"/>
    <w:rsid w:val="00E31728"/>
    <w:rsid w:val="00E34E2E"/>
    <w:rsid w:val="00E7453C"/>
    <w:rsid w:val="00E77FAD"/>
    <w:rsid w:val="00E87D52"/>
    <w:rsid w:val="00E97024"/>
    <w:rsid w:val="00EB62F2"/>
    <w:rsid w:val="00EB6F0E"/>
    <w:rsid w:val="00EC72BF"/>
    <w:rsid w:val="00EE074B"/>
    <w:rsid w:val="00EE0A55"/>
    <w:rsid w:val="00F06252"/>
    <w:rsid w:val="00F25840"/>
    <w:rsid w:val="00F42421"/>
    <w:rsid w:val="00F5428B"/>
    <w:rsid w:val="00F76E32"/>
    <w:rsid w:val="00F865A3"/>
    <w:rsid w:val="00F878C5"/>
    <w:rsid w:val="00FA33FC"/>
    <w:rsid w:val="00FB654F"/>
    <w:rsid w:val="00FF3793"/>
    <w:rsid w:val="00FF41A0"/>
    <w:rsid w:val="67ADA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9881"/>
  <w15:docId w15:val="{2F703A47-98CE-45E5-8DE3-92DDF789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7F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7FB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7FB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FB9"/>
    <w:rPr>
      <w:b/>
      <w:bCs/>
      <w:snapToGrid w:val="0"/>
    </w:rPr>
  </w:style>
  <w:style w:type="paragraph" w:styleId="BodyTextIndent">
    <w:name w:val="Body Text Indent"/>
    <w:basedOn w:val="Normal"/>
    <w:link w:val="BodyTextIndentChar"/>
    <w:rsid w:val="00751BEC"/>
    <w:pPr>
      <w:tabs>
        <w:tab w:val="left" w:pos="-1440"/>
      </w:tabs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751BEC"/>
    <w:rPr>
      <w:snapToGrid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DB488E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DB48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C0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A0A2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A0A27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A0A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D05"/>
    <w:rPr>
      <w:snapToGrid w:val="0"/>
      <w:sz w:val="24"/>
    </w:rPr>
  </w:style>
  <w:style w:type="paragraph" w:styleId="Header">
    <w:name w:val="header"/>
    <w:basedOn w:val="Normal"/>
    <w:link w:val="HeaderChar"/>
    <w:semiHidden/>
    <w:unhideWhenUsed/>
    <w:rsid w:val="00F42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42421"/>
    <w:rPr>
      <w:snapToGrid w:val="0"/>
      <w:sz w:val="24"/>
    </w:rPr>
  </w:style>
  <w:style w:type="character" w:customStyle="1" w:styleId="normaltextrun1">
    <w:name w:val="normaltextrun1"/>
    <w:basedOn w:val="DefaultParagraphFont"/>
    <w:rsid w:val="0041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bese/docs/fy2022/2022-03/item4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93F1-8218-43BD-8B6A-D79FE0D74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54C2F8-C332-43BA-84E8-8BCFC5948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90FB-54B2-4837-90C0-580D55F4C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E57C1F-E1E3-4B1C-9740-5EB69778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2022 Item 3: 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2022 Item 3: Proposed Amendment to Regulations on Accountability and Assistance for School Districts and Schools, 603 CMR 2.00</dc:title>
  <dc:subject/>
  <dc:creator>DESE</dc:creator>
  <cp:keywords/>
  <cp:lastModifiedBy>Zou, Dong (EOE)</cp:lastModifiedBy>
  <cp:revision>5</cp:revision>
  <cp:lastPrinted>2008-03-06T00:17:00Z</cp:lastPrinted>
  <dcterms:created xsi:type="dcterms:W3CDTF">2022-06-17T17:15:00Z</dcterms:created>
  <dcterms:modified xsi:type="dcterms:W3CDTF">2022-06-23T16:49:00Z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2022</vt:lpwstr>
  </property>
</Properties>
</file>