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7D39A" w14:textId="58495356" w:rsidR="00C95ABD" w:rsidRPr="001A0DBD" w:rsidRDefault="00C95ABD" w:rsidP="005E263E">
      <w:pPr>
        <w:pStyle w:val="Title"/>
        <w:pBdr>
          <w:bottom w:val="single" w:sz="4" w:space="1" w:color="auto"/>
        </w:pBdr>
        <w:spacing w:after="240" w:line="276" w:lineRule="auto"/>
        <w:rPr>
          <w:rFonts w:asciiTheme="minorHAnsi" w:hAnsiTheme="minorHAnsi" w:cstheme="minorHAnsi"/>
          <w:sz w:val="28"/>
        </w:rPr>
      </w:pPr>
      <w:bookmarkStart w:id="0" w:name="OLE_LINK1"/>
      <w:bookmarkStart w:id="1" w:name="OLE_LINK2"/>
      <w:r w:rsidRPr="001A0DBD">
        <w:rPr>
          <w:rFonts w:asciiTheme="minorHAnsi" w:hAnsiTheme="minorHAnsi" w:cstheme="minorHAnsi"/>
          <w:sz w:val="28"/>
        </w:rPr>
        <w:t>Summary of Public Comment</w:t>
      </w:r>
      <w:r w:rsidR="001A0DBD" w:rsidRPr="001A0DBD">
        <w:rPr>
          <w:rFonts w:asciiTheme="minorHAnsi" w:hAnsiTheme="minorHAnsi" w:cstheme="minorHAnsi"/>
          <w:sz w:val="28"/>
        </w:rPr>
        <w:t>s</w:t>
      </w:r>
      <w:r w:rsidRPr="001A0DBD">
        <w:rPr>
          <w:rFonts w:asciiTheme="minorHAnsi" w:hAnsiTheme="minorHAnsi" w:cstheme="minorHAnsi"/>
          <w:sz w:val="28"/>
        </w:rPr>
        <w:t xml:space="preserve"> on Proposed </w:t>
      </w:r>
      <w:r w:rsidR="009B5F1C">
        <w:rPr>
          <w:rFonts w:asciiTheme="minorHAnsi" w:hAnsiTheme="minorHAnsi" w:cstheme="minorHAnsi"/>
          <w:sz w:val="28"/>
        </w:rPr>
        <w:t>Changes to the District and School Accountability System for 2022</w:t>
      </w:r>
    </w:p>
    <w:bookmarkEnd w:id="0"/>
    <w:bookmarkEnd w:id="1"/>
    <w:p w14:paraId="6F1D7BE8" w14:textId="16FF0F5B" w:rsidR="00C95ABD" w:rsidRDefault="00C95ABD" w:rsidP="005E263E">
      <w:pPr>
        <w:spacing w:after="240"/>
        <w:rPr>
          <w:rFonts w:asciiTheme="minorHAnsi" w:hAnsiTheme="minorHAnsi" w:cstheme="minorHAnsi"/>
        </w:rPr>
      </w:pPr>
      <w:r w:rsidRPr="00CF74EB">
        <w:rPr>
          <w:rFonts w:asciiTheme="minorHAnsi" w:hAnsiTheme="minorHAnsi" w:cstheme="minorHAnsi"/>
          <w:b/>
        </w:rPr>
        <w:t>Source:</w:t>
      </w:r>
      <w:r w:rsidRPr="00CD1570">
        <w:rPr>
          <w:rFonts w:asciiTheme="minorHAnsi" w:hAnsiTheme="minorHAnsi" w:cstheme="minorHAnsi"/>
        </w:rPr>
        <w:t xml:space="preserve"> Correspondence received </w:t>
      </w:r>
      <w:r w:rsidR="009E2984">
        <w:rPr>
          <w:rFonts w:asciiTheme="minorHAnsi" w:hAnsiTheme="minorHAnsi" w:cstheme="minorHAnsi"/>
        </w:rPr>
        <w:t>via</w:t>
      </w:r>
      <w:r w:rsidRPr="00CD1570">
        <w:rPr>
          <w:rFonts w:asciiTheme="minorHAnsi" w:hAnsiTheme="minorHAnsi" w:cstheme="minorHAnsi"/>
        </w:rPr>
        <w:t xml:space="preserve"> </w:t>
      </w:r>
      <w:r w:rsidRPr="00ED1507">
        <w:rPr>
          <w:rFonts w:asciiTheme="minorHAnsi" w:hAnsiTheme="minorHAnsi" w:cstheme="minorHAnsi"/>
        </w:rPr>
        <w:t>email</w:t>
      </w:r>
      <w:r w:rsidR="009B5F1C" w:rsidRPr="00ED1507">
        <w:rPr>
          <w:rFonts w:asciiTheme="minorHAnsi" w:hAnsiTheme="minorHAnsi" w:cstheme="minorHAnsi"/>
        </w:rPr>
        <w:t xml:space="preserve"> (</w:t>
      </w:r>
      <w:r w:rsidR="00ED1507" w:rsidRPr="00ED1507">
        <w:rPr>
          <w:rFonts w:asciiTheme="minorHAnsi" w:hAnsiTheme="minorHAnsi" w:cstheme="minorHAnsi"/>
        </w:rPr>
        <w:t>6</w:t>
      </w:r>
      <w:r w:rsidR="009B5F1C" w:rsidRPr="00ED1507">
        <w:rPr>
          <w:rFonts w:asciiTheme="minorHAnsi" w:hAnsiTheme="minorHAnsi" w:cstheme="minorHAnsi"/>
        </w:rPr>
        <w:t>)</w:t>
      </w:r>
      <w:r w:rsidR="00BA0AE5" w:rsidRPr="00ED1507">
        <w:rPr>
          <w:rFonts w:asciiTheme="minorHAnsi" w:hAnsiTheme="minorHAnsi" w:cstheme="minorHAnsi"/>
        </w:rPr>
        <w:t xml:space="preserve">, </w:t>
      </w:r>
      <w:r w:rsidR="00D77596" w:rsidRPr="00ED1507">
        <w:rPr>
          <w:rFonts w:asciiTheme="minorHAnsi" w:hAnsiTheme="minorHAnsi" w:cstheme="minorHAnsi"/>
        </w:rPr>
        <w:t>July</w:t>
      </w:r>
      <w:r w:rsidR="00D77596">
        <w:rPr>
          <w:rFonts w:asciiTheme="minorHAnsi" w:hAnsiTheme="minorHAnsi" w:cstheme="minorHAnsi"/>
        </w:rPr>
        <w:t xml:space="preserve"> 1</w:t>
      </w:r>
      <w:r w:rsidR="00BA0AE5" w:rsidRPr="00CD1570">
        <w:rPr>
          <w:rFonts w:asciiTheme="minorHAnsi" w:hAnsiTheme="minorHAnsi" w:cstheme="minorHAnsi"/>
        </w:rPr>
        <w:t>, 20</w:t>
      </w:r>
      <w:r w:rsidR="00C016B9">
        <w:rPr>
          <w:rFonts w:asciiTheme="minorHAnsi" w:hAnsiTheme="minorHAnsi" w:cstheme="minorHAnsi"/>
        </w:rPr>
        <w:t>22</w:t>
      </w:r>
      <w:r w:rsidR="00BA0AE5" w:rsidRPr="00CD1570">
        <w:rPr>
          <w:rFonts w:asciiTheme="minorHAnsi" w:hAnsiTheme="minorHAnsi" w:cstheme="minorHAnsi"/>
        </w:rPr>
        <w:t xml:space="preserve"> – </w:t>
      </w:r>
      <w:r w:rsidR="00970CF0">
        <w:rPr>
          <w:rFonts w:asciiTheme="minorHAnsi" w:hAnsiTheme="minorHAnsi" w:cstheme="minorHAnsi"/>
        </w:rPr>
        <w:t>July 15</w:t>
      </w:r>
      <w:r w:rsidR="00BA0AE5" w:rsidRPr="00CD1570">
        <w:rPr>
          <w:rFonts w:asciiTheme="minorHAnsi" w:hAnsiTheme="minorHAnsi" w:cstheme="minorHAnsi"/>
        </w:rPr>
        <w:t>, 20</w:t>
      </w:r>
      <w:r w:rsidR="00C016B9">
        <w:rPr>
          <w:rFonts w:asciiTheme="minorHAnsi" w:hAnsiTheme="minorHAnsi" w:cstheme="minorHAnsi"/>
        </w:rPr>
        <w:t>22</w:t>
      </w:r>
    </w:p>
    <w:tbl>
      <w:tblPr>
        <w:tblStyle w:val="TableGrid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  <w:gridCol w:w="6835"/>
      </w:tblGrid>
      <w:tr w:rsidR="003C1BEF" w:rsidRPr="00CD1570" w14:paraId="1315D5BA" w14:textId="77777777" w:rsidTr="00506103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57C747AE" w14:textId="29D7D44F" w:rsidR="003C1BEF" w:rsidRPr="00CD1570" w:rsidRDefault="00560C5E" w:rsidP="00560C5E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  <w:r w:rsidRPr="00CD1570">
              <w:rPr>
                <w:rFonts w:asciiTheme="minorHAnsi" w:hAnsiTheme="minorHAnsi" w:cstheme="minorHAnsi"/>
                <w:b/>
              </w:rPr>
              <w:t xml:space="preserve">ndividuals 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Pr="00CD1570">
              <w:rPr>
                <w:rFonts w:asciiTheme="minorHAnsi" w:hAnsiTheme="minorHAnsi" w:cstheme="minorHAnsi"/>
                <w:b/>
              </w:rPr>
              <w:t xml:space="preserve">ubmitting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CD1570">
              <w:rPr>
                <w:rFonts w:asciiTheme="minorHAnsi" w:hAnsiTheme="minorHAnsi" w:cstheme="minorHAnsi"/>
                <w:b/>
              </w:rPr>
              <w:t xml:space="preserve">ublic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CD1570">
              <w:rPr>
                <w:rFonts w:asciiTheme="minorHAnsi" w:hAnsiTheme="minorHAnsi" w:cstheme="minorHAnsi"/>
                <w:b/>
              </w:rPr>
              <w:t>omment</w:t>
            </w:r>
          </w:p>
        </w:tc>
      </w:tr>
      <w:tr w:rsidR="00992DCC" w:rsidRPr="00CD1570" w14:paraId="2A7ECDC6" w14:textId="77777777" w:rsidTr="00506103">
        <w:tc>
          <w:tcPr>
            <w:tcW w:w="2500" w:type="pct"/>
            <w:tcBorders>
              <w:left w:val="single" w:sz="4" w:space="0" w:color="auto"/>
              <w:right w:val="nil"/>
            </w:tcBorders>
          </w:tcPr>
          <w:p w14:paraId="511C1DA0" w14:textId="33B4CCBF" w:rsidR="00992DCC" w:rsidRDefault="00992DCC" w:rsidP="00970CF0">
            <w:pPr>
              <w:pStyle w:val="NoSpacing"/>
              <w:numPr>
                <w:ilvl w:val="0"/>
                <w:numId w:val="8"/>
              </w:numPr>
              <w:ind w:left="342"/>
            </w:pPr>
            <w:r>
              <w:t>Shalimar Colon</w:t>
            </w:r>
          </w:p>
          <w:p w14:paraId="65EC636D" w14:textId="61B9AEA1" w:rsidR="00992DCC" w:rsidRDefault="00992DCC" w:rsidP="00970CF0">
            <w:pPr>
              <w:pStyle w:val="NoSpacing"/>
              <w:numPr>
                <w:ilvl w:val="0"/>
                <w:numId w:val="8"/>
              </w:numPr>
              <w:ind w:left="342"/>
            </w:pPr>
            <w:r>
              <w:t>Kristen Hughes</w:t>
            </w:r>
          </w:p>
          <w:p w14:paraId="29A7B9F7" w14:textId="5C701881" w:rsidR="00992DCC" w:rsidRDefault="00992DCC" w:rsidP="00506103">
            <w:pPr>
              <w:pStyle w:val="NoSpacing"/>
              <w:numPr>
                <w:ilvl w:val="0"/>
                <w:numId w:val="8"/>
              </w:numPr>
              <w:ind w:left="342"/>
            </w:pPr>
            <w:r>
              <w:t>Amy Meehan</w:t>
            </w:r>
          </w:p>
        </w:tc>
        <w:tc>
          <w:tcPr>
            <w:tcW w:w="2500" w:type="pct"/>
            <w:tcBorders>
              <w:left w:val="nil"/>
            </w:tcBorders>
          </w:tcPr>
          <w:p w14:paraId="52ABB224" w14:textId="1FDDE46C" w:rsidR="00992DCC" w:rsidRDefault="00992DCC" w:rsidP="00970CF0">
            <w:pPr>
              <w:pStyle w:val="NoSpacing"/>
              <w:numPr>
                <w:ilvl w:val="0"/>
                <w:numId w:val="8"/>
              </w:numPr>
              <w:ind w:left="342"/>
            </w:pPr>
            <w:r>
              <w:t xml:space="preserve">Susan </w:t>
            </w:r>
            <w:proofErr w:type="spellStart"/>
            <w:r>
              <w:t>Sauve</w:t>
            </w:r>
            <w:proofErr w:type="spellEnd"/>
          </w:p>
          <w:p w14:paraId="41DB8A8C" w14:textId="2973986F" w:rsidR="00992DCC" w:rsidRDefault="00992DCC" w:rsidP="00970CF0">
            <w:pPr>
              <w:pStyle w:val="NoSpacing"/>
              <w:numPr>
                <w:ilvl w:val="0"/>
                <w:numId w:val="8"/>
              </w:numPr>
              <w:ind w:left="342"/>
            </w:pPr>
            <w:r>
              <w:t>Sunil Jagannath</w:t>
            </w:r>
          </w:p>
          <w:p w14:paraId="173B84B1" w14:textId="77777777" w:rsidR="00992DCC" w:rsidRDefault="00992DCC" w:rsidP="00506103">
            <w:pPr>
              <w:pStyle w:val="NoSpacing"/>
              <w:numPr>
                <w:ilvl w:val="0"/>
                <w:numId w:val="8"/>
              </w:numPr>
              <w:ind w:left="342"/>
            </w:pPr>
            <w:r>
              <w:t>Alec Wyet</w:t>
            </w:r>
            <w:r w:rsidR="00506103">
              <w:t>h</w:t>
            </w:r>
          </w:p>
          <w:p w14:paraId="64018CAE" w14:textId="6BEDA763" w:rsidR="00506103" w:rsidRPr="00FD4053" w:rsidRDefault="00506103" w:rsidP="00506103">
            <w:pPr>
              <w:pStyle w:val="NoSpacing"/>
              <w:ind w:left="342"/>
            </w:pPr>
          </w:p>
        </w:tc>
      </w:tr>
    </w:tbl>
    <w:p w14:paraId="5DA8E13F" w14:textId="77777777" w:rsidR="00CF74EB" w:rsidRPr="00CD1570" w:rsidRDefault="00CF74EB" w:rsidP="005E263E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5002" w:type="pct"/>
        <w:tblLayout w:type="fixed"/>
        <w:tblLook w:val="04A0" w:firstRow="1" w:lastRow="0" w:firstColumn="1" w:lastColumn="0" w:noHBand="0" w:noVBand="1"/>
      </w:tblPr>
      <w:tblGrid>
        <w:gridCol w:w="6835"/>
        <w:gridCol w:w="6840"/>
      </w:tblGrid>
      <w:tr w:rsidR="00862930" w:rsidRPr="00CD1570" w14:paraId="11E49690" w14:textId="77777777" w:rsidTr="005174F3">
        <w:trPr>
          <w:tblHeader/>
        </w:trPr>
        <w:tc>
          <w:tcPr>
            <w:tcW w:w="2499" w:type="pct"/>
            <w:shd w:val="clear" w:color="auto" w:fill="DEEAF6" w:themeFill="accent1" w:themeFillTint="33"/>
          </w:tcPr>
          <w:p w14:paraId="461C48F9" w14:textId="77EC1C89" w:rsidR="00862930" w:rsidRPr="00CD1570" w:rsidRDefault="005174F3" w:rsidP="005E263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Summary of Comment</w:t>
            </w:r>
            <w:r w:rsidR="00E958A1">
              <w:rPr>
                <w:rFonts w:asciiTheme="minorHAnsi" w:hAnsiTheme="minorHAnsi" w:cstheme="minorHAnsi"/>
                <w:b/>
              </w:rPr>
              <w:t>s Received</w:t>
            </w:r>
          </w:p>
        </w:tc>
        <w:tc>
          <w:tcPr>
            <w:tcW w:w="2501" w:type="pct"/>
            <w:shd w:val="clear" w:color="auto" w:fill="DEEAF6" w:themeFill="accent1" w:themeFillTint="33"/>
          </w:tcPr>
          <w:p w14:paraId="462844CF" w14:textId="77777777" w:rsidR="00862930" w:rsidRPr="00CD1570" w:rsidRDefault="00862930" w:rsidP="005E263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D1570">
              <w:rPr>
                <w:rFonts w:asciiTheme="minorHAnsi" w:hAnsiTheme="minorHAnsi" w:cstheme="minorHAnsi"/>
                <w:b/>
              </w:rPr>
              <w:t>Department’s Response</w:t>
            </w:r>
          </w:p>
        </w:tc>
      </w:tr>
      <w:tr w:rsidR="00862930" w:rsidRPr="00CD1570" w14:paraId="06C4A454" w14:textId="77777777" w:rsidTr="005174F3">
        <w:tc>
          <w:tcPr>
            <w:tcW w:w="2499" w:type="pct"/>
          </w:tcPr>
          <w:p w14:paraId="584F1B43" w14:textId="77777777" w:rsidR="00862930" w:rsidRDefault="009F5EBE" w:rsidP="005E26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Chronic absenteeism should not be included as an accountability indicator</w:t>
            </w:r>
            <w:r w:rsidR="00F40FF5">
              <w:rPr>
                <w:rFonts w:asciiTheme="minorHAnsi" w:hAnsiTheme="minorHAnsi" w:cstheme="minorHAnsi"/>
              </w:rPr>
              <w:t xml:space="preserve"> during a pandemic. (Hughes, </w:t>
            </w:r>
            <w:r w:rsidR="003562D8">
              <w:rPr>
                <w:rFonts w:asciiTheme="minorHAnsi" w:hAnsiTheme="minorHAnsi" w:cstheme="minorHAnsi"/>
              </w:rPr>
              <w:t>Meehan)</w:t>
            </w:r>
          </w:p>
          <w:p w14:paraId="0970D23B" w14:textId="2858234D" w:rsidR="004C0180" w:rsidRPr="00596AF7" w:rsidRDefault="004C0180" w:rsidP="005E263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01" w:type="pct"/>
          </w:tcPr>
          <w:p w14:paraId="1027D3A9" w14:textId="2DFAB9F9" w:rsidR="005E263E" w:rsidRDefault="004C0180" w:rsidP="009B5F1C">
            <w:pPr>
              <w:spacing w:after="0" w:line="240" w:lineRule="auto"/>
            </w:pPr>
            <w:r>
              <w:t xml:space="preserve">No change. </w:t>
            </w:r>
            <w:proofErr w:type="gramStart"/>
            <w:r w:rsidR="005341B2">
              <w:t>T</w:t>
            </w:r>
            <w:r w:rsidR="00927FF5">
              <w:t xml:space="preserve">he </w:t>
            </w:r>
            <w:r w:rsidR="007F2C7C">
              <w:t>Every</w:t>
            </w:r>
            <w:proofErr w:type="gramEnd"/>
            <w:r w:rsidR="007F2C7C">
              <w:t xml:space="preserve"> Student Succeeds Act (ESSA)</w:t>
            </w:r>
            <w:r w:rsidR="005341B2">
              <w:t xml:space="preserve"> </w:t>
            </w:r>
            <w:r w:rsidR="00927FF5">
              <w:t>require</w:t>
            </w:r>
            <w:r w:rsidR="005341B2">
              <w:t>s states</w:t>
            </w:r>
            <w:r w:rsidR="00927FF5">
              <w:t xml:space="preserve"> to include at least one ind</w:t>
            </w:r>
            <w:r w:rsidR="007F2C7C">
              <w:t xml:space="preserve">icator of </w:t>
            </w:r>
            <w:r w:rsidR="00AE075A">
              <w:t>s</w:t>
            </w:r>
            <w:r w:rsidR="00FF07C5">
              <w:t>c</w:t>
            </w:r>
            <w:r w:rsidR="00CD11AF">
              <w:t xml:space="preserve">hool </w:t>
            </w:r>
            <w:r w:rsidR="00AE075A">
              <w:t>q</w:t>
            </w:r>
            <w:r w:rsidR="00CD11AF">
              <w:t xml:space="preserve">uality or </w:t>
            </w:r>
            <w:r w:rsidR="00AE075A">
              <w:t>s</w:t>
            </w:r>
            <w:r w:rsidR="00CD11AF">
              <w:t xml:space="preserve">tudent </w:t>
            </w:r>
            <w:r w:rsidR="00AE075A">
              <w:t>s</w:t>
            </w:r>
            <w:r w:rsidR="00CD11AF">
              <w:t>uccess</w:t>
            </w:r>
            <w:r w:rsidR="005341B2">
              <w:t xml:space="preserve">, and the Department’s approved ESSA State Plan identifies chronic absenteeism as that indicator for all schools. </w:t>
            </w:r>
            <w:r w:rsidR="0092324E">
              <w:t xml:space="preserve">However, to mitigate the impact of the pandemic on district, school, and student group </w:t>
            </w:r>
            <w:r w:rsidR="00B9389F">
              <w:t xml:space="preserve">chronic absenteeism rates </w:t>
            </w:r>
            <w:r w:rsidR="00EF415D">
              <w:t>in</w:t>
            </w:r>
            <w:r w:rsidR="00B9389F">
              <w:t xml:space="preserve"> the 2022 </w:t>
            </w:r>
            <w:r w:rsidR="00EF415D">
              <w:t>accountability</w:t>
            </w:r>
            <w:r w:rsidR="00B9389F">
              <w:t xml:space="preserve"> results</w:t>
            </w:r>
            <w:r w:rsidR="0058624C">
              <w:t xml:space="preserve">, the Department </w:t>
            </w:r>
            <w:r w:rsidR="00595948">
              <w:t xml:space="preserve">is proposing to </w:t>
            </w:r>
            <w:r w:rsidR="00B9389F">
              <w:t xml:space="preserve">increase the threshold at which a student is considered chronically absent from 10 percent to 20 percent. </w:t>
            </w:r>
          </w:p>
          <w:p w14:paraId="483DD296" w14:textId="2EA1CC50" w:rsidR="00EF415D" w:rsidRPr="00CD11AF" w:rsidRDefault="00EF415D" w:rsidP="009B5F1C">
            <w:pPr>
              <w:spacing w:after="0" w:line="240" w:lineRule="auto"/>
            </w:pPr>
          </w:p>
        </w:tc>
      </w:tr>
      <w:tr w:rsidR="009F5EBE" w:rsidRPr="00CD1570" w14:paraId="6D0920EE" w14:textId="77777777" w:rsidTr="005174F3">
        <w:tc>
          <w:tcPr>
            <w:tcW w:w="2499" w:type="pct"/>
          </w:tcPr>
          <w:p w14:paraId="3992A588" w14:textId="77777777" w:rsidR="009F5EBE" w:rsidRDefault="00E65CD4" w:rsidP="005E26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Measures of student attendance should not be included in the accountability system because attendance is outside of a school’s control.</w:t>
            </w:r>
            <w:r w:rsidR="00033E4A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033E4A">
              <w:rPr>
                <w:rFonts w:asciiTheme="minorHAnsi" w:hAnsiTheme="minorHAnsi" w:cstheme="minorHAnsi"/>
              </w:rPr>
              <w:t>Sauve</w:t>
            </w:r>
            <w:proofErr w:type="spellEnd"/>
            <w:r w:rsidR="00033E4A">
              <w:rPr>
                <w:rFonts w:asciiTheme="minorHAnsi" w:hAnsiTheme="minorHAnsi" w:cstheme="minorHAnsi"/>
              </w:rPr>
              <w:t>)</w:t>
            </w:r>
          </w:p>
          <w:p w14:paraId="784F8B8D" w14:textId="6DD5AE75" w:rsidR="004C0180" w:rsidRDefault="004C0180" w:rsidP="005E263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01" w:type="pct"/>
          </w:tcPr>
          <w:p w14:paraId="202D52D7" w14:textId="4B04919E" w:rsidR="009F5EBE" w:rsidRDefault="00EF415D" w:rsidP="009B5F1C">
            <w:pPr>
              <w:spacing w:after="0" w:line="240" w:lineRule="auto"/>
            </w:pPr>
            <w:r>
              <w:t xml:space="preserve">No change. </w:t>
            </w:r>
            <w:r w:rsidR="00297906">
              <w:t>See above.</w:t>
            </w:r>
          </w:p>
          <w:p w14:paraId="1EA9A419" w14:textId="62EFAF84" w:rsidR="00EF415D" w:rsidRPr="00596AF7" w:rsidRDefault="00EF415D" w:rsidP="009B5F1C">
            <w:pPr>
              <w:spacing w:after="0" w:line="240" w:lineRule="auto"/>
            </w:pPr>
          </w:p>
        </w:tc>
      </w:tr>
      <w:tr w:rsidR="009F5EBE" w:rsidRPr="00CD1570" w14:paraId="2D1947FD" w14:textId="77777777" w:rsidTr="005174F3">
        <w:tc>
          <w:tcPr>
            <w:tcW w:w="2499" w:type="pct"/>
          </w:tcPr>
          <w:p w14:paraId="767ACE98" w14:textId="77777777" w:rsidR="009F5EBE" w:rsidRDefault="00234B2F" w:rsidP="005E26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Given the challenges of the pandemic, t</w:t>
            </w:r>
            <w:r w:rsidR="00033E4A">
              <w:rPr>
                <w:rFonts w:asciiTheme="minorHAnsi" w:hAnsiTheme="minorHAnsi" w:cstheme="minorHAnsi"/>
              </w:rPr>
              <w:t xml:space="preserve">here should be flexibility around the chronic absenteeism indicator. </w:t>
            </w:r>
            <w:r>
              <w:rPr>
                <w:rFonts w:asciiTheme="minorHAnsi" w:hAnsiTheme="minorHAnsi" w:cstheme="minorHAnsi"/>
              </w:rPr>
              <w:t>(Colon)</w:t>
            </w:r>
          </w:p>
          <w:p w14:paraId="6DB5C438" w14:textId="49E522F4" w:rsidR="004C0180" w:rsidRDefault="004C0180" w:rsidP="005E263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01" w:type="pct"/>
          </w:tcPr>
          <w:p w14:paraId="100DBD6B" w14:textId="1DB91F75" w:rsidR="009F5EBE" w:rsidRDefault="00EF415D" w:rsidP="009B5F1C">
            <w:pPr>
              <w:spacing w:after="0" w:line="240" w:lineRule="auto"/>
            </w:pPr>
            <w:r>
              <w:t xml:space="preserve">No change. </w:t>
            </w:r>
            <w:r w:rsidR="00297906">
              <w:t>See above.</w:t>
            </w:r>
          </w:p>
          <w:p w14:paraId="71358417" w14:textId="05CFCD90" w:rsidR="00EF415D" w:rsidRPr="00596AF7" w:rsidRDefault="00EF415D" w:rsidP="009B5F1C">
            <w:pPr>
              <w:spacing w:after="0" w:line="240" w:lineRule="auto"/>
            </w:pPr>
          </w:p>
        </w:tc>
      </w:tr>
      <w:tr w:rsidR="009F5EBE" w:rsidRPr="00CD1570" w14:paraId="653D3826" w14:textId="77777777" w:rsidTr="005174F3">
        <w:tc>
          <w:tcPr>
            <w:tcW w:w="2499" w:type="pct"/>
          </w:tcPr>
          <w:p w14:paraId="252E77C4" w14:textId="77777777" w:rsidR="009F5EBE" w:rsidRDefault="003F06DC" w:rsidP="005E26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Given the impact of the pandemic on </w:t>
            </w:r>
            <w:r w:rsidR="00241ACD">
              <w:rPr>
                <w:rFonts w:asciiTheme="minorHAnsi" w:hAnsiTheme="minorHAnsi" w:cstheme="minorHAnsi"/>
              </w:rPr>
              <w:t>students</w:t>
            </w:r>
            <w:r w:rsidR="00760066">
              <w:rPr>
                <w:rFonts w:asciiTheme="minorHAnsi" w:hAnsiTheme="minorHAnsi" w:cstheme="minorHAnsi"/>
              </w:rPr>
              <w:t xml:space="preserve">, both </w:t>
            </w:r>
            <w:r>
              <w:rPr>
                <w:rFonts w:asciiTheme="minorHAnsi" w:hAnsiTheme="minorHAnsi" w:cstheme="minorHAnsi"/>
              </w:rPr>
              <w:t>academic</w:t>
            </w:r>
            <w:r w:rsidR="00760066">
              <w:rPr>
                <w:rFonts w:asciiTheme="minorHAnsi" w:hAnsiTheme="minorHAnsi" w:cstheme="minorHAnsi"/>
              </w:rPr>
              <w:t>ally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="00241ACD">
              <w:rPr>
                <w:rFonts w:asciiTheme="minorHAnsi" w:hAnsiTheme="minorHAnsi" w:cstheme="minorHAnsi"/>
              </w:rPr>
              <w:t>social-</w:t>
            </w:r>
            <w:r w:rsidR="00E25820">
              <w:rPr>
                <w:rFonts w:asciiTheme="minorHAnsi" w:hAnsiTheme="minorHAnsi" w:cstheme="minorHAnsi"/>
              </w:rPr>
              <w:t>emotional</w:t>
            </w:r>
            <w:r w:rsidR="00760066">
              <w:rPr>
                <w:rFonts w:asciiTheme="minorHAnsi" w:hAnsiTheme="minorHAnsi" w:cstheme="minorHAnsi"/>
              </w:rPr>
              <w:t>ly, the two years of data in the accountability system should be weighted e</w:t>
            </w:r>
            <w:r w:rsidR="002A3511">
              <w:rPr>
                <w:rFonts w:asciiTheme="minorHAnsi" w:hAnsiTheme="minorHAnsi" w:cstheme="minorHAnsi"/>
              </w:rPr>
              <w:t>qually at 50 percent.</w:t>
            </w:r>
            <w:r w:rsidR="00EA161B">
              <w:rPr>
                <w:rFonts w:asciiTheme="minorHAnsi" w:hAnsiTheme="minorHAnsi" w:cstheme="minorHAnsi"/>
              </w:rPr>
              <w:t xml:space="preserve"> (Wyeth)</w:t>
            </w:r>
          </w:p>
          <w:p w14:paraId="1FDB6EF4" w14:textId="605482E5" w:rsidR="004C0180" w:rsidRDefault="004C0180" w:rsidP="005E263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01" w:type="pct"/>
          </w:tcPr>
          <w:p w14:paraId="2750221E" w14:textId="68B9C446" w:rsidR="009F5EBE" w:rsidRDefault="00811282" w:rsidP="009B5F1C">
            <w:pPr>
              <w:spacing w:after="0" w:line="240" w:lineRule="auto"/>
            </w:pPr>
            <w:r>
              <w:t>No change. The Department is proposing to maintain the same weighting of years as was used in the 2019 accountability determination</w:t>
            </w:r>
            <w:r w:rsidR="00BA412D">
              <w:t>s</w:t>
            </w:r>
            <w:r>
              <w:t xml:space="preserve"> (i.e., </w:t>
            </w:r>
            <w:r w:rsidR="001C0950">
              <w:t>weighting 2019 data at 40 percent and the 202</w:t>
            </w:r>
            <w:r w:rsidR="00A30EA4">
              <w:t>2</w:t>
            </w:r>
            <w:r w:rsidR="001C0950">
              <w:t xml:space="preserve"> data</w:t>
            </w:r>
            <w:r w:rsidR="00BA412D">
              <w:t xml:space="preserve"> at 60 percent</w:t>
            </w:r>
            <w:r w:rsidR="005B4B3D">
              <w:t xml:space="preserve">). In doing so, </w:t>
            </w:r>
            <w:r w:rsidR="008969D4">
              <w:t>district</w:t>
            </w:r>
            <w:r w:rsidR="00F13940">
              <w:t>s</w:t>
            </w:r>
            <w:r w:rsidR="008969D4">
              <w:t xml:space="preserve">, schools, stakeholders, and the </w:t>
            </w:r>
            <w:r w:rsidR="00B65781">
              <w:t>Department</w:t>
            </w:r>
            <w:r w:rsidR="008969D4">
              <w:t xml:space="preserve"> </w:t>
            </w:r>
            <w:r w:rsidR="00F13940">
              <w:t xml:space="preserve">can </w:t>
            </w:r>
            <w:r w:rsidR="00CF5393">
              <w:t>make comparisons between</w:t>
            </w:r>
            <w:r w:rsidR="008969D4">
              <w:t xml:space="preserve"> the 2022 and 2019 </w:t>
            </w:r>
            <w:r w:rsidR="00B65781">
              <w:t>school accountability percentiles</w:t>
            </w:r>
            <w:r w:rsidR="00C46312">
              <w:t>,</w:t>
            </w:r>
            <w:r w:rsidR="003C694E">
              <w:t xml:space="preserve"> </w:t>
            </w:r>
            <w:r w:rsidR="00AB3C19">
              <w:t>which would be calculated using</w:t>
            </w:r>
            <w:r w:rsidR="00B65781">
              <w:t xml:space="preserve"> </w:t>
            </w:r>
            <w:r w:rsidR="00BA412D">
              <w:t xml:space="preserve">a </w:t>
            </w:r>
            <w:r w:rsidR="00B65781">
              <w:t xml:space="preserve">consistent weighting formula. </w:t>
            </w:r>
          </w:p>
          <w:p w14:paraId="403C52B1" w14:textId="3E74F10C" w:rsidR="00B65781" w:rsidRPr="00596AF7" w:rsidRDefault="00B65781" w:rsidP="009B5F1C">
            <w:pPr>
              <w:spacing w:after="0" w:line="240" w:lineRule="auto"/>
            </w:pPr>
          </w:p>
        </w:tc>
      </w:tr>
      <w:tr w:rsidR="00EA161B" w:rsidRPr="00CD1570" w14:paraId="727D7706" w14:textId="77777777" w:rsidTr="005174F3">
        <w:tc>
          <w:tcPr>
            <w:tcW w:w="2499" w:type="pct"/>
          </w:tcPr>
          <w:p w14:paraId="019430D3" w14:textId="1E2753BF" w:rsidR="00EA161B" w:rsidRDefault="00494636" w:rsidP="005E26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The accountability system should give credit to students in grades 9 and 10 who complete </w:t>
            </w:r>
            <w:r w:rsidR="004C0180">
              <w:rPr>
                <w:rFonts w:asciiTheme="minorHAnsi" w:hAnsiTheme="minorHAnsi" w:cstheme="minorHAnsi"/>
              </w:rPr>
              <w:t xml:space="preserve">advanced courses. </w:t>
            </w:r>
            <w:r w:rsidR="00C16096">
              <w:rPr>
                <w:rFonts w:asciiTheme="minorHAnsi" w:hAnsiTheme="minorHAnsi" w:cstheme="minorHAnsi"/>
              </w:rPr>
              <w:t>(Jagannath)</w:t>
            </w:r>
          </w:p>
          <w:p w14:paraId="444512F9" w14:textId="02B55540" w:rsidR="004C0180" w:rsidRDefault="004C0180" w:rsidP="005E263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01" w:type="pct"/>
          </w:tcPr>
          <w:p w14:paraId="293B0CF5" w14:textId="7AC0C62F" w:rsidR="00EA161B" w:rsidRDefault="00AB3C19" w:rsidP="009B5F1C">
            <w:pPr>
              <w:spacing w:after="0" w:line="240" w:lineRule="auto"/>
            </w:pPr>
            <w:r>
              <w:t xml:space="preserve">No change. </w:t>
            </w:r>
            <w:r w:rsidR="00580CCE">
              <w:t xml:space="preserve">An historical analysis of </w:t>
            </w:r>
            <w:r w:rsidR="00CF58F7">
              <w:t xml:space="preserve">Massachusetts </w:t>
            </w:r>
            <w:r w:rsidR="00580CCE">
              <w:t xml:space="preserve">course-taking </w:t>
            </w:r>
            <w:r w:rsidR="00CF58F7">
              <w:t xml:space="preserve">data </w:t>
            </w:r>
            <w:r w:rsidR="00C00C2D">
              <w:t>showed that t</w:t>
            </w:r>
            <w:r w:rsidR="008E15F1">
              <w:t>he</w:t>
            </w:r>
            <w:r w:rsidR="008E15F1" w:rsidRPr="008E15F1">
              <w:t xml:space="preserve"> state’s advanced course completion rate was higher when considering only students </w:t>
            </w:r>
            <w:r w:rsidR="00C46312">
              <w:t xml:space="preserve">in </w:t>
            </w:r>
            <w:r w:rsidR="008E15F1" w:rsidRPr="008E15F1">
              <w:t>grade</w:t>
            </w:r>
            <w:r w:rsidR="00C46312">
              <w:t>s 11 and 12</w:t>
            </w:r>
            <w:r w:rsidR="00C00C2D">
              <w:t xml:space="preserve"> </w:t>
            </w:r>
            <w:r w:rsidR="008E15F1" w:rsidRPr="008E15F1">
              <w:t>than when including students in grades 10 through 12</w:t>
            </w:r>
            <w:r w:rsidR="00C00C2D">
              <w:t xml:space="preserve">. </w:t>
            </w:r>
            <w:r w:rsidR="00102F7F">
              <w:t>While</w:t>
            </w:r>
            <w:r w:rsidR="008E15F1" w:rsidRPr="008E15F1">
              <w:t xml:space="preserve"> some </w:t>
            </w:r>
            <w:r w:rsidR="00102F7F">
              <w:t xml:space="preserve">individual </w:t>
            </w:r>
            <w:r w:rsidR="008E15F1" w:rsidRPr="008E15F1">
              <w:t>district</w:t>
            </w:r>
            <w:r w:rsidR="00102F7F">
              <w:t xml:space="preserve"> rates may </w:t>
            </w:r>
            <w:r w:rsidR="007A74AC">
              <w:t xml:space="preserve">vary, </w:t>
            </w:r>
            <w:r w:rsidR="006F7516">
              <w:t xml:space="preserve">trends in </w:t>
            </w:r>
            <w:r w:rsidR="008E15F1" w:rsidRPr="008E15F1">
              <w:t xml:space="preserve">district-level rates </w:t>
            </w:r>
            <w:r w:rsidR="006F7516">
              <w:t xml:space="preserve">were consistent </w:t>
            </w:r>
            <w:r w:rsidR="008E15F1" w:rsidRPr="008E15F1">
              <w:t xml:space="preserve">as well. </w:t>
            </w:r>
            <w:r w:rsidR="006F7516">
              <w:t>As such, the Department</w:t>
            </w:r>
            <w:r w:rsidR="008E15F1" w:rsidRPr="008E15F1">
              <w:t xml:space="preserve"> elected to limit the calculation to </w:t>
            </w:r>
            <w:r w:rsidR="00FB2BEB">
              <w:t xml:space="preserve">students in </w:t>
            </w:r>
            <w:r w:rsidR="003B46B4">
              <w:t xml:space="preserve">grades </w:t>
            </w:r>
            <w:r w:rsidR="008E15F1" w:rsidRPr="008E15F1">
              <w:t>11</w:t>
            </w:r>
            <w:r w:rsidR="007A74AC">
              <w:t xml:space="preserve"> </w:t>
            </w:r>
            <w:r w:rsidR="008E15F1" w:rsidRPr="008E15F1">
              <w:t>and 12</w:t>
            </w:r>
            <w:r w:rsidR="00FB2BEB">
              <w:t xml:space="preserve"> within our current accountability </w:t>
            </w:r>
            <w:r w:rsidR="008F6AA5">
              <w:t>system but</w:t>
            </w:r>
            <w:r w:rsidR="00A158E1">
              <w:t xml:space="preserve"> </w:t>
            </w:r>
            <w:r w:rsidR="00BB5A57">
              <w:t>may</w:t>
            </w:r>
            <w:r w:rsidR="00A158E1">
              <w:t xml:space="preserve"> consider adjustments to this indicator in</w:t>
            </w:r>
            <w:r w:rsidR="00BB5A57">
              <w:t xml:space="preserve"> the future if the data support a change.</w:t>
            </w:r>
          </w:p>
          <w:p w14:paraId="28F5A310" w14:textId="53D83A22" w:rsidR="006F7516" w:rsidRPr="00596AF7" w:rsidRDefault="006F7516" w:rsidP="009B5F1C">
            <w:pPr>
              <w:spacing w:after="0" w:line="240" w:lineRule="auto"/>
            </w:pPr>
          </w:p>
        </w:tc>
      </w:tr>
    </w:tbl>
    <w:p w14:paraId="5DCFAF48" w14:textId="5A2B22F1" w:rsidR="00C628C0" w:rsidRDefault="00C628C0" w:rsidP="005E263E">
      <w:pPr>
        <w:spacing w:after="0" w:line="240" w:lineRule="auto"/>
        <w:rPr>
          <w:rFonts w:asciiTheme="minorHAnsi" w:hAnsiTheme="minorHAnsi" w:cstheme="minorHAnsi"/>
        </w:rPr>
      </w:pPr>
    </w:p>
    <w:p w14:paraId="37E05C82" w14:textId="280FA326" w:rsidR="00865D61" w:rsidRPr="00CD1570" w:rsidRDefault="00865D61" w:rsidP="005E263E">
      <w:pPr>
        <w:spacing w:after="0" w:line="240" w:lineRule="auto"/>
        <w:rPr>
          <w:rFonts w:asciiTheme="minorHAnsi" w:hAnsiTheme="minorHAnsi" w:cstheme="minorHAnsi"/>
        </w:rPr>
      </w:pPr>
    </w:p>
    <w:sectPr w:rsidR="00865D61" w:rsidRPr="00CD1570" w:rsidSect="007D0E5A">
      <w:headerReference w:type="default" r:id="rId11"/>
      <w:footerReference w:type="default" r:id="rId12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F670D" w14:textId="77777777" w:rsidR="000A228A" w:rsidRDefault="000A228A" w:rsidP="000509CD">
      <w:pPr>
        <w:spacing w:after="0" w:line="240" w:lineRule="auto"/>
      </w:pPr>
      <w:r>
        <w:separator/>
      </w:r>
    </w:p>
  </w:endnote>
  <w:endnote w:type="continuationSeparator" w:id="0">
    <w:p w14:paraId="1EEE070D" w14:textId="77777777" w:rsidR="000A228A" w:rsidRDefault="000A228A" w:rsidP="0005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8DA67" w14:textId="75723DB5" w:rsidR="000509CD" w:rsidRDefault="00821621" w:rsidP="000509CD">
    <w:pPr>
      <w:pStyle w:val="Footer"/>
      <w:jc w:val="right"/>
    </w:pPr>
    <w:r>
      <w:t xml:space="preserve">Massachusetts Department of Elementary and Secondary Education – </w:t>
    </w:r>
    <w:r w:rsidR="00C472F1">
      <w:t xml:space="preserve">Page </w:t>
    </w:r>
    <w:sdt>
      <w:sdtPr>
        <w:id w:val="-16135082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09CD">
          <w:fldChar w:fldCharType="begin"/>
        </w:r>
        <w:r w:rsidR="000509CD">
          <w:instrText xml:space="preserve"> PAGE   \* MERGEFORMAT </w:instrText>
        </w:r>
        <w:r w:rsidR="000509CD">
          <w:fldChar w:fldCharType="separate"/>
        </w:r>
        <w:r w:rsidR="009617BA">
          <w:rPr>
            <w:noProof/>
          </w:rPr>
          <w:t>5</w:t>
        </w:r>
        <w:r w:rsidR="000509C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32741" w14:textId="77777777" w:rsidR="000A228A" w:rsidRDefault="000A228A" w:rsidP="000509CD">
      <w:pPr>
        <w:spacing w:after="0" w:line="240" w:lineRule="auto"/>
      </w:pPr>
      <w:r>
        <w:separator/>
      </w:r>
    </w:p>
  </w:footnote>
  <w:footnote w:type="continuationSeparator" w:id="0">
    <w:p w14:paraId="00162E56" w14:textId="77777777" w:rsidR="000A228A" w:rsidRDefault="000A228A" w:rsidP="0005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C693C" w14:textId="2A6113D9" w:rsidR="00B9406D" w:rsidRDefault="00B94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A26DC"/>
    <w:multiLevelType w:val="hybridMultilevel"/>
    <w:tmpl w:val="0468672A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6D42"/>
    <w:multiLevelType w:val="hybridMultilevel"/>
    <w:tmpl w:val="B7AA6A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5476C5"/>
    <w:multiLevelType w:val="hybridMultilevel"/>
    <w:tmpl w:val="50B0D92E"/>
    <w:lvl w:ilvl="0" w:tplc="3D565DC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65976"/>
    <w:multiLevelType w:val="hybridMultilevel"/>
    <w:tmpl w:val="03900CFE"/>
    <w:lvl w:ilvl="0" w:tplc="26F618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15CAA"/>
    <w:multiLevelType w:val="hybridMultilevel"/>
    <w:tmpl w:val="6F904D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EB39FB"/>
    <w:multiLevelType w:val="hybridMultilevel"/>
    <w:tmpl w:val="A9B051A2"/>
    <w:lvl w:ilvl="0" w:tplc="02A6FA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33CD9"/>
    <w:multiLevelType w:val="hybridMultilevel"/>
    <w:tmpl w:val="D3CE1076"/>
    <w:lvl w:ilvl="0" w:tplc="3762F6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1569B"/>
    <w:multiLevelType w:val="hybridMultilevel"/>
    <w:tmpl w:val="FA121C14"/>
    <w:lvl w:ilvl="0" w:tplc="7BAE6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00884"/>
    <w:multiLevelType w:val="hybridMultilevel"/>
    <w:tmpl w:val="9D16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A2047"/>
    <w:multiLevelType w:val="hybridMultilevel"/>
    <w:tmpl w:val="CD722298"/>
    <w:lvl w:ilvl="0" w:tplc="1634125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A3F50"/>
    <w:multiLevelType w:val="hybridMultilevel"/>
    <w:tmpl w:val="CA06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F0E0B"/>
    <w:multiLevelType w:val="hybridMultilevel"/>
    <w:tmpl w:val="93FE19D4"/>
    <w:lvl w:ilvl="0" w:tplc="940E69A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D6ADA"/>
    <w:multiLevelType w:val="hybridMultilevel"/>
    <w:tmpl w:val="106C5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BD"/>
    <w:rsid w:val="00001A87"/>
    <w:rsid w:val="0000589B"/>
    <w:rsid w:val="000076E0"/>
    <w:rsid w:val="00010700"/>
    <w:rsid w:val="00032F56"/>
    <w:rsid w:val="00033E4A"/>
    <w:rsid w:val="000509CD"/>
    <w:rsid w:val="00081017"/>
    <w:rsid w:val="000918F0"/>
    <w:rsid w:val="000A228A"/>
    <w:rsid w:val="000A6772"/>
    <w:rsid w:val="000B40D1"/>
    <w:rsid w:val="000C19D4"/>
    <w:rsid w:val="000C1F6E"/>
    <w:rsid w:val="000C70FE"/>
    <w:rsid w:val="000E7AF7"/>
    <w:rsid w:val="000F0CD8"/>
    <w:rsid w:val="00102F7F"/>
    <w:rsid w:val="00107E5B"/>
    <w:rsid w:val="001406AC"/>
    <w:rsid w:val="00143690"/>
    <w:rsid w:val="00147B7D"/>
    <w:rsid w:val="0015393B"/>
    <w:rsid w:val="0015526E"/>
    <w:rsid w:val="001676B0"/>
    <w:rsid w:val="00184AF7"/>
    <w:rsid w:val="001935EF"/>
    <w:rsid w:val="001A0DBD"/>
    <w:rsid w:val="001A6928"/>
    <w:rsid w:val="001A7FD2"/>
    <w:rsid w:val="001C0950"/>
    <w:rsid w:val="001C5A6D"/>
    <w:rsid w:val="001F4836"/>
    <w:rsid w:val="001F6CD1"/>
    <w:rsid w:val="00211F12"/>
    <w:rsid w:val="00214715"/>
    <w:rsid w:val="00222DC6"/>
    <w:rsid w:val="00231620"/>
    <w:rsid w:val="00232FA3"/>
    <w:rsid w:val="00234B2F"/>
    <w:rsid w:val="00236CD4"/>
    <w:rsid w:val="00241ACD"/>
    <w:rsid w:val="002609A9"/>
    <w:rsid w:val="00263C52"/>
    <w:rsid w:val="00265A7B"/>
    <w:rsid w:val="00295CE1"/>
    <w:rsid w:val="00296355"/>
    <w:rsid w:val="00297906"/>
    <w:rsid w:val="002A01D1"/>
    <w:rsid w:val="002A3511"/>
    <w:rsid w:val="002B4D54"/>
    <w:rsid w:val="002C51D3"/>
    <w:rsid w:val="002D50E0"/>
    <w:rsid w:val="002E757D"/>
    <w:rsid w:val="00311D7F"/>
    <w:rsid w:val="00323E39"/>
    <w:rsid w:val="00352FFA"/>
    <w:rsid w:val="003562D8"/>
    <w:rsid w:val="003608CE"/>
    <w:rsid w:val="0036692C"/>
    <w:rsid w:val="00390261"/>
    <w:rsid w:val="003903A8"/>
    <w:rsid w:val="003A0666"/>
    <w:rsid w:val="003B46B4"/>
    <w:rsid w:val="003C1BEF"/>
    <w:rsid w:val="003C694E"/>
    <w:rsid w:val="003D0E6E"/>
    <w:rsid w:val="003D174D"/>
    <w:rsid w:val="003D6EAB"/>
    <w:rsid w:val="003E0C46"/>
    <w:rsid w:val="003E2161"/>
    <w:rsid w:val="003F0660"/>
    <w:rsid w:val="003F06DC"/>
    <w:rsid w:val="003F2D61"/>
    <w:rsid w:val="0040334B"/>
    <w:rsid w:val="00403F84"/>
    <w:rsid w:val="004106C2"/>
    <w:rsid w:val="00411D82"/>
    <w:rsid w:val="004200AB"/>
    <w:rsid w:val="00430222"/>
    <w:rsid w:val="004368B2"/>
    <w:rsid w:val="00437625"/>
    <w:rsid w:val="004409DE"/>
    <w:rsid w:val="00441C80"/>
    <w:rsid w:val="004435A9"/>
    <w:rsid w:val="00470EDB"/>
    <w:rsid w:val="00494636"/>
    <w:rsid w:val="004A3EEE"/>
    <w:rsid w:val="004A4A13"/>
    <w:rsid w:val="004C0180"/>
    <w:rsid w:val="004C41CB"/>
    <w:rsid w:val="004D25C8"/>
    <w:rsid w:val="004D5EF2"/>
    <w:rsid w:val="00506103"/>
    <w:rsid w:val="00506FA3"/>
    <w:rsid w:val="005174F3"/>
    <w:rsid w:val="00522D6D"/>
    <w:rsid w:val="00526274"/>
    <w:rsid w:val="005341B2"/>
    <w:rsid w:val="00535138"/>
    <w:rsid w:val="0054265F"/>
    <w:rsid w:val="00560C5E"/>
    <w:rsid w:val="00571331"/>
    <w:rsid w:val="00580CCE"/>
    <w:rsid w:val="00581DB0"/>
    <w:rsid w:val="0058383D"/>
    <w:rsid w:val="0058549C"/>
    <w:rsid w:val="0058624C"/>
    <w:rsid w:val="00595948"/>
    <w:rsid w:val="00596AF7"/>
    <w:rsid w:val="005A02E3"/>
    <w:rsid w:val="005A297D"/>
    <w:rsid w:val="005A53E5"/>
    <w:rsid w:val="005A67D7"/>
    <w:rsid w:val="005B4B3D"/>
    <w:rsid w:val="005C0759"/>
    <w:rsid w:val="005D0C9C"/>
    <w:rsid w:val="005D68F8"/>
    <w:rsid w:val="005E11D8"/>
    <w:rsid w:val="005E263E"/>
    <w:rsid w:val="005E364A"/>
    <w:rsid w:val="005F3EF1"/>
    <w:rsid w:val="005F533E"/>
    <w:rsid w:val="00603947"/>
    <w:rsid w:val="00622751"/>
    <w:rsid w:val="00622793"/>
    <w:rsid w:val="00627B9E"/>
    <w:rsid w:val="00635991"/>
    <w:rsid w:val="0064218A"/>
    <w:rsid w:val="00643F99"/>
    <w:rsid w:val="006510A8"/>
    <w:rsid w:val="00676D04"/>
    <w:rsid w:val="00692763"/>
    <w:rsid w:val="006A1766"/>
    <w:rsid w:val="006A1C7D"/>
    <w:rsid w:val="006B49FF"/>
    <w:rsid w:val="006D6495"/>
    <w:rsid w:val="006F7516"/>
    <w:rsid w:val="00704CCB"/>
    <w:rsid w:val="007157A2"/>
    <w:rsid w:val="00720A99"/>
    <w:rsid w:val="00723ABA"/>
    <w:rsid w:val="007310B4"/>
    <w:rsid w:val="007416B0"/>
    <w:rsid w:val="007434F4"/>
    <w:rsid w:val="007575BE"/>
    <w:rsid w:val="00757CD8"/>
    <w:rsid w:val="00760066"/>
    <w:rsid w:val="00763D7B"/>
    <w:rsid w:val="00770B68"/>
    <w:rsid w:val="00777324"/>
    <w:rsid w:val="007978FD"/>
    <w:rsid w:val="007A74AC"/>
    <w:rsid w:val="007A7C59"/>
    <w:rsid w:val="007D0E5A"/>
    <w:rsid w:val="007F2C7C"/>
    <w:rsid w:val="00802580"/>
    <w:rsid w:val="008074D3"/>
    <w:rsid w:val="00811282"/>
    <w:rsid w:val="00821621"/>
    <w:rsid w:val="00832B86"/>
    <w:rsid w:val="00844D49"/>
    <w:rsid w:val="00845487"/>
    <w:rsid w:val="00852990"/>
    <w:rsid w:val="0085415E"/>
    <w:rsid w:val="0086055E"/>
    <w:rsid w:val="00862930"/>
    <w:rsid w:val="00864618"/>
    <w:rsid w:val="00865D61"/>
    <w:rsid w:val="00867C6C"/>
    <w:rsid w:val="00873B06"/>
    <w:rsid w:val="00885B86"/>
    <w:rsid w:val="00893EFF"/>
    <w:rsid w:val="008945AF"/>
    <w:rsid w:val="00895998"/>
    <w:rsid w:val="008969D4"/>
    <w:rsid w:val="008C2457"/>
    <w:rsid w:val="008C5738"/>
    <w:rsid w:val="008E15F1"/>
    <w:rsid w:val="008E7DEE"/>
    <w:rsid w:val="008F18F6"/>
    <w:rsid w:val="008F6AA5"/>
    <w:rsid w:val="0092219B"/>
    <w:rsid w:val="0092324E"/>
    <w:rsid w:val="00926DF2"/>
    <w:rsid w:val="00927FF5"/>
    <w:rsid w:val="00932656"/>
    <w:rsid w:val="00944B79"/>
    <w:rsid w:val="00947F1B"/>
    <w:rsid w:val="009617BA"/>
    <w:rsid w:val="00970CF0"/>
    <w:rsid w:val="00970FF7"/>
    <w:rsid w:val="00992AFE"/>
    <w:rsid w:val="00992DCC"/>
    <w:rsid w:val="009B0777"/>
    <w:rsid w:val="009B5F1C"/>
    <w:rsid w:val="009C429F"/>
    <w:rsid w:val="009C5A78"/>
    <w:rsid w:val="009C75AA"/>
    <w:rsid w:val="009D6A1C"/>
    <w:rsid w:val="009E2984"/>
    <w:rsid w:val="009F5EBE"/>
    <w:rsid w:val="00A127DC"/>
    <w:rsid w:val="00A158E1"/>
    <w:rsid w:val="00A21B1F"/>
    <w:rsid w:val="00A22006"/>
    <w:rsid w:val="00A30EA4"/>
    <w:rsid w:val="00A46AA3"/>
    <w:rsid w:val="00A63806"/>
    <w:rsid w:val="00A67B24"/>
    <w:rsid w:val="00A8562C"/>
    <w:rsid w:val="00A93B54"/>
    <w:rsid w:val="00A94653"/>
    <w:rsid w:val="00A94871"/>
    <w:rsid w:val="00AB3C19"/>
    <w:rsid w:val="00AB4EBA"/>
    <w:rsid w:val="00AD7C02"/>
    <w:rsid w:val="00AE075A"/>
    <w:rsid w:val="00AF0815"/>
    <w:rsid w:val="00AF0CA5"/>
    <w:rsid w:val="00AF46C2"/>
    <w:rsid w:val="00AF5FC6"/>
    <w:rsid w:val="00B26ECA"/>
    <w:rsid w:val="00B36D24"/>
    <w:rsid w:val="00B40E73"/>
    <w:rsid w:val="00B435A4"/>
    <w:rsid w:val="00B43860"/>
    <w:rsid w:val="00B45C2A"/>
    <w:rsid w:val="00B503C7"/>
    <w:rsid w:val="00B50AEC"/>
    <w:rsid w:val="00B52739"/>
    <w:rsid w:val="00B65781"/>
    <w:rsid w:val="00B936EE"/>
    <w:rsid w:val="00B9389F"/>
    <w:rsid w:val="00B9406D"/>
    <w:rsid w:val="00BA0AE5"/>
    <w:rsid w:val="00BA412D"/>
    <w:rsid w:val="00BB5A57"/>
    <w:rsid w:val="00BC0622"/>
    <w:rsid w:val="00BD358A"/>
    <w:rsid w:val="00BD38EE"/>
    <w:rsid w:val="00BD5148"/>
    <w:rsid w:val="00C00C2D"/>
    <w:rsid w:val="00C016B9"/>
    <w:rsid w:val="00C05080"/>
    <w:rsid w:val="00C16096"/>
    <w:rsid w:val="00C46312"/>
    <w:rsid w:val="00C472F1"/>
    <w:rsid w:val="00C54933"/>
    <w:rsid w:val="00C628C0"/>
    <w:rsid w:val="00C72D67"/>
    <w:rsid w:val="00C926EC"/>
    <w:rsid w:val="00C94B5B"/>
    <w:rsid w:val="00C95ABD"/>
    <w:rsid w:val="00CA685C"/>
    <w:rsid w:val="00CA717C"/>
    <w:rsid w:val="00CB1C2B"/>
    <w:rsid w:val="00CB7AD5"/>
    <w:rsid w:val="00CD11AF"/>
    <w:rsid w:val="00CD1570"/>
    <w:rsid w:val="00CE2F0B"/>
    <w:rsid w:val="00CE57CE"/>
    <w:rsid w:val="00CF38A5"/>
    <w:rsid w:val="00CF5393"/>
    <w:rsid w:val="00CF58F7"/>
    <w:rsid w:val="00CF74EB"/>
    <w:rsid w:val="00D03809"/>
    <w:rsid w:val="00D05D0E"/>
    <w:rsid w:val="00D17315"/>
    <w:rsid w:val="00D22122"/>
    <w:rsid w:val="00D43C76"/>
    <w:rsid w:val="00D4406C"/>
    <w:rsid w:val="00D650EE"/>
    <w:rsid w:val="00D65F9B"/>
    <w:rsid w:val="00D70A18"/>
    <w:rsid w:val="00D70EFE"/>
    <w:rsid w:val="00D77596"/>
    <w:rsid w:val="00D81CCB"/>
    <w:rsid w:val="00D82CD5"/>
    <w:rsid w:val="00D97DC8"/>
    <w:rsid w:val="00DA6324"/>
    <w:rsid w:val="00DD75AC"/>
    <w:rsid w:val="00DE14C0"/>
    <w:rsid w:val="00DF6718"/>
    <w:rsid w:val="00E02142"/>
    <w:rsid w:val="00E03CA2"/>
    <w:rsid w:val="00E152C5"/>
    <w:rsid w:val="00E240B6"/>
    <w:rsid w:val="00E25820"/>
    <w:rsid w:val="00E25ECB"/>
    <w:rsid w:val="00E46154"/>
    <w:rsid w:val="00E65CD4"/>
    <w:rsid w:val="00E869B5"/>
    <w:rsid w:val="00E958A1"/>
    <w:rsid w:val="00EA14F6"/>
    <w:rsid w:val="00EA161B"/>
    <w:rsid w:val="00EA3688"/>
    <w:rsid w:val="00EA526B"/>
    <w:rsid w:val="00EA7D21"/>
    <w:rsid w:val="00EC4638"/>
    <w:rsid w:val="00EC596B"/>
    <w:rsid w:val="00EC5B84"/>
    <w:rsid w:val="00ED1507"/>
    <w:rsid w:val="00EF28AB"/>
    <w:rsid w:val="00EF415D"/>
    <w:rsid w:val="00F0382F"/>
    <w:rsid w:val="00F064B9"/>
    <w:rsid w:val="00F13940"/>
    <w:rsid w:val="00F40FF5"/>
    <w:rsid w:val="00F4242A"/>
    <w:rsid w:val="00F6296B"/>
    <w:rsid w:val="00F62C15"/>
    <w:rsid w:val="00F64C48"/>
    <w:rsid w:val="00F72EE8"/>
    <w:rsid w:val="00FB28C7"/>
    <w:rsid w:val="00FB2BEB"/>
    <w:rsid w:val="00FD4053"/>
    <w:rsid w:val="00FE1131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661D4"/>
  <w15:chartTrackingRefBased/>
  <w15:docId w15:val="{EE8C10AF-3B9D-400C-AFEA-B20E7E03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A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C95ABD"/>
    <w:pPr>
      <w:ind w:left="720"/>
      <w:contextualSpacing/>
    </w:pPr>
  </w:style>
  <w:style w:type="character" w:customStyle="1" w:styleId="ColorfulList-Accent1Char">
    <w:name w:val="Colorful List - Accent 1 Char"/>
    <w:link w:val="ColorfulList-Accent11"/>
    <w:uiPriority w:val="34"/>
    <w:rsid w:val="00C95ABD"/>
    <w:rPr>
      <w:rFonts w:ascii="Cambria" w:eastAsia="Cambria" w:hAnsi="Cambria" w:cs="Times New Roman"/>
    </w:rPr>
  </w:style>
  <w:style w:type="table" w:styleId="TableGrid">
    <w:name w:val="Table Grid"/>
    <w:basedOn w:val="TableNormal"/>
    <w:uiPriority w:val="39"/>
    <w:rsid w:val="00C9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95A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D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6DF2"/>
    <w:pPr>
      <w:ind w:left="720"/>
      <w:contextualSpacing/>
    </w:pPr>
  </w:style>
  <w:style w:type="character" w:customStyle="1" w:styleId="bold1">
    <w:name w:val="bold1"/>
    <w:basedOn w:val="DefaultParagraphFont"/>
    <w:rsid w:val="002A01D1"/>
    <w:rPr>
      <w:b/>
      <w:bCs/>
    </w:rPr>
  </w:style>
  <w:style w:type="character" w:styleId="Hyperlink">
    <w:name w:val="Hyperlink"/>
    <w:basedOn w:val="DefaultParagraphFont"/>
    <w:uiPriority w:val="99"/>
    <w:unhideWhenUsed/>
    <w:rsid w:val="00DF671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9CD"/>
  </w:style>
  <w:style w:type="paragraph" w:styleId="Footer">
    <w:name w:val="footer"/>
    <w:basedOn w:val="Normal"/>
    <w:link w:val="FooterChar"/>
    <w:uiPriority w:val="99"/>
    <w:unhideWhenUsed/>
    <w:rsid w:val="0005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9CD"/>
  </w:style>
  <w:style w:type="paragraph" w:styleId="NoSpacing">
    <w:name w:val="No Spacing"/>
    <w:uiPriority w:val="1"/>
    <w:qFormat/>
    <w:rsid w:val="00E25ECB"/>
    <w:pPr>
      <w:spacing w:after="0" w:line="240" w:lineRule="auto"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802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580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58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8AB"/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8AB"/>
    <w:rPr>
      <w:rFonts w:asciiTheme="minorHAnsi" w:hAnsiTheme="minorHAnsi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DB0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DB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6" ma:contentTypeDescription="Create a new document." ma:contentTypeScope="" ma:versionID="2c0298d27f4d6059d7386d24eea6a1af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0aa5da4e7bfaf80a62a120bf4c0ec40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C758D-8384-46EA-A89A-ABE1870C1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99856-2524-49B8-BD8B-5AB1A5CC5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B9CE8-2AEA-46A2-8DFA-DA56F6EA9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FBD918-1E7B-41CD-A5A9-AE527ECDD3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August 2022 Special Meeting Item 3 Attachment: 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August 2022 Special Meeting Item 3 Attachment: Summary of Public Comment Received</dc:title>
  <dc:subject/>
  <dc:creator>DESE</dc:creator>
  <cp:keywords/>
  <dc:description/>
  <cp:lastModifiedBy>Zou, Dong (EOE)</cp:lastModifiedBy>
  <cp:revision>5</cp:revision>
  <dcterms:created xsi:type="dcterms:W3CDTF">2022-08-09T16:26:00Z</dcterms:created>
  <dcterms:modified xsi:type="dcterms:W3CDTF">2022-08-09T21:13:00Z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9 2022</vt:lpwstr>
  </property>
</Properties>
</file>