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CE65"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3DD8A1C0">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3DD8A1C0">
        <w:tc>
          <w:tcPr>
            <w:tcW w:w="1184" w:type="dxa"/>
          </w:tcPr>
          <w:p w14:paraId="58083D68" w14:textId="77777777" w:rsidR="000E5E95" w:rsidRDefault="000E5E95" w:rsidP="000E5E95">
            <w:pPr>
              <w:rPr>
                <w:b/>
              </w:rPr>
            </w:pPr>
            <w:r>
              <w:rPr>
                <w:b/>
              </w:rPr>
              <w:t>From:</w:t>
            </w:r>
            <w:r>
              <w:tab/>
            </w:r>
          </w:p>
        </w:tc>
        <w:tc>
          <w:tcPr>
            <w:tcW w:w="8176" w:type="dxa"/>
          </w:tcPr>
          <w:p w14:paraId="4F28AB34" w14:textId="3F545915" w:rsidR="006237EC"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3DD8A1C0">
        <w:tc>
          <w:tcPr>
            <w:tcW w:w="1184" w:type="dxa"/>
          </w:tcPr>
          <w:p w14:paraId="43395999" w14:textId="77777777" w:rsidR="000E5E95" w:rsidRDefault="000E5E95" w:rsidP="000E5E95">
            <w:pPr>
              <w:rPr>
                <w:b/>
              </w:rPr>
            </w:pPr>
            <w:r>
              <w:rPr>
                <w:b/>
              </w:rPr>
              <w:t>Date:</w:t>
            </w:r>
            <w:r>
              <w:tab/>
            </w:r>
          </w:p>
        </w:tc>
        <w:tc>
          <w:tcPr>
            <w:tcW w:w="8176" w:type="dxa"/>
          </w:tcPr>
          <w:p w14:paraId="0A2F20FF" w14:textId="659BC9DA" w:rsidR="000E5E95" w:rsidRDefault="005E5B27" w:rsidP="000E5E95">
            <w:pPr>
              <w:pStyle w:val="Footer"/>
              <w:widowControl w:val="0"/>
              <w:tabs>
                <w:tab w:val="clear" w:pos="4320"/>
                <w:tab w:val="clear" w:pos="8640"/>
              </w:tabs>
            </w:pPr>
            <w:r>
              <w:t xml:space="preserve">August </w:t>
            </w:r>
            <w:r w:rsidR="00A512A4">
              <w:t>10</w:t>
            </w:r>
            <w:r w:rsidR="000126E0">
              <w:t>, 2022</w:t>
            </w:r>
          </w:p>
        </w:tc>
      </w:tr>
      <w:tr w:rsidR="000E5E95" w14:paraId="5D0D4861" w14:textId="77777777" w:rsidTr="3DD8A1C0">
        <w:tc>
          <w:tcPr>
            <w:tcW w:w="1184" w:type="dxa"/>
          </w:tcPr>
          <w:p w14:paraId="3428D501" w14:textId="77777777" w:rsidR="000E5E95" w:rsidRDefault="000E5E95" w:rsidP="000E5E95">
            <w:pPr>
              <w:rPr>
                <w:b/>
              </w:rPr>
            </w:pPr>
            <w:r>
              <w:rPr>
                <w:b/>
              </w:rPr>
              <w:t>Subject:</w:t>
            </w:r>
          </w:p>
        </w:tc>
        <w:tc>
          <w:tcPr>
            <w:tcW w:w="8176" w:type="dxa"/>
          </w:tcPr>
          <w:p w14:paraId="1D804615" w14:textId="73581BA1" w:rsidR="000E5E95" w:rsidRPr="007A22FF" w:rsidRDefault="00E13048" w:rsidP="54415296">
            <w:pPr>
              <w:pStyle w:val="Footer"/>
              <w:widowControl w:val="0"/>
              <w:tabs>
                <w:tab w:val="clear" w:pos="4320"/>
                <w:tab w:val="clear" w:pos="8640"/>
              </w:tabs>
              <w:rPr>
                <w:snapToGrid w:val="0"/>
              </w:rPr>
            </w:pPr>
            <w:r w:rsidRPr="00E13048">
              <w:rPr>
                <w:snapToGrid w:val="0"/>
              </w:rPr>
              <w:t>District and School Accountability System for 2022: Changes to Align with Regulatory Amendments</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709E245B" w14:textId="4DB702B6" w:rsidR="00915265" w:rsidRDefault="000F0B68" w:rsidP="000F0B68">
      <w:r w:rsidRPr="000F0B68">
        <w:t xml:space="preserve">At the </w:t>
      </w:r>
      <w:r w:rsidR="005E5B27">
        <w:t>August 15</w:t>
      </w:r>
      <w:r w:rsidRPr="000F0B68">
        <w:t>, 20</w:t>
      </w:r>
      <w:r>
        <w:t>22</w:t>
      </w:r>
      <w:r w:rsidRPr="000F0B68">
        <w:t xml:space="preserve"> meeting of the Board of Elementary and Secondary Education (Board), I will recommend that the Board vote to approve </w:t>
      </w:r>
      <w:r w:rsidR="007A0832">
        <w:t>changes</w:t>
      </w:r>
      <w:r w:rsidRPr="000F0B68">
        <w:t xml:space="preserve"> to the Department’s district and school accountability system. </w:t>
      </w:r>
      <w:r w:rsidR="00915265">
        <w:t xml:space="preserve">The modifications </w:t>
      </w:r>
      <w:r w:rsidR="00F44074">
        <w:t xml:space="preserve">incorporate the changes </w:t>
      </w:r>
      <w:r w:rsidR="00FC0234">
        <w:t>allowed</w:t>
      </w:r>
      <w:r w:rsidR="00F44074">
        <w:t xml:space="preserve"> </w:t>
      </w:r>
      <w:r w:rsidR="00FC0234">
        <w:t>by</w:t>
      </w:r>
      <w:r w:rsidR="00F44074">
        <w:t xml:space="preserve"> our approved </w:t>
      </w:r>
      <w:r w:rsidR="00E71797">
        <w:t xml:space="preserve">addendum to the ESEA Consolidated State Plan, which </w:t>
      </w:r>
      <w:r w:rsidR="00DD62EE">
        <w:t xml:space="preserve">grants temporary flexibility </w:t>
      </w:r>
      <w:r w:rsidR="00BF15DC">
        <w:t>around certain federal accountability reporting requirements for the 2021-</w:t>
      </w:r>
      <w:r w:rsidR="0025626A">
        <w:t>20</w:t>
      </w:r>
      <w:r w:rsidR="00BF15DC">
        <w:t xml:space="preserve">22 school year. The modifications </w:t>
      </w:r>
      <w:r w:rsidR="00BC66D0">
        <w:t xml:space="preserve">also align with the </w:t>
      </w:r>
      <w:r w:rsidR="00574DE1">
        <w:t>amendment</w:t>
      </w:r>
      <w:r w:rsidR="00BC66D0">
        <w:t xml:space="preserve"> to state accountability </w:t>
      </w:r>
      <w:r w:rsidR="005333B3">
        <w:t>regulations</w:t>
      </w:r>
      <w:r w:rsidR="005333B3" w:rsidRPr="000E1F41">
        <w:rPr>
          <w:rStyle w:val="FootnoteReference"/>
          <w:vertAlign w:val="superscript"/>
        </w:rPr>
        <w:footnoteReference w:id="2"/>
      </w:r>
      <w:r w:rsidR="00BC66D0">
        <w:t xml:space="preserve"> that the Board approved at the </w:t>
      </w:r>
      <w:hyperlink r:id="rId13" w:history="1">
        <w:r w:rsidR="005333B3" w:rsidRPr="0025626A">
          <w:rPr>
            <w:rStyle w:val="Hyperlink"/>
          </w:rPr>
          <w:t>June 28, 2022</w:t>
        </w:r>
      </w:hyperlink>
      <w:r w:rsidR="005333B3">
        <w:t xml:space="preserve"> meeting</w:t>
      </w:r>
      <w:r w:rsidR="00E436CF">
        <w:t>.</w:t>
      </w:r>
    </w:p>
    <w:p w14:paraId="36F3E946" w14:textId="77777777" w:rsidR="000F0B68" w:rsidRPr="000F0B68" w:rsidRDefault="000F0B68" w:rsidP="000F0B68"/>
    <w:p w14:paraId="5EB1B171" w14:textId="329091FF" w:rsidR="00E436CF" w:rsidRPr="000F0B68" w:rsidRDefault="00E436CF" w:rsidP="00E436CF">
      <w:pPr>
        <w:rPr>
          <w:b/>
        </w:rPr>
      </w:pPr>
      <w:r w:rsidRPr="000F0B68">
        <w:rPr>
          <w:b/>
        </w:rPr>
        <w:t xml:space="preserve">Proposed </w:t>
      </w:r>
      <w:r>
        <w:rPr>
          <w:b/>
        </w:rPr>
        <w:t>Changes</w:t>
      </w:r>
    </w:p>
    <w:p w14:paraId="61F12672" w14:textId="77777777" w:rsidR="00E436CF" w:rsidRPr="000F0B68" w:rsidRDefault="00E436CF" w:rsidP="00E436CF">
      <w:pPr>
        <w:rPr>
          <w:b/>
        </w:rPr>
      </w:pPr>
    </w:p>
    <w:p w14:paraId="1E897A49" w14:textId="77777777" w:rsidR="005D7A87" w:rsidRPr="005D7A87" w:rsidRDefault="005D7A87" w:rsidP="005D7A87">
      <w:pPr>
        <w:rPr>
          <w:bCs/>
        </w:rPr>
      </w:pPr>
      <w:r w:rsidRPr="005D7A87">
        <w:rPr>
          <w:bCs/>
        </w:rPr>
        <w:t>In the fall of 2022, the Department proposes to produce some, but not all, of the information associated with annual district and school accountability determinations. Under this “accountability lite” model, we intend to publish district, school, and student group-level performance data for each of the approved accountability indicators, as well as certain normative measures (e.g., school percentiles) that will help districts, schools, the Department, and the public assess the performance of all districts and schools using common measures. The availability of this information will also continue to help communities and the state decide how to assign resources and other assistance.</w:t>
      </w:r>
    </w:p>
    <w:p w14:paraId="76A18AEA" w14:textId="77777777" w:rsidR="005D7A87" w:rsidRPr="005D7A87" w:rsidRDefault="005D7A87" w:rsidP="005D7A87">
      <w:pPr>
        <w:rPr>
          <w:bCs/>
        </w:rPr>
      </w:pPr>
    </w:p>
    <w:p w14:paraId="1D5482E1" w14:textId="2E5B2965" w:rsidR="00E436CF" w:rsidRPr="0025626A" w:rsidRDefault="005D7A87" w:rsidP="005D7A87">
      <w:pPr>
        <w:rPr>
          <w:bCs/>
        </w:rPr>
      </w:pPr>
      <w:r w:rsidRPr="005D7A87">
        <w:rPr>
          <w:bCs/>
        </w:rPr>
        <w:t>Under the “accountability lite” model, we would not publish indicator targets, points for progress towards targets, progress ratings, or determinations of each district’s and school’s need for assistance or intervention. These aspects of the traditional accountability system would be reconsidered for future accountability reporting cycles.</w:t>
      </w:r>
    </w:p>
    <w:p w14:paraId="14504F20" w14:textId="77777777" w:rsidR="00B621A2" w:rsidRDefault="00B621A2" w:rsidP="000F0B68">
      <w:pPr>
        <w:rPr>
          <w:b/>
        </w:rPr>
      </w:pPr>
    </w:p>
    <w:p w14:paraId="36C3CB56" w14:textId="77777777" w:rsidR="00B621A2" w:rsidRDefault="00B621A2" w:rsidP="000F0B68">
      <w:pPr>
        <w:rPr>
          <w:b/>
        </w:rPr>
      </w:pPr>
    </w:p>
    <w:p w14:paraId="4648E4BE" w14:textId="67F82C2E" w:rsidR="000F0B68" w:rsidRPr="000F0B68" w:rsidRDefault="000F0B68" w:rsidP="000F0B68">
      <w:pPr>
        <w:rPr>
          <w:b/>
        </w:rPr>
      </w:pPr>
      <w:r w:rsidRPr="000F0B68">
        <w:rPr>
          <w:b/>
        </w:rPr>
        <w:lastRenderedPageBreak/>
        <w:t>Public Comment</w:t>
      </w:r>
    </w:p>
    <w:p w14:paraId="757C1D58" w14:textId="77777777" w:rsidR="000F0B68" w:rsidRPr="000F0B68" w:rsidRDefault="000F0B68" w:rsidP="000F0B68">
      <w:pPr>
        <w:rPr>
          <w:b/>
        </w:rPr>
      </w:pPr>
    </w:p>
    <w:p w14:paraId="385B2D06" w14:textId="29312B5F" w:rsidR="000F0B68" w:rsidRDefault="0010193E" w:rsidP="000F0B68">
      <w:r>
        <w:t xml:space="preserve">As required by </w:t>
      </w:r>
      <w:r w:rsidR="005D7A87">
        <w:t>state</w:t>
      </w:r>
      <w:r w:rsidR="007B4A34">
        <w:t xml:space="preserve"> regulation</w:t>
      </w:r>
      <w:r w:rsidR="005D7A87" w:rsidRPr="00DC0192">
        <w:rPr>
          <w:rStyle w:val="FootnoteReference"/>
          <w:vertAlign w:val="superscript"/>
        </w:rPr>
        <w:footnoteReference w:id="3"/>
      </w:r>
      <w:r w:rsidR="007B4A34">
        <w:t xml:space="preserve">, </w:t>
      </w:r>
      <w:r w:rsidR="005D7A87">
        <w:t>t</w:t>
      </w:r>
      <w:r w:rsidR="000F0B68" w:rsidRPr="000F0B68">
        <w:t xml:space="preserve">he Department invited the public to comment on the </w:t>
      </w:r>
      <w:r w:rsidR="0048294A">
        <w:t xml:space="preserve">changes to the </w:t>
      </w:r>
      <w:r w:rsidR="000F0B68" w:rsidRPr="000F0B68">
        <w:t>district and school accountability system</w:t>
      </w:r>
      <w:r w:rsidR="0048294A">
        <w:t xml:space="preserve"> </w:t>
      </w:r>
      <w:r w:rsidR="000F0B68" w:rsidRPr="000F0B68">
        <w:t xml:space="preserve">during the period from </w:t>
      </w:r>
      <w:r w:rsidR="007B4A34">
        <w:t>July 1, 2022 to July 15, 2022</w:t>
      </w:r>
      <w:r w:rsidR="000F0B68" w:rsidRPr="000F0B68">
        <w:t xml:space="preserve">. The Department received </w:t>
      </w:r>
      <w:r w:rsidR="0017645E">
        <w:t>6</w:t>
      </w:r>
      <w:r w:rsidR="000F0B68" w:rsidRPr="000F0B68">
        <w:t xml:space="preserve"> written comments </w:t>
      </w:r>
      <w:r w:rsidR="000F0B68" w:rsidRPr="0017645E">
        <w:t>during the public comment period. The most commented-on issue</w:t>
      </w:r>
      <w:r w:rsidR="005A58A8" w:rsidRPr="0017645E">
        <w:t xml:space="preserve"> was t</w:t>
      </w:r>
      <w:r w:rsidR="00F50C21" w:rsidRPr="0017645E">
        <w:t xml:space="preserve">he use of chronic absenteeism </w:t>
      </w:r>
      <w:r w:rsidR="007D383D" w:rsidRPr="0017645E">
        <w:t>as an accountability indicator</w:t>
      </w:r>
      <w:r w:rsidR="003D6663" w:rsidRPr="0017645E">
        <w:t>.</w:t>
      </w:r>
      <w:r w:rsidR="003617FA" w:rsidRPr="0017645E">
        <w:t xml:space="preserve"> </w:t>
      </w:r>
      <w:r w:rsidR="000F0B68" w:rsidRPr="0017645E">
        <w:t xml:space="preserve">Attached is a document summarizing the comments that were received, the individuals </w:t>
      </w:r>
      <w:r w:rsidR="0017645E" w:rsidRPr="0017645E">
        <w:t>who</w:t>
      </w:r>
      <w:r w:rsidR="000F0B68" w:rsidRPr="0017645E">
        <w:t xml:space="preserve"> submitted them, and the Department’s responses.</w:t>
      </w:r>
      <w:r w:rsidR="000F0B68" w:rsidRPr="000F0B68">
        <w:t xml:space="preserve"> </w:t>
      </w:r>
    </w:p>
    <w:p w14:paraId="3EF3C6B5" w14:textId="77777777" w:rsidR="00125F49" w:rsidRDefault="00125F49" w:rsidP="000F0B68"/>
    <w:p w14:paraId="073F2EE3" w14:textId="20906CF8" w:rsidR="00125F49" w:rsidRDefault="00125F49" w:rsidP="000F0B68">
      <w:pPr>
        <w:rPr>
          <w:color w:val="000000"/>
          <w:szCs w:val="24"/>
        </w:rPr>
      </w:pPr>
      <w:r>
        <w:t xml:space="preserve">Additionally, </w:t>
      </w:r>
      <w:r w:rsidR="00293BE4">
        <w:t xml:space="preserve">the Accountability and Assistance </w:t>
      </w:r>
      <w:r w:rsidR="00FD097A">
        <w:t>Advisory</w:t>
      </w:r>
      <w:r w:rsidR="00293BE4">
        <w:t xml:space="preserve"> Council (AAAC) discussed the proposed changes to the system </w:t>
      </w:r>
      <w:r w:rsidR="00744A1B">
        <w:t xml:space="preserve">at their </w:t>
      </w:r>
      <w:hyperlink r:id="rId14" w:history="1">
        <w:r w:rsidR="00744A1B" w:rsidRPr="00744A1B">
          <w:rPr>
            <w:rStyle w:val="Hyperlink"/>
          </w:rPr>
          <w:t>March 2, 2022</w:t>
        </w:r>
      </w:hyperlink>
      <w:r w:rsidR="00744A1B">
        <w:t xml:space="preserve"> and </w:t>
      </w:r>
      <w:hyperlink r:id="rId15" w:history="1">
        <w:r w:rsidR="00744A1B" w:rsidRPr="00744A1B">
          <w:rPr>
            <w:rStyle w:val="Hyperlink"/>
          </w:rPr>
          <w:t>June 1, 2022</w:t>
        </w:r>
      </w:hyperlink>
      <w:r w:rsidR="00744A1B">
        <w:t xml:space="preserve"> meetings. </w:t>
      </w:r>
      <w:r w:rsidR="0087156F">
        <w:t xml:space="preserve">In general, </w:t>
      </w:r>
      <w:r w:rsidR="0087156F" w:rsidRPr="00E34E2E">
        <w:rPr>
          <w:color w:val="000000"/>
          <w:szCs w:val="24"/>
        </w:rPr>
        <w:t>Council members signaled their support for the change</w:t>
      </w:r>
      <w:r w:rsidR="00B956C4">
        <w:rPr>
          <w:color w:val="000000"/>
          <w:szCs w:val="24"/>
        </w:rPr>
        <w:t>s</w:t>
      </w:r>
      <w:r w:rsidR="0087156F" w:rsidRPr="00E34E2E">
        <w:rPr>
          <w:color w:val="000000"/>
          <w:szCs w:val="24"/>
        </w:rPr>
        <w:t xml:space="preserve">, given the many challenges that </w:t>
      </w:r>
      <w:proofErr w:type="gramStart"/>
      <w:r w:rsidR="0087156F" w:rsidRPr="00E34E2E">
        <w:rPr>
          <w:color w:val="000000"/>
          <w:szCs w:val="24"/>
        </w:rPr>
        <w:t>districts</w:t>
      </w:r>
      <w:proofErr w:type="gramEnd"/>
      <w:r w:rsidR="0087156F" w:rsidRPr="00E34E2E">
        <w:rPr>
          <w:color w:val="000000"/>
          <w:szCs w:val="24"/>
        </w:rPr>
        <w:t xml:space="preserve"> and schools continue to face as a result of the pandemic. At least one Council member encouraged the Department to maintain its regular accountability reporting practices and provide additional context and explanatory materials to stakeholders to use when interpreting the results.</w:t>
      </w:r>
    </w:p>
    <w:p w14:paraId="5CDF858F" w14:textId="77777777" w:rsidR="00DD5744" w:rsidRDefault="00DD5744" w:rsidP="000F0B68">
      <w:pPr>
        <w:rPr>
          <w:color w:val="000000"/>
          <w:szCs w:val="24"/>
        </w:rPr>
      </w:pPr>
    </w:p>
    <w:p w14:paraId="3ACD788D" w14:textId="42E4B07A" w:rsidR="00DD5744" w:rsidRDefault="00D9338D" w:rsidP="000F0B68">
      <w:pPr>
        <w:rPr>
          <w:b/>
          <w:bCs/>
          <w:color w:val="000000"/>
          <w:szCs w:val="24"/>
        </w:rPr>
      </w:pPr>
      <w:r w:rsidRPr="00D9338D">
        <w:rPr>
          <w:b/>
          <w:bCs/>
          <w:color w:val="000000"/>
          <w:szCs w:val="24"/>
        </w:rPr>
        <w:t>Future System Changes</w:t>
      </w:r>
    </w:p>
    <w:p w14:paraId="15B00A25" w14:textId="77777777" w:rsidR="00D9338D" w:rsidRDefault="00D9338D" w:rsidP="000F0B68">
      <w:pPr>
        <w:rPr>
          <w:b/>
          <w:bCs/>
          <w:color w:val="000000"/>
          <w:szCs w:val="24"/>
        </w:rPr>
      </w:pPr>
    </w:p>
    <w:p w14:paraId="19EF10EF" w14:textId="00816DA5" w:rsidR="00D9338D" w:rsidRPr="00D9338D" w:rsidRDefault="000A1E2E" w:rsidP="000F0B68">
      <w:r>
        <w:t xml:space="preserve">At the June meeting of the Board, members </w:t>
      </w:r>
      <w:r w:rsidR="008B5D3D">
        <w:t xml:space="preserve">asked about the weighting of the achievement and growth indicators within the accountability system. As described in the </w:t>
      </w:r>
      <w:r w:rsidR="00B41B27">
        <w:t xml:space="preserve">attached </w:t>
      </w:r>
      <w:r w:rsidR="008B5D3D">
        <w:t xml:space="preserve">summary document, </w:t>
      </w:r>
      <w:r w:rsidR="00AE180C">
        <w:t xml:space="preserve">the 2022 </w:t>
      </w:r>
      <w:r w:rsidR="007E0ECE">
        <w:t>accountability</w:t>
      </w:r>
      <w:r w:rsidR="00AE180C">
        <w:t xml:space="preserve"> results maintain a 3 to 1 ratio of achievement and growth.</w:t>
      </w:r>
      <w:r w:rsidR="00233F30">
        <w:t xml:space="preserve"> However, i</w:t>
      </w:r>
      <w:r w:rsidR="00D32E50">
        <w:t>n response to comments from Board members regarding the weighting</w:t>
      </w:r>
      <w:r w:rsidR="002A4CCA">
        <w:t xml:space="preserve"> of</w:t>
      </w:r>
      <w:r w:rsidR="00D32E50">
        <w:t xml:space="preserve"> </w:t>
      </w:r>
      <w:r w:rsidR="00233F30">
        <w:t>these</w:t>
      </w:r>
      <w:r w:rsidR="00D32E50">
        <w:t xml:space="preserve"> </w:t>
      </w:r>
      <w:r>
        <w:t>indicators</w:t>
      </w:r>
      <w:r w:rsidR="00233F30">
        <w:t xml:space="preserve">, </w:t>
      </w:r>
      <w:r w:rsidR="007511BE">
        <w:t>I</w:t>
      </w:r>
      <w:r w:rsidR="00A06A5F">
        <w:t xml:space="preserve"> intend to</w:t>
      </w:r>
      <w:r w:rsidR="007511BE">
        <w:t xml:space="preserve"> direct </w:t>
      </w:r>
      <w:r w:rsidR="00AF0882">
        <w:t>Department staff</w:t>
      </w:r>
      <w:r w:rsidR="007511BE">
        <w:t xml:space="preserve"> to </w:t>
      </w:r>
      <w:r w:rsidR="00AF0882">
        <w:t>conduct</w:t>
      </w:r>
      <w:r w:rsidR="007511BE">
        <w:t xml:space="preserve"> a study and </w:t>
      </w:r>
      <w:r w:rsidR="00AF0882">
        <w:t xml:space="preserve">present </w:t>
      </w:r>
      <w:r w:rsidR="007511BE">
        <w:t xml:space="preserve">options for </w:t>
      </w:r>
      <w:r w:rsidR="002A4CCA">
        <w:t>an alternative</w:t>
      </w:r>
      <w:r w:rsidR="007511BE">
        <w:t xml:space="preserve"> weighting of </w:t>
      </w:r>
      <w:r w:rsidR="002A4CCA">
        <w:t xml:space="preserve">the </w:t>
      </w:r>
      <w:r w:rsidR="007511BE">
        <w:t>achievement and growth</w:t>
      </w:r>
      <w:r w:rsidR="002A4CCA">
        <w:t xml:space="preserve"> indicators</w:t>
      </w:r>
      <w:r w:rsidR="00AF0882">
        <w:t>, which, if approved by the Board, would</w:t>
      </w:r>
      <w:r w:rsidR="007511BE">
        <w:t xml:space="preserve"> be implemented</w:t>
      </w:r>
      <w:r w:rsidR="004C7380">
        <w:t xml:space="preserve"> </w:t>
      </w:r>
      <w:r w:rsidR="007511BE">
        <w:t>for the 2023 accountability determinations</w:t>
      </w:r>
      <w:r w:rsidR="002A4CCA">
        <w:t>.</w:t>
      </w:r>
    </w:p>
    <w:p w14:paraId="5BD87DDB" w14:textId="546EE7A8" w:rsidR="000F0B68" w:rsidRPr="000F0B68" w:rsidRDefault="000F0B68" w:rsidP="000F0B68"/>
    <w:p w14:paraId="7E3E02C8" w14:textId="19664284" w:rsidR="000F0B68" w:rsidRDefault="004E0590" w:rsidP="000F0B68">
      <w:r>
        <w:t xml:space="preserve">Rob Curtin, Chief Officer for Data, Assessment, and Accountability, will be at the Board meeting on </w:t>
      </w:r>
      <w:r w:rsidR="00DF32C4">
        <w:t>August 15</w:t>
      </w:r>
      <w:r>
        <w:t xml:space="preserve"> to answer your questions.</w:t>
      </w:r>
    </w:p>
    <w:p w14:paraId="26EE03DF" w14:textId="77777777" w:rsidR="004E0590" w:rsidRPr="000F0B68" w:rsidRDefault="004E0590" w:rsidP="000F0B68">
      <w:pPr>
        <w:rPr>
          <w:b/>
        </w:rPr>
      </w:pPr>
    </w:p>
    <w:p w14:paraId="2BFDA5E6" w14:textId="35537AF2" w:rsidR="000F0B68" w:rsidRPr="000F0B68" w:rsidRDefault="00666613" w:rsidP="000F0B68">
      <w:pPr>
        <w:rPr>
          <w:b/>
        </w:rPr>
      </w:pPr>
      <w:r>
        <w:rPr>
          <w:b/>
        </w:rPr>
        <w:t>Attachments</w:t>
      </w:r>
      <w:r w:rsidR="00C44CBD">
        <w:rPr>
          <w:b/>
        </w:rPr>
        <w:t>:</w:t>
      </w:r>
    </w:p>
    <w:p w14:paraId="12D0EDE1" w14:textId="63BDA522" w:rsidR="000F0B68" w:rsidRPr="000F0B68" w:rsidRDefault="000F0B68" w:rsidP="00C44CBD">
      <w:pPr>
        <w:pStyle w:val="ListParagraph"/>
        <w:numPr>
          <w:ilvl w:val="0"/>
          <w:numId w:val="26"/>
        </w:numPr>
      </w:pPr>
      <w:r w:rsidRPr="000F0B68">
        <w:t>Summary of the District and School Accountability System</w:t>
      </w:r>
    </w:p>
    <w:p w14:paraId="2159E74A" w14:textId="77777777" w:rsidR="00666613" w:rsidRPr="000F0B68" w:rsidRDefault="00666613" w:rsidP="00C44CBD">
      <w:pPr>
        <w:pStyle w:val="ListParagraph"/>
        <w:numPr>
          <w:ilvl w:val="0"/>
          <w:numId w:val="26"/>
        </w:numPr>
      </w:pPr>
      <w:r w:rsidRPr="000F0B68">
        <w:t xml:space="preserve">Summary of Public Comment Received </w:t>
      </w:r>
    </w:p>
    <w:p w14:paraId="195BAF59" w14:textId="77777777" w:rsidR="000F0B68" w:rsidRPr="000F0B68" w:rsidRDefault="000F0B68" w:rsidP="00C44CBD">
      <w:pPr>
        <w:pStyle w:val="ListParagraph"/>
        <w:numPr>
          <w:ilvl w:val="0"/>
          <w:numId w:val="26"/>
        </w:numPr>
      </w:pPr>
      <w:r w:rsidRPr="000F0B68">
        <w:t>Motion</w:t>
      </w:r>
    </w:p>
    <w:p w14:paraId="1FA174EB" w14:textId="2EB075E0" w:rsidR="0039533A" w:rsidRDefault="0039533A"/>
    <w:sectPr w:rsidR="0039533A" w:rsidSect="007B3EE1">
      <w:footerReference w:type="default" r:id="rId16"/>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61B6A" w14:textId="77777777" w:rsidR="00211980" w:rsidRDefault="00211980">
      <w:r>
        <w:separator/>
      </w:r>
    </w:p>
  </w:endnote>
  <w:endnote w:type="continuationSeparator" w:id="0">
    <w:p w14:paraId="3A5BA83F" w14:textId="77777777" w:rsidR="00211980" w:rsidRDefault="00211980">
      <w:r>
        <w:continuationSeparator/>
      </w:r>
    </w:p>
  </w:endnote>
  <w:endnote w:type="continuationNotice" w:id="1">
    <w:p w14:paraId="14651074" w14:textId="77777777" w:rsidR="00211980" w:rsidRDefault="00211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394E1" w14:textId="77777777" w:rsidR="00211980" w:rsidRDefault="00211980">
      <w:r>
        <w:separator/>
      </w:r>
    </w:p>
  </w:footnote>
  <w:footnote w:type="continuationSeparator" w:id="0">
    <w:p w14:paraId="4449D543" w14:textId="77777777" w:rsidR="00211980" w:rsidRDefault="00211980">
      <w:r>
        <w:continuationSeparator/>
      </w:r>
    </w:p>
  </w:footnote>
  <w:footnote w:type="continuationNotice" w:id="1">
    <w:p w14:paraId="658F4F32" w14:textId="77777777" w:rsidR="00211980" w:rsidRDefault="00211980"/>
  </w:footnote>
  <w:footnote w:id="2">
    <w:p w14:paraId="30D9F50E" w14:textId="66E9B228" w:rsidR="005333B3" w:rsidRDefault="005333B3">
      <w:pPr>
        <w:pStyle w:val="FootnoteText"/>
      </w:pPr>
      <w:r w:rsidRPr="000E1F41">
        <w:rPr>
          <w:rStyle w:val="FootnoteReference"/>
          <w:vertAlign w:val="superscript"/>
        </w:rPr>
        <w:footnoteRef/>
      </w:r>
      <w:r w:rsidRPr="000E1F41">
        <w:rPr>
          <w:vertAlign w:val="superscript"/>
        </w:rPr>
        <w:t xml:space="preserve"> </w:t>
      </w:r>
      <w:r>
        <w:t>603 CMR 2.0</w:t>
      </w:r>
      <w:r w:rsidR="00191E04">
        <w:t>3</w:t>
      </w:r>
      <w:r w:rsidR="00DA5879">
        <w:t xml:space="preserve">(11): </w:t>
      </w:r>
      <w:r w:rsidR="00E436CF" w:rsidRPr="00E436CF">
        <w:rPr>
          <w:b/>
          <w:bCs/>
        </w:rPr>
        <w:t>Commissioner's authority to suspend the reporting of measures and annual performance determinations for districts and schools</w:t>
      </w:r>
      <w:r w:rsidR="00E436CF" w:rsidRPr="00E436CF">
        <w:t xml:space="preserve"> The Commissioner may, for good cause arising from the COVID-19 pandemic, direct the Department to suspend the reporting of any or all of the reported measures and annual performance determinations, as described in 603 CMR 2.03 (2)–(3), for school year 2021-2022.</w:t>
      </w:r>
    </w:p>
  </w:footnote>
  <w:footnote w:id="3">
    <w:p w14:paraId="4FA2796E" w14:textId="5DB0BDBD" w:rsidR="005D7A87" w:rsidRDefault="005D7A87">
      <w:pPr>
        <w:pStyle w:val="FootnoteText"/>
      </w:pPr>
      <w:r w:rsidRPr="00DC0192">
        <w:rPr>
          <w:rStyle w:val="FootnoteReference"/>
          <w:vertAlign w:val="superscript"/>
        </w:rPr>
        <w:footnoteRef/>
      </w:r>
      <w:r>
        <w:t xml:space="preserve"> </w:t>
      </w:r>
      <w:r w:rsidR="00DC0192">
        <w:t>603 CMR 2.03(10)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8C5FB0"/>
    <w:multiLevelType w:val="hybridMultilevel"/>
    <w:tmpl w:val="3BAC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FA6379"/>
    <w:multiLevelType w:val="hybridMultilevel"/>
    <w:tmpl w:val="B4D4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8"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224AE6"/>
    <w:multiLevelType w:val="hybridMultilevel"/>
    <w:tmpl w:val="2300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E107B33"/>
    <w:multiLevelType w:val="hybridMultilevel"/>
    <w:tmpl w:val="82186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905920"/>
    <w:multiLevelType w:val="hybridMultilevel"/>
    <w:tmpl w:val="E85804B4"/>
    <w:lvl w:ilvl="0" w:tplc="6492CF74">
      <w:start w:val="1"/>
      <w:numFmt w:val="decimal"/>
      <w:lvlText w:val="%1."/>
      <w:lvlJc w:val="left"/>
      <w:pPr>
        <w:tabs>
          <w:tab w:val="num" w:pos="720"/>
        </w:tabs>
        <w:ind w:left="720" w:hanging="360"/>
      </w:pPr>
    </w:lvl>
    <w:lvl w:ilvl="1" w:tplc="241A791E">
      <w:start w:val="1"/>
      <w:numFmt w:val="decimal"/>
      <w:lvlText w:val="%2."/>
      <w:lvlJc w:val="left"/>
      <w:pPr>
        <w:tabs>
          <w:tab w:val="num" w:pos="1440"/>
        </w:tabs>
        <w:ind w:left="1440" w:hanging="360"/>
      </w:pPr>
    </w:lvl>
    <w:lvl w:ilvl="2" w:tplc="E28A72B0">
      <w:start w:val="1"/>
      <w:numFmt w:val="decimal"/>
      <w:lvlText w:val="%3."/>
      <w:lvlJc w:val="left"/>
      <w:pPr>
        <w:tabs>
          <w:tab w:val="num" w:pos="2160"/>
        </w:tabs>
        <w:ind w:left="2160" w:hanging="360"/>
      </w:pPr>
    </w:lvl>
    <w:lvl w:ilvl="3" w:tplc="4A120EAC">
      <w:start w:val="1"/>
      <w:numFmt w:val="decimal"/>
      <w:lvlText w:val="%4."/>
      <w:lvlJc w:val="left"/>
      <w:pPr>
        <w:tabs>
          <w:tab w:val="num" w:pos="2880"/>
        </w:tabs>
        <w:ind w:left="2880" w:hanging="360"/>
      </w:pPr>
    </w:lvl>
    <w:lvl w:ilvl="4" w:tplc="6332F4B2">
      <w:start w:val="1"/>
      <w:numFmt w:val="decimal"/>
      <w:lvlText w:val="%5."/>
      <w:lvlJc w:val="left"/>
      <w:pPr>
        <w:tabs>
          <w:tab w:val="num" w:pos="3600"/>
        </w:tabs>
        <w:ind w:left="3600" w:hanging="360"/>
      </w:pPr>
    </w:lvl>
    <w:lvl w:ilvl="5" w:tplc="F17E14A6">
      <w:start w:val="1"/>
      <w:numFmt w:val="decimal"/>
      <w:lvlText w:val="%6."/>
      <w:lvlJc w:val="left"/>
      <w:pPr>
        <w:tabs>
          <w:tab w:val="num" w:pos="4320"/>
        </w:tabs>
        <w:ind w:left="4320" w:hanging="360"/>
      </w:pPr>
    </w:lvl>
    <w:lvl w:ilvl="6" w:tplc="6FA20EE8">
      <w:start w:val="1"/>
      <w:numFmt w:val="decimal"/>
      <w:lvlText w:val="%7."/>
      <w:lvlJc w:val="left"/>
      <w:pPr>
        <w:tabs>
          <w:tab w:val="num" w:pos="5040"/>
        </w:tabs>
        <w:ind w:left="5040" w:hanging="360"/>
      </w:pPr>
    </w:lvl>
    <w:lvl w:ilvl="7" w:tplc="439408CE">
      <w:start w:val="1"/>
      <w:numFmt w:val="decimal"/>
      <w:lvlText w:val="%8."/>
      <w:lvlJc w:val="left"/>
      <w:pPr>
        <w:tabs>
          <w:tab w:val="num" w:pos="5760"/>
        </w:tabs>
        <w:ind w:left="5760" w:hanging="360"/>
      </w:pPr>
    </w:lvl>
    <w:lvl w:ilvl="8" w:tplc="0964851E">
      <w:start w:val="1"/>
      <w:numFmt w:val="decimal"/>
      <w:lvlText w:val="%9."/>
      <w:lvlJc w:val="left"/>
      <w:pPr>
        <w:tabs>
          <w:tab w:val="num" w:pos="6480"/>
        </w:tabs>
        <w:ind w:left="6480" w:hanging="360"/>
      </w:pPr>
    </w:lvl>
  </w:abstractNum>
  <w:abstractNum w:abstractNumId="22"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3"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4"/>
  </w:num>
  <w:num w:numId="4">
    <w:abstractNumId w:val="19"/>
  </w:num>
  <w:num w:numId="5">
    <w:abstractNumId w:val="8"/>
  </w:num>
  <w:num w:numId="6">
    <w:abstractNumId w:val="16"/>
  </w:num>
  <w:num w:numId="7">
    <w:abstractNumId w:val="11"/>
  </w:num>
  <w:num w:numId="8">
    <w:abstractNumId w:val="2"/>
  </w:num>
  <w:num w:numId="9">
    <w:abstractNumId w:val="1"/>
  </w:num>
  <w:num w:numId="10">
    <w:abstractNumId w:val="0"/>
  </w:num>
  <w:num w:numId="11">
    <w:abstractNumId w:val="20"/>
  </w:num>
  <w:num w:numId="12">
    <w:abstractNumId w:val="12"/>
  </w:num>
  <w:num w:numId="13">
    <w:abstractNumId w:val="23"/>
  </w:num>
  <w:num w:numId="14">
    <w:abstractNumId w:val="15"/>
  </w:num>
  <w:num w:numId="15">
    <w:abstractNumId w:val="6"/>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9"/>
  </w:num>
  <w:num w:numId="19">
    <w:abstractNumId w:val="1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4"/>
  </w:num>
  <w:num w:numId="23">
    <w:abstractNumId w:val="10"/>
  </w:num>
  <w:num w:numId="24">
    <w:abstractNumId w:val="3"/>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06E03"/>
    <w:rsid w:val="000126E0"/>
    <w:rsid w:val="00012F0E"/>
    <w:rsid w:val="00021821"/>
    <w:rsid w:val="00025507"/>
    <w:rsid w:val="0004066E"/>
    <w:rsid w:val="00041CA1"/>
    <w:rsid w:val="00043ADE"/>
    <w:rsid w:val="000457B9"/>
    <w:rsid w:val="00046685"/>
    <w:rsid w:val="000475B1"/>
    <w:rsid w:val="00052EFE"/>
    <w:rsid w:val="000556C1"/>
    <w:rsid w:val="000576C5"/>
    <w:rsid w:val="00062FA8"/>
    <w:rsid w:val="00064857"/>
    <w:rsid w:val="00081732"/>
    <w:rsid w:val="00085950"/>
    <w:rsid w:val="000A065E"/>
    <w:rsid w:val="000A0D6A"/>
    <w:rsid w:val="000A0F1D"/>
    <w:rsid w:val="000A1E2E"/>
    <w:rsid w:val="000A59A0"/>
    <w:rsid w:val="000B1C0A"/>
    <w:rsid w:val="000B726B"/>
    <w:rsid w:val="000C2726"/>
    <w:rsid w:val="000C2BCD"/>
    <w:rsid w:val="000D0DB3"/>
    <w:rsid w:val="000D1D52"/>
    <w:rsid w:val="000D23B5"/>
    <w:rsid w:val="000E0994"/>
    <w:rsid w:val="000E1F41"/>
    <w:rsid w:val="000E49AC"/>
    <w:rsid w:val="000E5E95"/>
    <w:rsid w:val="000F0B68"/>
    <w:rsid w:val="000F166A"/>
    <w:rsid w:val="000F4D5B"/>
    <w:rsid w:val="0010052A"/>
    <w:rsid w:val="0010114E"/>
    <w:rsid w:val="0010193E"/>
    <w:rsid w:val="00102369"/>
    <w:rsid w:val="0011409B"/>
    <w:rsid w:val="001144C3"/>
    <w:rsid w:val="001258EC"/>
    <w:rsid w:val="00125F49"/>
    <w:rsid w:val="00134901"/>
    <w:rsid w:val="00136904"/>
    <w:rsid w:val="0014369F"/>
    <w:rsid w:val="001449CB"/>
    <w:rsid w:val="001511A4"/>
    <w:rsid w:val="0015328C"/>
    <w:rsid w:val="00153CE7"/>
    <w:rsid w:val="001579CF"/>
    <w:rsid w:val="00164507"/>
    <w:rsid w:val="001652E5"/>
    <w:rsid w:val="00167E8F"/>
    <w:rsid w:val="00170340"/>
    <w:rsid w:val="001710B3"/>
    <w:rsid w:val="0017645E"/>
    <w:rsid w:val="00183112"/>
    <w:rsid w:val="00185E9E"/>
    <w:rsid w:val="00187855"/>
    <w:rsid w:val="00190AEB"/>
    <w:rsid w:val="00191E04"/>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1980"/>
    <w:rsid w:val="00213AD5"/>
    <w:rsid w:val="00215FA9"/>
    <w:rsid w:val="002163A1"/>
    <w:rsid w:val="002308C1"/>
    <w:rsid w:val="00233F30"/>
    <w:rsid w:val="002416E7"/>
    <w:rsid w:val="00241A1F"/>
    <w:rsid w:val="00243A55"/>
    <w:rsid w:val="002502CB"/>
    <w:rsid w:val="0025626A"/>
    <w:rsid w:val="00257F5A"/>
    <w:rsid w:val="00261BFC"/>
    <w:rsid w:val="002654B4"/>
    <w:rsid w:val="00271228"/>
    <w:rsid w:val="002713FC"/>
    <w:rsid w:val="00273152"/>
    <w:rsid w:val="002813B0"/>
    <w:rsid w:val="00290460"/>
    <w:rsid w:val="00291F01"/>
    <w:rsid w:val="00293BE4"/>
    <w:rsid w:val="002A0EF6"/>
    <w:rsid w:val="002A3E22"/>
    <w:rsid w:val="002A4CCA"/>
    <w:rsid w:val="002A68B5"/>
    <w:rsid w:val="002B030B"/>
    <w:rsid w:val="002B09A2"/>
    <w:rsid w:val="002B1689"/>
    <w:rsid w:val="002B48F5"/>
    <w:rsid w:val="002B4B10"/>
    <w:rsid w:val="002C0CF9"/>
    <w:rsid w:val="002C2CDF"/>
    <w:rsid w:val="002C56BD"/>
    <w:rsid w:val="002C622E"/>
    <w:rsid w:val="002D4EB8"/>
    <w:rsid w:val="002D6DA3"/>
    <w:rsid w:val="002F3534"/>
    <w:rsid w:val="002F5424"/>
    <w:rsid w:val="00306095"/>
    <w:rsid w:val="00307FDD"/>
    <w:rsid w:val="00315230"/>
    <w:rsid w:val="003166C8"/>
    <w:rsid w:val="00316F05"/>
    <w:rsid w:val="00329642"/>
    <w:rsid w:val="003300A8"/>
    <w:rsid w:val="00330D15"/>
    <w:rsid w:val="00341984"/>
    <w:rsid w:val="0035445A"/>
    <w:rsid w:val="00354C15"/>
    <w:rsid w:val="003550DC"/>
    <w:rsid w:val="00360559"/>
    <w:rsid w:val="00361467"/>
    <w:rsid w:val="003617FA"/>
    <w:rsid w:val="00363A77"/>
    <w:rsid w:val="00363EC5"/>
    <w:rsid w:val="00365F2F"/>
    <w:rsid w:val="0039194F"/>
    <w:rsid w:val="00392D39"/>
    <w:rsid w:val="0039533A"/>
    <w:rsid w:val="003953C8"/>
    <w:rsid w:val="003A069C"/>
    <w:rsid w:val="003A2F60"/>
    <w:rsid w:val="003B43E3"/>
    <w:rsid w:val="003C4139"/>
    <w:rsid w:val="003D0F91"/>
    <w:rsid w:val="003D25FA"/>
    <w:rsid w:val="003D335F"/>
    <w:rsid w:val="003D6663"/>
    <w:rsid w:val="003E2F29"/>
    <w:rsid w:val="003F3922"/>
    <w:rsid w:val="00404B36"/>
    <w:rsid w:val="00405677"/>
    <w:rsid w:val="0040659C"/>
    <w:rsid w:val="0041210C"/>
    <w:rsid w:val="004159AD"/>
    <w:rsid w:val="004173F3"/>
    <w:rsid w:val="004202BA"/>
    <w:rsid w:val="00423136"/>
    <w:rsid w:val="004233C3"/>
    <w:rsid w:val="004242A3"/>
    <w:rsid w:val="00435E8F"/>
    <w:rsid w:val="00442409"/>
    <w:rsid w:val="00442F66"/>
    <w:rsid w:val="004621DF"/>
    <w:rsid w:val="00466D00"/>
    <w:rsid w:val="00471607"/>
    <w:rsid w:val="00473F1D"/>
    <w:rsid w:val="00481D9E"/>
    <w:rsid w:val="0048294A"/>
    <w:rsid w:val="00484D70"/>
    <w:rsid w:val="00485687"/>
    <w:rsid w:val="00487EF3"/>
    <w:rsid w:val="0049325F"/>
    <w:rsid w:val="00493CB7"/>
    <w:rsid w:val="004A33E4"/>
    <w:rsid w:val="004A4B97"/>
    <w:rsid w:val="004A669E"/>
    <w:rsid w:val="004A7C2E"/>
    <w:rsid w:val="004B2D72"/>
    <w:rsid w:val="004B3C8A"/>
    <w:rsid w:val="004C7380"/>
    <w:rsid w:val="004D040A"/>
    <w:rsid w:val="004D2264"/>
    <w:rsid w:val="004D4CF2"/>
    <w:rsid w:val="004D6DBF"/>
    <w:rsid w:val="004E0590"/>
    <w:rsid w:val="004E060F"/>
    <w:rsid w:val="004E5697"/>
    <w:rsid w:val="004F2ACF"/>
    <w:rsid w:val="005002A8"/>
    <w:rsid w:val="00501082"/>
    <w:rsid w:val="00507BF7"/>
    <w:rsid w:val="00511E41"/>
    <w:rsid w:val="005135B4"/>
    <w:rsid w:val="00516A0F"/>
    <w:rsid w:val="005217FC"/>
    <w:rsid w:val="005333B3"/>
    <w:rsid w:val="00534FF2"/>
    <w:rsid w:val="00536648"/>
    <w:rsid w:val="005430E2"/>
    <w:rsid w:val="005463E4"/>
    <w:rsid w:val="0055308F"/>
    <w:rsid w:val="00554B85"/>
    <w:rsid w:val="00554F3B"/>
    <w:rsid w:val="00555019"/>
    <w:rsid w:val="00571660"/>
    <w:rsid w:val="00571666"/>
    <w:rsid w:val="00574DE1"/>
    <w:rsid w:val="00580DFA"/>
    <w:rsid w:val="0058702A"/>
    <w:rsid w:val="0059178C"/>
    <w:rsid w:val="00595D74"/>
    <w:rsid w:val="00596375"/>
    <w:rsid w:val="005A3DFB"/>
    <w:rsid w:val="005A4C11"/>
    <w:rsid w:val="005A58A8"/>
    <w:rsid w:val="005B0DAB"/>
    <w:rsid w:val="005C1013"/>
    <w:rsid w:val="005D013E"/>
    <w:rsid w:val="005D1011"/>
    <w:rsid w:val="005D7A87"/>
    <w:rsid w:val="005E3535"/>
    <w:rsid w:val="005E4C60"/>
    <w:rsid w:val="005E5B27"/>
    <w:rsid w:val="005E5C82"/>
    <w:rsid w:val="005F2DD8"/>
    <w:rsid w:val="005F4333"/>
    <w:rsid w:val="00603C4D"/>
    <w:rsid w:val="00603CA0"/>
    <w:rsid w:val="00607C24"/>
    <w:rsid w:val="00616E24"/>
    <w:rsid w:val="00620208"/>
    <w:rsid w:val="00622645"/>
    <w:rsid w:val="006237EC"/>
    <w:rsid w:val="00630B70"/>
    <w:rsid w:val="00634EB6"/>
    <w:rsid w:val="00635070"/>
    <w:rsid w:val="006375F6"/>
    <w:rsid w:val="0064770F"/>
    <w:rsid w:val="00653DA3"/>
    <w:rsid w:val="00656E10"/>
    <w:rsid w:val="0066458A"/>
    <w:rsid w:val="006646C8"/>
    <w:rsid w:val="00666136"/>
    <w:rsid w:val="00666613"/>
    <w:rsid w:val="006667C0"/>
    <w:rsid w:val="0066789B"/>
    <w:rsid w:val="00680CCF"/>
    <w:rsid w:val="00681C2D"/>
    <w:rsid w:val="00691197"/>
    <w:rsid w:val="006925C9"/>
    <w:rsid w:val="006A0F24"/>
    <w:rsid w:val="006A3D35"/>
    <w:rsid w:val="006A451E"/>
    <w:rsid w:val="006A5EC7"/>
    <w:rsid w:val="006C0F45"/>
    <w:rsid w:val="006C32D4"/>
    <w:rsid w:val="006D4E62"/>
    <w:rsid w:val="006F339C"/>
    <w:rsid w:val="006F5210"/>
    <w:rsid w:val="006F57AE"/>
    <w:rsid w:val="00704602"/>
    <w:rsid w:val="0070548F"/>
    <w:rsid w:val="007072FB"/>
    <w:rsid w:val="00711AB6"/>
    <w:rsid w:val="00713DC9"/>
    <w:rsid w:val="00714801"/>
    <w:rsid w:val="007155C0"/>
    <w:rsid w:val="007256AB"/>
    <w:rsid w:val="007374CB"/>
    <w:rsid w:val="00741038"/>
    <w:rsid w:val="0074422E"/>
    <w:rsid w:val="00744A1B"/>
    <w:rsid w:val="00750959"/>
    <w:rsid w:val="00750D49"/>
    <w:rsid w:val="007511BE"/>
    <w:rsid w:val="007543D2"/>
    <w:rsid w:val="00755C81"/>
    <w:rsid w:val="007569B3"/>
    <w:rsid w:val="00761FD8"/>
    <w:rsid w:val="007638D7"/>
    <w:rsid w:val="00763B5B"/>
    <w:rsid w:val="00763C00"/>
    <w:rsid w:val="007665E9"/>
    <w:rsid w:val="0077043F"/>
    <w:rsid w:val="00771808"/>
    <w:rsid w:val="007732FB"/>
    <w:rsid w:val="00774BD3"/>
    <w:rsid w:val="00776BBC"/>
    <w:rsid w:val="00784ACC"/>
    <w:rsid w:val="00785F0D"/>
    <w:rsid w:val="00787E2D"/>
    <w:rsid w:val="00791578"/>
    <w:rsid w:val="00793595"/>
    <w:rsid w:val="007A0832"/>
    <w:rsid w:val="007B38A5"/>
    <w:rsid w:val="007B3EE1"/>
    <w:rsid w:val="007B4A34"/>
    <w:rsid w:val="007B5827"/>
    <w:rsid w:val="007C6735"/>
    <w:rsid w:val="007D2CAF"/>
    <w:rsid w:val="007D383D"/>
    <w:rsid w:val="007E0ECE"/>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7156F"/>
    <w:rsid w:val="008862AD"/>
    <w:rsid w:val="0089434C"/>
    <w:rsid w:val="00896E27"/>
    <w:rsid w:val="008A07BF"/>
    <w:rsid w:val="008A5685"/>
    <w:rsid w:val="008A6FE5"/>
    <w:rsid w:val="008B14B1"/>
    <w:rsid w:val="008B5D3D"/>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5265"/>
    <w:rsid w:val="00917F9D"/>
    <w:rsid w:val="00917FC7"/>
    <w:rsid w:val="00932810"/>
    <w:rsid w:val="00932C66"/>
    <w:rsid w:val="00936F13"/>
    <w:rsid w:val="00937BC3"/>
    <w:rsid w:val="00946156"/>
    <w:rsid w:val="009468E4"/>
    <w:rsid w:val="00947428"/>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C1350"/>
    <w:rsid w:val="009D11E3"/>
    <w:rsid w:val="009D638D"/>
    <w:rsid w:val="009E48AC"/>
    <w:rsid w:val="009E5DE8"/>
    <w:rsid w:val="009E6B8F"/>
    <w:rsid w:val="009F5663"/>
    <w:rsid w:val="009F7A16"/>
    <w:rsid w:val="00A02608"/>
    <w:rsid w:val="00A06A5F"/>
    <w:rsid w:val="00A20194"/>
    <w:rsid w:val="00A327E4"/>
    <w:rsid w:val="00A37BA6"/>
    <w:rsid w:val="00A37CC3"/>
    <w:rsid w:val="00A4251A"/>
    <w:rsid w:val="00A4297E"/>
    <w:rsid w:val="00A464FB"/>
    <w:rsid w:val="00A512A4"/>
    <w:rsid w:val="00A555FD"/>
    <w:rsid w:val="00A64182"/>
    <w:rsid w:val="00A669F1"/>
    <w:rsid w:val="00A70FE3"/>
    <w:rsid w:val="00A73C30"/>
    <w:rsid w:val="00A76105"/>
    <w:rsid w:val="00A7681B"/>
    <w:rsid w:val="00A9121F"/>
    <w:rsid w:val="00A91FF8"/>
    <w:rsid w:val="00A925C1"/>
    <w:rsid w:val="00A93A5E"/>
    <w:rsid w:val="00A94F83"/>
    <w:rsid w:val="00A954F1"/>
    <w:rsid w:val="00AA2C45"/>
    <w:rsid w:val="00AA46CF"/>
    <w:rsid w:val="00AA4D66"/>
    <w:rsid w:val="00AA53EA"/>
    <w:rsid w:val="00AB5330"/>
    <w:rsid w:val="00AC1A57"/>
    <w:rsid w:val="00AC1C82"/>
    <w:rsid w:val="00AC355B"/>
    <w:rsid w:val="00AD3989"/>
    <w:rsid w:val="00AD461E"/>
    <w:rsid w:val="00AD58F2"/>
    <w:rsid w:val="00AE180C"/>
    <w:rsid w:val="00AE40B7"/>
    <w:rsid w:val="00AF0882"/>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1B27"/>
    <w:rsid w:val="00B46222"/>
    <w:rsid w:val="00B621A2"/>
    <w:rsid w:val="00B6230A"/>
    <w:rsid w:val="00B81971"/>
    <w:rsid w:val="00B836AF"/>
    <w:rsid w:val="00B83F08"/>
    <w:rsid w:val="00B84176"/>
    <w:rsid w:val="00B956C4"/>
    <w:rsid w:val="00B9714D"/>
    <w:rsid w:val="00BA1BA6"/>
    <w:rsid w:val="00BA6910"/>
    <w:rsid w:val="00BA7399"/>
    <w:rsid w:val="00BB208C"/>
    <w:rsid w:val="00BB31FB"/>
    <w:rsid w:val="00BB5D8F"/>
    <w:rsid w:val="00BB7BB2"/>
    <w:rsid w:val="00BC0B4A"/>
    <w:rsid w:val="00BC66D0"/>
    <w:rsid w:val="00BD2885"/>
    <w:rsid w:val="00BD7402"/>
    <w:rsid w:val="00BE2178"/>
    <w:rsid w:val="00BF15DC"/>
    <w:rsid w:val="00BF4ECA"/>
    <w:rsid w:val="00BF65B8"/>
    <w:rsid w:val="00C003E1"/>
    <w:rsid w:val="00C20A80"/>
    <w:rsid w:val="00C20B11"/>
    <w:rsid w:val="00C24857"/>
    <w:rsid w:val="00C34091"/>
    <w:rsid w:val="00C35831"/>
    <w:rsid w:val="00C37E40"/>
    <w:rsid w:val="00C41BE1"/>
    <w:rsid w:val="00C4243B"/>
    <w:rsid w:val="00C44CBD"/>
    <w:rsid w:val="00C46D5F"/>
    <w:rsid w:val="00C47D72"/>
    <w:rsid w:val="00C545F9"/>
    <w:rsid w:val="00C57023"/>
    <w:rsid w:val="00C65880"/>
    <w:rsid w:val="00C67032"/>
    <w:rsid w:val="00C7397D"/>
    <w:rsid w:val="00C750B5"/>
    <w:rsid w:val="00C81340"/>
    <w:rsid w:val="00C87116"/>
    <w:rsid w:val="00C8776E"/>
    <w:rsid w:val="00C974A6"/>
    <w:rsid w:val="00CB0D38"/>
    <w:rsid w:val="00CB3E17"/>
    <w:rsid w:val="00CB70FF"/>
    <w:rsid w:val="00CC0D5A"/>
    <w:rsid w:val="00CC62B2"/>
    <w:rsid w:val="00CC66FF"/>
    <w:rsid w:val="00CC6C12"/>
    <w:rsid w:val="00CC756F"/>
    <w:rsid w:val="00CD6BD9"/>
    <w:rsid w:val="00CE5315"/>
    <w:rsid w:val="00CF66F0"/>
    <w:rsid w:val="00D00F0A"/>
    <w:rsid w:val="00D0526F"/>
    <w:rsid w:val="00D135F0"/>
    <w:rsid w:val="00D1782C"/>
    <w:rsid w:val="00D21283"/>
    <w:rsid w:val="00D21D82"/>
    <w:rsid w:val="00D2509D"/>
    <w:rsid w:val="00D32E50"/>
    <w:rsid w:val="00D456B8"/>
    <w:rsid w:val="00D54AED"/>
    <w:rsid w:val="00D73B50"/>
    <w:rsid w:val="00D73C51"/>
    <w:rsid w:val="00D744BC"/>
    <w:rsid w:val="00D77002"/>
    <w:rsid w:val="00D854CB"/>
    <w:rsid w:val="00D875E3"/>
    <w:rsid w:val="00D87AA2"/>
    <w:rsid w:val="00D9338D"/>
    <w:rsid w:val="00D93DB6"/>
    <w:rsid w:val="00D9488D"/>
    <w:rsid w:val="00DA1886"/>
    <w:rsid w:val="00DA5879"/>
    <w:rsid w:val="00DA6385"/>
    <w:rsid w:val="00DB4613"/>
    <w:rsid w:val="00DB5DFB"/>
    <w:rsid w:val="00DC0192"/>
    <w:rsid w:val="00DC10F4"/>
    <w:rsid w:val="00DD1603"/>
    <w:rsid w:val="00DD1E7A"/>
    <w:rsid w:val="00DD5744"/>
    <w:rsid w:val="00DD62EE"/>
    <w:rsid w:val="00DE73A8"/>
    <w:rsid w:val="00DF32C4"/>
    <w:rsid w:val="00DF544F"/>
    <w:rsid w:val="00E00E93"/>
    <w:rsid w:val="00E01297"/>
    <w:rsid w:val="00E03D02"/>
    <w:rsid w:val="00E06DAC"/>
    <w:rsid w:val="00E11954"/>
    <w:rsid w:val="00E121B1"/>
    <w:rsid w:val="00E13048"/>
    <w:rsid w:val="00E25398"/>
    <w:rsid w:val="00E3387C"/>
    <w:rsid w:val="00E429C8"/>
    <w:rsid w:val="00E43496"/>
    <w:rsid w:val="00E436CF"/>
    <w:rsid w:val="00E43720"/>
    <w:rsid w:val="00E466AE"/>
    <w:rsid w:val="00E47D6B"/>
    <w:rsid w:val="00E50CBD"/>
    <w:rsid w:val="00E520CA"/>
    <w:rsid w:val="00E555C3"/>
    <w:rsid w:val="00E609E5"/>
    <w:rsid w:val="00E71797"/>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4074"/>
    <w:rsid w:val="00F47B52"/>
    <w:rsid w:val="00F50C21"/>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46CC"/>
    <w:rsid w:val="00FB640A"/>
    <w:rsid w:val="00FB7A44"/>
    <w:rsid w:val="00FC0234"/>
    <w:rsid w:val="00FC4C0A"/>
    <w:rsid w:val="00FD097A"/>
    <w:rsid w:val="00FD5A0C"/>
    <w:rsid w:val="00FF111F"/>
    <w:rsid w:val="00FF543C"/>
    <w:rsid w:val="00FF7398"/>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5C1431DB-66D7-482C-B104-E523A0CE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docs/fy2022/2022-06/item4.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bese/councils/sda/2022-0601notes.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councils/sda/2022-0302no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7F9EAD-B339-4C4B-B132-4BBBD668A22C}">
  <ds:schemaRefs>
    <ds:schemaRef ds:uri="http://schemas.openxmlformats.org/officeDocument/2006/bibliography"/>
  </ds:schemaRefs>
</ds:datastoreItem>
</file>

<file path=customXml/itemProps3.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4.xml><?xml version="1.0" encoding="utf-8"?>
<ds:datastoreItem xmlns:ds="http://schemas.openxmlformats.org/officeDocument/2006/customXml" ds:itemID="{77041909-CA48-476D-A145-EE1113D7F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BESE August 2022 Special Meeting Item 3: 3.	District and School Accountability System for 2022: Changes to Align with Regulatory Amendments</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Special Meeting Item 3: District and School Accountability System for 2022: Changes to Align with Regulatory Amendments</dc:title>
  <dc:subject/>
  <dc:creator>DESE</dc:creator>
  <cp:keywords/>
  <cp:lastModifiedBy>Zou, Dong (EOE)</cp:lastModifiedBy>
  <cp:revision>7</cp:revision>
  <cp:lastPrinted>2008-03-05T18:17:00Z</cp:lastPrinted>
  <dcterms:created xsi:type="dcterms:W3CDTF">2022-08-09T16:25:00Z</dcterms:created>
  <dcterms:modified xsi:type="dcterms:W3CDTF">2022-08-09T21:12:00Z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