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EEFF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 w:rsidTr="2E5A4DB8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25DC879" w14:textId="512D6BC7" w:rsidR="2E5A4DB8" w:rsidRDefault="2E5A4DB8"/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7DAD6869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7DAD6869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369DE24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7DAD6869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D290193" w:rsidR="000E5E95" w:rsidRDefault="1DE12C1A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October</w:t>
            </w:r>
            <w:r w:rsidR="394145CA">
              <w:t xml:space="preserve"> </w:t>
            </w:r>
            <w:r w:rsidR="001D4950">
              <w:t>18</w:t>
            </w:r>
            <w:r w:rsidR="394145CA">
              <w:t>, 2022</w:t>
            </w:r>
            <w:r>
              <w:t xml:space="preserve"> </w:t>
            </w:r>
          </w:p>
        </w:tc>
      </w:tr>
      <w:tr w:rsidR="000E5E95" w14:paraId="5D0D4861" w14:textId="77777777" w:rsidTr="7DAD6869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21E971B6" w:rsidR="000E5E95" w:rsidRPr="007A22FF" w:rsidRDefault="0004067C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44E21007">
              <w:rPr>
                <w:snapToGrid w:val="0"/>
              </w:rPr>
              <w:t>Proposed Amendment</w:t>
            </w:r>
            <w:r w:rsidR="4E92081F" w:rsidRPr="44E21007">
              <w:rPr>
                <w:snapToGrid w:val="0"/>
              </w:rPr>
              <w:t>s</w:t>
            </w:r>
            <w:r w:rsidRPr="44E21007">
              <w:rPr>
                <w:snapToGrid w:val="0"/>
              </w:rPr>
              <w:t xml:space="preserve">: </w:t>
            </w:r>
            <w:r w:rsidR="007A4459">
              <w:rPr>
                <w:snapToGrid w:val="0"/>
              </w:rPr>
              <w:t>Educator Licensure and Preparation Program Approval Regulations, 603 CMR 7.00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2594A036" w14:textId="1AF5A4ED" w:rsidR="00DA5A00" w:rsidRDefault="00383355" w:rsidP="006A7692">
      <w:pPr>
        <w:widowControl/>
        <w:autoSpaceDE w:val="0"/>
        <w:autoSpaceDN w:val="0"/>
        <w:adjustRightInd w:val="0"/>
        <w:rPr>
          <w:color w:val="000000"/>
        </w:rPr>
      </w:pPr>
      <w:r w:rsidRPr="62193156">
        <w:rPr>
          <w:color w:val="000000" w:themeColor="text1"/>
        </w:rPr>
        <w:t>I am presenting to the Board of Elementary and Secondary Education (Board) this month proposed amendment</w:t>
      </w:r>
      <w:r w:rsidR="00DA5A00" w:rsidRPr="62193156">
        <w:rPr>
          <w:color w:val="000000" w:themeColor="text1"/>
        </w:rPr>
        <w:t>s</w:t>
      </w:r>
      <w:r w:rsidRPr="62193156">
        <w:rPr>
          <w:color w:val="000000" w:themeColor="text1"/>
        </w:rPr>
        <w:t xml:space="preserve"> to 603 CMR 7.00, the Regulations for Educator Licensure and Preparation Program Approval, for a vote to solicit public comment</w:t>
      </w:r>
      <w:r w:rsidR="6926B4F9" w:rsidRPr="62193156">
        <w:rPr>
          <w:color w:val="000000" w:themeColor="text1"/>
        </w:rPr>
        <w:t xml:space="preserve"> and then a final vote by the Board in </w:t>
      </w:r>
      <w:r w:rsidR="003841BC" w:rsidRPr="62193156">
        <w:rPr>
          <w:color w:val="000000" w:themeColor="text1"/>
        </w:rPr>
        <w:t xml:space="preserve">February </w:t>
      </w:r>
      <w:r w:rsidR="6926B4F9" w:rsidRPr="62193156">
        <w:rPr>
          <w:color w:val="000000" w:themeColor="text1"/>
        </w:rPr>
        <w:t>2023 following the public comment period</w:t>
      </w:r>
      <w:r w:rsidRPr="62193156">
        <w:rPr>
          <w:color w:val="000000" w:themeColor="text1"/>
        </w:rPr>
        <w:t xml:space="preserve">. </w:t>
      </w:r>
    </w:p>
    <w:p w14:paraId="23BCE774" w14:textId="77777777" w:rsidR="00DA5A00" w:rsidRDefault="00DA5A00" w:rsidP="006A7692">
      <w:pPr>
        <w:widowControl/>
        <w:autoSpaceDE w:val="0"/>
        <w:autoSpaceDN w:val="0"/>
        <w:adjustRightInd w:val="0"/>
        <w:rPr>
          <w:color w:val="000000"/>
        </w:rPr>
      </w:pPr>
    </w:p>
    <w:p w14:paraId="71B8FF08" w14:textId="68545CDA" w:rsidR="007B6284" w:rsidRDefault="53E36ABC" w:rsidP="5A85546D">
      <w:pPr>
        <w:widowControl/>
        <w:autoSpaceDE w:val="0"/>
        <w:autoSpaceDN w:val="0"/>
        <w:adjustRightInd w:val="0"/>
        <w:rPr>
          <w:color w:val="000000" w:themeColor="text1"/>
        </w:rPr>
      </w:pPr>
      <w:r w:rsidRPr="5A85546D">
        <w:rPr>
          <w:color w:val="000000" w:themeColor="text1"/>
        </w:rPr>
        <w:t xml:space="preserve">The proposed amendments </w:t>
      </w:r>
      <w:r w:rsidR="00E94A4F">
        <w:rPr>
          <w:color w:val="000000" w:themeColor="text1"/>
        </w:rPr>
        <w:t>will</w:t>
      </w:r>
      <w:r w:rsidRPr="5A85546D">
        <w:rPr>
          <w:color w:val="000000" w:themeColor="text1"/>
        </w:rPr>
        <w:t>:</w:t>
      </w:r>
    </w:p>
    <w:p w14:paraId="1E85B57C" w14:textId="4F4EE0A1" w:rsidR="007B6284" w:rsidRDefault="5AB916A3" w:rsidP="00AD52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t>E</w:t>
      </w:r>
      <w:r w:rsidR="28AAF8C8">
        <w:t xml:space="preserve">xtend the </w:t>
      </w:r>
      <w:r w:rsidR="1EC7B3EE">
        <w:t>P</w:t>
      </w:r>
      <w:r w:rsidR="28AAF8C8">
        <w:t>ilot</w:t>
      </w:r>
      <w:r w:rsidR="14C183C7">
        <w:t xml:space="preserve"> of Alternative Assessments</w:t>
      </w:r>
      <w:r w:rsidR="28AAF8C8">
        <w:t xml:space="preserve"> by one year through June 30, 2025 and</w:t>
      </w:r>
      <w:r w:rsidR="7D2911E9">
        <w:t xml:space="preserve"> </w:t>
      </w:r>
      <w:r w:rsidR="2B42045D">
        <w:t>updat</w:t>
      </w:r>
      <w:r w:rsidR="00995DC6">
        <w:t>e</w:t>
      </w:r>
      <w:r w:rsidR="2B42045D">
        <w:t xml:space="preserve"> </w:t>
      </w:r>
      <w:r w:rsidR="7D2911E9">
        <w:t>language regarding the pilot period</w:t>
      </w:r>
      <w:r w:rsidR="16DD719C">
        <w:t>;</w:t>
      </w:r>
      <w:r w:rsidR="7D2911E9">
        <w:t xml:space="preserve"> </w:t>
      </w:r>
    </w:p>
    <w:p w14:paraId="58C8BE4B" w14:textId="200C5FA6" w:rsidR="61CB5173" w:rsidRDefault="61CB5173" w:rsidP="00AD5212">
      <w:pPr>
        <w:pStyle w:val="ListParagraph"/>
        <w:numPr>
          <w:ilvl w:val="0"/>
          <w:numId w:val="1"/>
        </w:numPr>
      </w:pPr>
      <w:r w:rsidRPr="5A85546D">
        <w:rPr>
          <w:rFonts w:eastAsia="Calibri"/>
        </w:rPr>
        <w:t xml:space="preserve">Add a </w:t>
      </w:r>
      <w:r w:rsidR="618B6D6A" w:rsidRPr="5A85546D">
        <w:rPr>
          <w:rFonts w:eastAsia="Calibri"/>
        </w:rPr>
        <w:t xml:space="preserve">new </w:t>
      </w:r>
      <w:r w:rsidR="7B452209" w:rsidRPr="5A85546D">
        <w:rPr>
          <w:rFonts w:eastAsia="Calibri"/>
        </w:rPr>
        <w:t>Provisional license option for Principal</w:t>
      </w:r>
      <w:r w:rsidR="0BD2768D" w:rsidRPr="5A85546D">
        <w:rPr>
          <w:rFonts w:eastAsia="Calibri"/>
        </w:rPr>
        <w:t>s</w:t>
      </w:r>
      <w:r w:rsidR="7B452209" w:rsidRPr="5A85546D">
        <w:rPr>
          <w:rFonts w:eastAsia="Calibri"/>
        </w:rPr>
        <w:t>/Assistant Principal</w:t>
      </w:r>
      <w:r w:rsidR="644EB376" w:rsidRPr="5A85546D">
        <w:rPr>
          <w:rFonts w:eastAsia="Calibri"/>
        </w:rPr>
        <w:t>s;</w:t>
      </w:r>
    </w:p>
    <w:p w14:paraId="638FC050" w14:textId="15BE3102" w:rsidR="1A09A041" w:rsidRDefault="1A09A041" w:rsidP="00AD5212">
      <w:pPr>
        <w:pStyle w:val="ListParagraph"/>
        <w:numPr>
          <w:ilvl w:val="0"/>
          <w:numId w:val="1"/>
        </w:numPr>
      </w:pPr>
      <w:r w:rsidRPr="5A85546D">
        <w:rPr>
          <w:rFonts w:eastAsia="Calibri"/>
        </w:rPr>
        <w:t>Add</w:t>
      </w:r>
      <w:r w:rsidR="1672B176" w:rsidRPr="5A85546D">
        <w:rPr>
          <w:rFonts w:eastAsia="Calibri"/>
        </w:rPr>
        <w:t xml:space="preserve"> a new </w:t>
      </w:r>
      <w:r w:rsidR="135D9ABE" w:rsidRPr="5A85546D">
        <w:rPr>
          <w:rFonts w:eastAsia="Calibri"/>
        </w:rPr>
        <w:t>Military Spouse license</w:t>
      </w:r>
      <w:r w:rsidR="4802D956" w:rsidRPr="5A85546D">
        <w:rPr>
          <w:rFonts w:eastAsia="Calibri"/>
        </w:rPr>
        <w:t xml:space="preserve">; </w:t>
      </w:r>
    </w:p>
    <w:p w14:paraId="6F1DB163" w14:textId="77777777" w:rsidR="00AD5212" w:rsidRPr="00AD5212" w:rsidRDefault="015A0EDA" w:rsidP="00AD5212">
      <w:pPr>
        <w:pStyle w:val="ListParagraph"/>
        <w:numPr>
          <w:ilvl w:val="0"/>
          <w:numId w:val="1"/>
        </w:numPr>
      </w:pPr>
      <w:r w:rsidRPr="00AD5212">
        <w:rPr>
          <w:rFonts w:eastAsia="Calibri"/>
          <w:color w:val="000000" w:themeColor="text1"/>
        </w:rPr>
        <w:t>Creat</w:t>
      </w:r>
      <w:r w:rsidR="00995DC6" w:rsidRPr="00AD5212">
        <w:rPr>
          <w:rFonts w:eastAsia="Calibri"/>
          <w:color w:val="000000" w:themeColor="text1"/>
        </w:rPr>
        <w:t>e</w:t>
      </w:r>
      <w:r w:rsidRPr="00AD5212">
        <w:rPr>
          <w:rFonts w:eastAsia="Calibri"/>
          <w:color w:val="000000" w:themeColor="text1"/>
        </w:rPr>
        <w:t xml:space="preserve"> a n</w:t>
      </w:r>
      <w:r w:rsidR="4802D956" w:rsidRPr="00AD5212">
        <w:rPr>
          <w:rFonts w:eastAsia="Calibri"/>
          <w:color w:val="000000" w:themeColor="text1"/>
        </w:rPr>
        <w:t>ew out-of-state option for candidates to meet the Sheltered English Immersion endorsement requirement</w:t>
      </w:r>
      <w:r w:rsidR="008D4E42" w:rsidRPr="00AD5212">
        <w:rPr>
          <w:rFonts w:eastAsia="Calibri"/>
          <w:color w:val="000000" w:themeColor="text1"/>
        </w:rPr>
        <w:t>;</w:t>
      </w:r>
      <w:r w:rsidR="4802D956" w:rsidRPr="00AD5212">
        <w:rPr>
          <w:rFonts w:eastAsia="Calibri"/>
          <w:color w:val="000000" w:themeColor="text1"/>
        </w:rPr>
        <w:t xml:space="preserve"> and</w:t>
      </w:r>
    </w:p>
    <w:p w14:paraId="77FD8BCF" w14:textId="0E15A42C" w:rsidR="44E21007" w:rsidRDefault="00995DC6" w:rsidP="00AD5212">
      <w:pPr>
        <w:pStyle w:val="ListParagraph"/>
        <w:numPr>
          <w:ilvl w:val="0"/>
          <w:numId w:val="1"/>
        </w:numPr>
      </w:pPr>
      <w:r w:rsidRPr="695E6BA1">
        <w:rPr>
          <w:rFonts w:eastAsia="Calibri"/>
          <w:color w:val="000000" w:themeColor="text1"/>
        </w:rPr>
        <w:t xml:space="preserve">Streamline and </w:t>
      </w:r>
      <w:r w:rsidR="008218C2" w:rsidRPr="695E6BA1">
        <w:rPr>
          <w:rFonts w:eastAsia="Calibri"/>
          <w:color w:val="000000" w:themeColor="text1"/>
        </w:rPr>
        <w:t>update other references within the regulations.</w:t>
      </w:r>
    </w:p>
    <w:p w14:paraId="065D1737" w14:textId="4585CB95" w:rsidR="007B6284" w:rsidRDefault="007B6284" w:rsidP="7D1A7B5A">
      <w:pPr>
        <w:widowControl/>
        <w:autoSpaceDE w:val="0"/>
        <w:autoSpaceDN w:val="0"/>
        <w:adjustRightInd w:val="0"/>
        <w:rPr>
          <w:szCs w:val="24"/>
        </w:rPr>
      </w:pPr>
    </w:p>
    <w:p w14:paraId="53B4BB97" w14:textId="0E9F5491" w:rsidR="00DA5A00" w:rsidRDefault="0A5044BB" w:rsidP="5A85546D">
      <w:pPr>
        <w:widowControl/>
        <w:spacing w:after="240"/>
        <w:outlineLvl w:val="1"/>
        <w:rPr>
          <w:b/>
          <w:bCs/>
        </w:rPr>
      </w:pPr>
      <w:r w:rsidRPr="5A85546D">
        <w:rPr>
          <w:b/>
          <w:bCs/>
        </w:rPr>
        <w:t xml:space="preserve">Proposed Amendment to </w:t>
      </w:r>
      <w:r w:rsidR="0010679E">
        <w:rPr>
          <w:b/>
          <w:bCs/>
        </w:rPr>
        <w:t xml:space="preserve">Extend the </w:t>
      </w:r>
      <w:r w:rsidRPr="5A85546D">
        <w:rPr>
          <w:b/>
          <w:bCs/>
        </w:rPr>
        <w:t xml:space="preserve">Pilot </w:t>
      </w:r>
      <w:r w:rsidR="00157073">
        <w:rPr>
          <w:b/>
          <w:bCs/>
        </w:rPr>
        <w:t xml:space="preserve">of </w:t>
      </w:r>
      <w:r w:rsidRPr="5A85546D">
        <w:rPr>
          <w:b/>
          <w:bCs/>
        </w:rPr>
        <w:t>Alternative Assessments</w:t>
      </w:r>
      <w:r w:rsidR="7807164A" w:rsidRPr="5A85546D">
        <w:rPr>
          <w:b/>
          <w:bCs/>
        </w:rPr>
        <w:t xml:space="preserve"> for Educator Licensure</w:t>
      </w:r>
      <w:r w:rsidR="00B05BD8">
        <w:rPr>
          <w:b/>
          <w:bCs/>
        </w:rPr>
        <w:t xml:space="preserve"> and Update Language Regarding</w:t>
      </w:r>
      <w:r w:rsidR="002822AC">
        <w:rPr>
          <w:b/>
          <w:bCs/>
        </w:rPr>
        <w:t xml:space="preserve"> the Pilot Period</w:t>
      </w:r>
    </w:p>
    <w:p w14:paraId="2A8E85CD" w14:textId="358B4DB3" w:rsidR="005E2373" w:rsidRDefault="4D6D6CCB" w:rsidP="5A85546D">
      <w:pPr>
        <w:widowControl/>
        <w:autoSpaceDE w:val="0"/>
        <w:autoSpaceDN w:val="0"/>
        <w:adjustRightInd w:val="0"/>
        <w:spacing w:before="120"/>
      </w:pPr>
      <w:r>
        <w:t xml:space="preserve">As of October 2022, the Department </w:t>
      </w:r>
      <w:r w:rsidR="0077790A">
        <w:t xml:space="preserve">of Elementary </w:t>
      </w:r>
      <w:r w:rsidR="003F3A30">
        <w:t>and</w:t>
      </w:r>
      <w:r w:rsidR="0077790A">
        <w:t xml:space="preserve"> Secondary Education (Department) </w:t>
      </w:r>
      <w:r>
        <w:t xml:space="preserve">has approved </w:t>
      </w:r>
      <w:r w:rsidR="003F3A30">
        <w:t xml:space="preserve">21 alternative assessments for licensure </w:t>
      </w:r>
      <w:r>
        <w:t xml:space="preserve">and begun implementation </w:t>
      </w:r>
      <w:r w:rsidR="009F6317">
        <w:t>for most of these</w:t>
      </w:r>
      <w:r>
        <w:t>. More information about the regulatory pilot is</w:t>
      </w:r>
      <w:r w:rsidR="495F82EA">
        <w:t xml:space="preserve"> in the </w:t>
      </w:r>
      <w:r w:rsidR="237EA4EC">
        <w:t xml:space="preserve">2022 </w:t>
      </w:r>
      <w:r w:rsidR="495F82EA">
        <w:t xml:space="preserve">annual report </w:t>
      </w:r>
      <w:r w:rsidR="00412D42">
        <w:t xml:space="preserve">that is also </w:t>
      </w:r>
      <w:r w:rsidR="00781F46">
        <w:t xml:space="preserve">being presented to the Board this month; the </w:t>
      </w:r>
      <w:r w:rsidR="001455F2">
        <w:t xml:space="preserve">initial report </w:t>
      </w:r>
      <w:r w:rsidR="495F82EA">
        <w:t xml:space="preserve">was </w:t>
      </w:r>
      <w:r w:rsidR="74312F0B">
        <w:t>pro</w:t>
      </w:r>
      <w:r w:rsidR="5D176069">
        <w:t xml:space="preserve">vided to </w:t>
      </w:r>
      <w:r w:rsidR="495F82EA">
        <w:t>the Board in</w:t>
      </w:r>
      <w:r w:rsidR="5D176069">
        <w:t xml:space="preserve"> an</w:t>
      </w:r>
      <w:r w:rsidR="495F82EA">
        <w:t xml:space="preserve"> </w:t>
      </w:r>
      <w:hyperlink r:id="rId13">
        <w:r w:rsidR="5D176069" w:rsidRPr="7B7C0667">
          <w:rPr>
            <w:rStyle w:val="Hyperlink"/>
          </w:rPr>
          <w:t>October 2021 Memo to the Board</w:t>
        </w:r>
      </w:hyperlink>
      <w:r w:rsidR="495F82EA">
        <w:t>.</w:t>
      </w:r>
      <w:r w:rsidR="63F541D9">
        <w:t xml:space="preserve"> </w:t>
      </w:r>
    </w:p>
    <w:p w14:paraId="2B7CBFFA" w14:textId="2754A10D" w:rsidR="00D209A3" w:rsidRDefault="3B34FFE8" w:rsidP="5A85546D">
      <w:pPr>
        <w:widowControl/>
        <w:autoSpaceDE w:val="0"/>
        <w:autoSpaceDN w:val="0"/>
        <w:adjustRightInd w:val="0"/>
        <w:spacing w:before="120"/>
      </w:pPr>
      <w:r>
        <w:t xml:space="preserve">We continue to see </w:t>
      </w:r>
      <w:r w:rsidR="20BA1256">
        <w:t>interest in</w:t>
      </w:r>
      <w:r>
        <w:t xml:space="preserve"> the opportunities</w:t>
      </w:r>
      <w:r w:rsidR="00E308EC">
        <w:t xml:space="preserve"> for licensure candidates</w:t>
      </w:r>
      <w:r>
        <w:t xml:space="preserve"> to demonstrate content knowledge and communication and literacy skills via alternative assessments</w:t>
      </w:r>
      <w:r w:rsidR="00F2291F">
        <w:t xml:space="preserve">, </w:t>
      </w:r>
      <w:r w:rsidR="00231705">
        <w:t xml:space="preserve">while noting that </w:t>
      </w:r>
      <w:r w:rsidR="63F541D9">
        <w:t xml:space="preserve">implementation of the pilot </w:t>
      </w:r>
      <w:r w:rsidR="00E03398">
        <w:t xml:space="preserve">has been affected by </w:t>
      </w:r>
      <w:r w:rsidR="63F541D9">
        <w:t>the pandemic</w:t>
      </w:r>
      <w:r w:rsidR="00E03398">
        <w:t xml:space="preserve"> in several </w:t>
      </w:r>
      <w:r w:rsidR="00C74991">
        <w:t>ways</w:t>
      </w:r>
      <w:r w:rsidR="7BE75E86">
        <w:t>. The</w:t>
      </w:r>
      <w:r w:rsidR="61C2A35C">
        <w:t>se</w:t>
      </w:r>
      <w:r w:rsidR="7BE75E86">
        <w:t xml:space="preserve"> include the extension of emergency licenses</w:t>
      </w:r>
      <w:r w:rsidR="111CAB7D">
        <w:t>, allowing</w:t>
      </w:r>
      <w:r w:rsidR="7BE75E86">
        <w:t xml:space="preserve"> candidates</w:t>
      </w:r>
      <w:r w:rsidR="111CAB7D">
        <w:t xml:space="preserve"> additional time to</w:t>
      </w:r>
      <w:r w:rsidR="67A99A1A">
        <w:t xml:space="preserve"> access and</w:t>
      </w:r>
      <w:r w:rsidR="7264CC2A">
        <w:t xml:space="preserve"> complete licensure tests</w:t>
      </w:r>
      <w:r w:rsidR="4F6CCF2E">
        <w:t>;</w:t>
      </w:r>
      <w:r w:rsidR="67A99A1A">
        <w:t xml:space="preserve"> </w:t>
      </w:r>
      <w:r w:rsidR="652CD6C8">
        <w:t>strained</w:t>
      </w:r>
      <w:r w:rsidR="7BE75E86">
        <w:t xml:space="preserve"> capacity at educator preparation organizations </w:t>
      </w:r>
      <w:r w:rsidR="002254B6">
        <w:t xml:space="preserve">that may </w:t>
      </w:r>
      <w:r w:rsidR="001B07EC">
        <w:t xml:space="preserve">limit </w:t>
      </w:r>
      <w:r w:rsidR="002254B6">
        <w:t xml:space="preserve">them from </w:t>
      </w:r>
      <w:r w:rsidR="7BE75E86">
        <w:t>apply</w:t>
      </w:r>
      <w:r w:rsidR="002254B6">
        <w:t>ing</w:t>
      </w:r>
      <w:r w:rsidR="7BE75E86">
        <w:t xml:space="preserve"> to offer the educator preparation attestation alternative assessments</w:t>
      </w:r>
      <w:r w:rsidR="73169DD3">
        <w:t xml:space="preserve">; </w:t>
      </w:r>
      <w:r w:rsidR="5FD6D4D3">
        <w:t xml:space="preserve">and the impact of </w:t>
      </w:r>
      <w:r w:rsidR="5FD6D4D3">
        <w:lastRenderedPageBreak/>
        <w:t xml:space="preserve">the pandemic on the student achievement data being </w:t>
      </w:r>
      <w:r w:rsidR="00875E69">
        <w:t>used in</w:t>
      </w:r>
      <w:r w:rsidR="5FD6D4D3">
        <w:t xml:space="preserve"> the evaluation of this regulatory pilot.</w:t>
      </w:r>
      <w:r w:rsidR="4F99C240">
        <w:t xml:space="preserve"> </w:t>
      </w:r>
      <w:r w:rsidR="009539C3">
        <w:t>T</w:t>
      </w:r>
      <w:r w:rsidR="3EDB6893">
        <w:t xml:space="preserve">he </w:t>
      </w:r>
      <w:r w:rsidR="7E753708">
        <w:t xml:space="preserve">proposed extension </w:t>
      </w:r>
      <w:r w:rsidR="00D01EAA">
        <w:t xml:space="preserve">of </w:t>
      </w:r>
      <w:r w:rsidR="7E753708">
        <w:t xml:space="preserve">the regulatory pilot </w:t>
      </w:r>
      <w:r w:rsidR="00231705">
        <w:t xml:space="preserve">through June 2025 </w:t>
      </w:r>
      <w:r w:rsidR="4C155C14">
        <w:t>would</w:t>
      </w:r>
      <w:r w:rsidR="7E753708">
        <w:t xml:space="preserve"> allow for an additional year of data collection (see table below), as well as </w:t>
      </w:r>
      <w:r w:rsidR="00CE1432">
        <w:t>the</w:t>
      </w:r>
      <w:r w:rsidR="00C0045D">
        <w:t xml:space="preserve"> ability to add</w:t>
      </w:r>
      <w:r w:rsidR="00CE1432">
        <w:t xml:space="preserve"> </w:t>
      </w:r>
      <w:r w:rsidR="7E753708">
        <w:t>retention data for the educators who took alternative assessments. </w:t>
      </w:r>
    </w:p>
    <w:p w14:paraId="301D5047" w14:textId="77777777" w:rsidR="00D209A3" w:rsidRDefault="00D209A3" w:rsidP="006A7692">
      <w:pPr>
        <w:widowControl/>
        <w:autoSpaceDE w:val="0"/>
        <w:autoSpaceDN w:val="0"/>
        <w:adjustRightInd w:val="0"/>
        <w:rPr>
          <w:szCs w:val="24"/>
        </w:rPr>
      </w:pPr>
    </w:p>
    <w:p w14:paraId="75902E44" w14:textId="77777777" w:rsidR="006850BB" w:rsidRPr="006850BB" w:rsidRDefault="006850BB" w:rsidP="006850BB">
      <w:pPr>
        <w:widowControl/>
        <w:textAlignment w:val="baseline"/>
        <w:rPr>
          <w:snapToGrid/>
          <w:sz w:val="18"/>
          <w:szCs w:val="18"/>
        </w:rPr>
      </w:pPr>
      <w:r w:rsidRPr="006850BB">
        <w:rPr>
          <w:b/>
          <w:bCs/>
          <w:snapToGrid/>
          <w:sz w:val="22"/>
          <w:szCs w:val="22"/>
        </w:rPr>
        <w:t>Scheduled and Anticipated Data Collection</w:t>
      </w:r>
      <w:r w:rsidRPr="006850BB">
        <w:rPr>
          <w:snapToGrid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545"/>
        <w:gridCol w:w="2545"/>
        <w:gridCol w:w="2545"/>
      </w:tblGrid>
      <w:tr w:rsidR="006850BB" w:rsidRPr="006850BB" w14:paraId="18E6AA6A" w14:textId="77777777" w:rsidTr="5A85546D">
        <w:tc>
          <w:tcPr>
            <w:tcW w:w="1950" w:type="dxa"/>
            <w:tcBorders>
              <w:top w:val="single" w:sz="6" w:space="0" w:color="auto"/>
              <w:left w:val="single" w:sz="6" w:space="0" w:color="003462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4BE03D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b/>
                <w:bCs/>
                <w:snapToGrid/>
                <w:sz w:val="20"/>
              </w:rPr>
              <w:t>Academic Year</w:t>
            </w:r>
            <w:r w:rsidRPr="006850BB">
              <w:rPr>
                <w:snapToGrid/>
                <w:sz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E64F9C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b/>
                <w:bCs/>
                <w:snapToGrid/>
                <w:sz w:val="20"/>
              </w:rPr>
              <w:t>Cohort 1</w:t>
            </w:r>
            <w:r w:rsidRPr="006850BB">
              <w:rPr>
                <w:snapToGrid/>
                <w:sz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891081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b/>
                <w:bCs/>
                <w:snapToGrid/>
                <w:sz w:val="20"/>
              </w:rPr>
              <w:t>Cohort 2</w:t>
            </w:r>
            <w:r w:rsidRPr="006850BB">
              <w:rPr>
                <w:snapToGrid/>
                <w:sz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AF005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b/>
                <w:bCs/>
                <w:snapToGrid/>
                <w:sz w:val="20"/>
              </w:rPr>
              <w:t>Cohort 3</w:t>
            </w:r>
            <w:r w:rsidRPr="006850BB">
              <w:rPr>
                <w:snapToGrid/>
                <w:sz w:val="20"/>
              </w:rPr>
              <w:t> </w:t>
            </w:r>
          </w:p>
        </w:tc>
      </w:tr>
      <w:tr w:rsidR="006850BB" w:rsidRPr="006850BB" w14:paraId="1490E342" w14:textId="77777777" w:rsidTr="5A85546D">
        <w:trPr>
          <w:trHeight w:val="1080"/>
        </w:trPr>
        <w:tc>
          <w:tcPr>
            <w:tcW w:w="195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642459A1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2021–2022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618F6D5F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i/>
                <w:iCs/>
                <w:snapToGrid/>
                <w:sz w:val="20"/>
              </w:rPr>
              <w:t>In Pilot</w:t>
            </w:r>
            <w:r w:rsidRPr="006850BB">
              <w:rPr>
                <w:snapToGrid/>
                <w:sz w:val="20"/>
              </w:rPr>
              <w:t> </w:t>
            </w:r>
          </w:p>
          <w:p w14:paraId="5663C754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Surveys  </w:t>
            </w:r>
          </w:p>
          <w:p w14:paraId="4CE2B7FB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Completion Outcomes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E7E6E6"/>
            <w:vAlign w:val="center"/>
            <w:hideMark/>
          </w:tcPr>
          <w:p w14:paraId="30B9098D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E7E6E6"/>
            <w:vAlign w:val="center"/>
            <w:hideMark/>
          </w:tcPr>
          <w:p w14:paraId="45B0393E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 </w:t>
            </w:r>
          </w:p>
        </w:tc>
      </w:tr>
      <w:tr w:rsidR="006850BB" w:rsidRPr="006850BB" w14:paraId="4482F9E9" w14:textId="77777777" w:rsidTr="5A85546D">
        <w:trPr>
          <w:trHeight w:val="1425"/>
        </w:trPr>
        <w:tc>
          <w:tcPr>
            <w:tcW w:w="195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156B0564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2022–2023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45BA7976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Employment Outcomes </w:t>
            </w:r>
          </w:p>
          <w:p w14:paraId="1DD27D2F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Evaluation Ratings </w:t>
            </w:r>
          </w:p>
          <w:p w14:paraId="2F193B55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Student Outcomes </w:t>
            </w:r>
          </w:p>
          <w:p w14:paraId="7605FBC0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Structured Interviews 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5E97E6B7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i/>
                <w:iCs/>
                <w:snapToGrid/>
                <w:sz w:val="20"/>
              </w:rPr>
              <w:t>In Pilot</w:t>
            </w:r>
            <w:r w:rsidRPr="006850BB">
              <w:rPr>
                <w:snapToGrid/>
                <w:sz w:val="20"/>
              </w:rPr>
              <w:t> </w:t>
            </w:r>
          </w:p>
          <w:p w14:paraId="047ADEF7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Surveys </w:t>
            </w:r>
          </w:p>
          <w:p w14:paraId="78C84D18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Completion Outcomes </w:t>
            </w:r>
          </w:p>
          <w:p w14:paraId="374287BB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Structured Interviews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E7E6E6"/>
            <w:vAlign w:val="center"/>
            <w:hideMark/>
          </w:tcPr>
          <w:p w14:paraId="0E5DEE13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 </w:t>
            </w:r>
          </w:p>
        </w:tc>
      </w:tr>
      <w:tr w:rsidR="006850BB" w:rsidRPr="006850BB" w14:paraId="45ED68DC" w14:textId="77777777" w:rsidTr="5A85546D">
        <w:trPr>
          <w:trHeight w:val="525"/>
        </w:trPr>
        <w:tc>
          <w:tcPr>
            <w:tcW w:w="195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6FBA4385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2023–2024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57BD4A63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Employment Outcomes </w:t>
            </w:r>
          </w:p>
          <w:p w14:paraId="13DBA896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Evaluation Ratings </w:t>
            </w:r>
          </w:p>
          <w:p w14:paraId="6CDF3631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Student Outcomes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4A2EDC61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Employment Outcomes </w:t>
            </w:r>
          </w:p>
          <w:p w14:paraId="02C94258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Evaluation Ratings </w:t>
            </w:r>
          </w:p>
          <w:p w14:paraId="7E02D9EB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Student Outcomes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auto"/>
            <w:vAlign w:val="center"/>
            <w:hideMark/>
          </w:tcPr>
          <w:p w14:paraId="4E6F162A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i/>
                <w:iCs/>
                <w:snapToGrid/>
                <w:sz w:val="20"/>
              </w:rPr>
              <w:t>In Pilot</w:t>
            </w:r>
            <w:r w:rsidRPr="006850BB">
              <w:rPr>
                <w:snapToGrid/>
                <w:sz w:val="20"/>
              </w:rPr>
              <w:t> </w:t>
            </w:r>
          </w:p>
          <w:p w14:paraId="16B23B87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Surveys </w:t>
            </w:r>
          </w:p>
          <w:p w14:paraId="4EA25D98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Completion Outcomes </w:t>
            </w:r>
          </w:p>
        </w:tc>
      </w:tr>
      <w:tr w:rsidR="006850BB" w:rsidRPr="006850BB" w14:paraId="4AF7950D" w14:textId="77777777" w:rsidTr="5A85546D">
        <w:trPr>
          <w:trHeight w:val="525"/>
        </w:trPr>
        <w:tc>
          <w:tcPr>
            <w:tcW w:w="195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DEEAF6"/>
            <w:vAlign w:val="center"/>
            <w:hideMark/>
          </w:tcPr>
          <w:p w14:paraId="3FDC9531" w14:textId="105AF2C9" w:rsidR="006850BB" w:rsidRPr="006850BB" w:rsidRDefault="0C706575" w:rsidP="006850BB">
            <w:pPr>
              <w:widowControl/>
              <w:jc w:val="center"/>
              <w:textAlignment w:val="baseline"/>
            </w:pPr>
            <w:r w:rsidRPr="5A85546D">
              <w:rPr>
                <w:sz w:val="20"/>
              </w:rPr>
              <w:t xml:space="preserve">Proposed </w:t>
            </w:r>
            <w:r w:rsidR="10BC14AD" w:rsidRPr="5A85546D">
              <w:rPr>
                <w:snapToGrid/>
                <w:sz w:val="20"/>
              </w:rPr>
              <w:t>additional year:  </w:t>
            </w:r>
          </w:p>
          <w:p w14:paraId="0C544767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2024-2025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DEEAF6"/>
            <w:vAlign w:val="center"/>
            <w:hideMark/>
          </w:tcPr>
          <w:p w14:paraId="184402A7" w14:textId="77777777" w:rsidR="006850BB" w:rsidRPr="006850BB" w:rsidRDefault="1171DBF7" w:rsidP="51FCED88">
            <w:pPr>
              <w:widowControl/>
              <w:jc w:val="center"/>
              <w:textAlignment w:val="baseline"/>
              <w:rPr>
                <w:snapToGrid/>
                <w:sz w:val="20"/>
              </w:rPr>
            </w:pPr>
            <w:r w:rsidRPr="51FCED88">
              <w:rPr>
                <w:snapToGrid/>
                <w:sz w:val="20"/>
              </w:rPr>
              <w:t>Employment Outcomes* </w:t>
            </w:r>
          </w:p>
          <w:p w14:paraId="0426780B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Evaluation Ratings* </w:t>
            </w:r>
          </w:p>
          <w:p w14:paraId="52D7FA63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Student Outcomes*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DEEAF6"/>
            <w:vAlign w:val="center"/>
            <w:hideMark/>
          </w:tcPr>
          <w:p w14:paraId="42AD913D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Employment Outcomes* </w:t>
            </w:r>
          </w:p>
          <w:p w14:paraId="17A9B2DF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Evaluation Ratings* </w:t>
            </w:r>
          </w:p>
          <w:p w14:paraId="643FC317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Student Outcomes* </w:t>
            </w:r>
          </w:p>
        </w:tc>
        <w:tc>
          <w:tcPr>
            <w:tcW w:w="2970" w:type="dxa"/>
            <w:tcBorders>
              <w:top w:val="single" w:sz="6" w:space="0" w:color="003462"/>
              <w:left w:val="single" w:sz="6" w:space="0" w:color="003462"/>
              <w:bottom w:val="single" w:sz="6" w:space="0" w:color="003462"/>
              <w:right w:val="single" w:sz="6" w:space="0" w:color="003462"/>
            </w:tcBorders>
            <w:shd w:val="clear" w:color="auto" w:fill="DEEAF6"/>
            <w:vAlign w:val="center"/>
            <w:hideMark/>
          </w:tcPr>
          <w:p w14:paraId="7D2C3E64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Employment Outcomes* </w:t>
            </w:r>
          </w:p>
          <w:p w14:paraId="256277E4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Evaluation Ratings* </w:t>
            </w:r>
          </w:p>
          <w:p w14:paraId="4D9E3F84" w14:textId="77777777" w:rsidR="006850BB" w:rsidRPr="006850BB" w:rsidRDefault="006850BB" w:rsidP="006850BB">
            <w:pPr>
              <w:widowControl/>
              <w:jc w:val="center"/>
              <w:textAlignment w:val="baseline"/>
              <w:rPr>
                <w:snapToGrid/>
                <w:szCs w:val="24"/>
              </w:rPr>
            </w:pPr>
            <w:r w:rsidRPr="006850BB">
              <w:rPr>
                <w:snapToGrid/>
                <w:sz w:val="20"/>
              </w:rPr>
              <w:t>Student Outcomes* </w:t>
            </w:r>
          </w:p>
        </w:tc>
      </w:tr>
    </w:tbl>
    <w:p w14:paraId="0D16E116" w14:textId="6075B001" w:rsidR="006850BB" w:rsidRPr="00A6659A" w:rsidRDefault="3CA1D107" w:rsidP="7B7C0667">
      <w:pPr>
        <w:widowControl/>
        <w:autoSpaceDE w:val="0"/>
        <w:autoSpaceDN w:val="0"/>
        <w:adjustRightInd w:val="0"/>
        <w:spacing w:before="240" w:after="120" w:line="259" w:lineRule="auto"/>
        <w:rPr>
          <w:color w:val="000000" w:themeColor="text1"/>
          <w:sz w:val="20"/>
        </w:rPr>
      </w:pPr>
      <w:r w:rsidRPr="7B7C0667">
        <w:rPr>
          <w:color w:val="000000" w:themeColor="text1"/>
          <w:sz w:val="20"/>
        </w:rPr>
        <w:t>* Employment, Student, and Completion Outcomes data that are available prior to June 30, 2025 can be included in the evaluation if</w:t>
      </w:r>
      <w:r w:rsidR="00AE3F34" w:rsidRPr="7B7C0667">
        <w:rPr>
          <w:color w:val="000000" w:themeColor="text1"/>
          <w:sz w:val="20"/>
        </w:rPr>
        <w:t xml:space="preserve"> the Board </w:t>
      </w:r>
      <w:r w:rsidR="00C47267" w:rsidRPr="7B7C0667">
        <w:rPr>
          <w:color w:val="000000" w:themeColor="text1"/>
          <w:sz w:val="20"/>
        </w:rPr>
        <w:t>extends the pilot</w:t>
      </w:r>
      <w:r w:rsidR="006D2826" w:rsidRPr="7B7C0667">
        <w:rPr>
          <w:color w:val="000000" w:themeColor="text1"/>
          <w:sz w:val="20"/>
        </w:rPr>
        <w:t>.</w:t>
      </w:r>
    </w:p>
    <w:p w14:paraId="4C225D65" w14:textId="77777777" w:rsidR="00FE3A27" w:rsidRDefault="00FE3A27" w:rsidP="00FE3A27">
      <w:pPr>
        <w:widowControl/>
        <w:autoSpaceDE w:val="0"/>
        <w:autoSpaceDN w:val="0"/>
        <w:adjustRightInd w:val="0"/>
        <w:outlineLvl w:val="1"/>
      </w:pPr>
    </w:p>
    <w:p w14:paraId="17FA7B2A" w14:textId="44236360" w:rsidR="006850BB" w:rsidRPr="00FE3A27" w:rsidRDefault="00265C65" w:rsidP="006D2826">
      <w:pPr>
        <w:widowControl/>
        <w:autoSpaceDE w:val="0"/>
        <w:autoSpaceDN w:val="0"/>
        <w:adjustRightInd w:val="0"/>
        <w:outlineLvl w:val="1"/>
      </w:pPr>
      <w:r>
        <w:t xml:space="preserve">In addition to extending the regulatory pilot </w:t>
      </w:r>
      <w:r w:rsidR="00FE3A27">
        <w:t xml:space="preserve">by one year for the reasons outlined above, this </w:t>
      </w:r>
      <w:r w:rsidR="2F20FF66">
        <w:t xml:space="preserve">proposed amendment </w:t>
      </w:r>
      <w:r w:rsidR="00FE3A27">
        <w:t>would</w:t>
      </w:r>
      <w:r w:rsidR="00A72D34">
        <w:t xml:space="preserve"> update language regarding the pilot period</w:t>
      </w:r>
      <w:r w:rsidR="00D21C41">
        <w:t>. Specifically, the proposed amendment would</w:t>
      </w:r>
      <w:r w:rsidR="00A72D34">
        <w:t xml:space="preserve"> </w:t>
      </w:r>
      <w:r w:rsidR="67D528AF">
        <w:t>make clear that candidates who passed</w:t>
      </w:r>
      <w:r w:rsidR="00384AD3">
        <w:t xml:space="preserve"> </w:t>
      </w:r>
      <w:r w:rsidR="2F20FF66">
        <w:t>an approved alternative assessment before October 20, 2020</w:t>
      </w:r>
      <w:r w:rsidR="6E3BBF13">
        <w:t xml:space="preserve"> (the date the pilot regulation was adopted) are eligible </w:t>
      </w:r>
      <w:r w:rsidR="12157B20">
        <w:t>to participate in the Pilot</w:t>
      </w:r>
      <w:r w:rsidR="00E129E0">
        <w:t>.</w:t>
      </w:r>
    </w:p>
    <w:p w14:paraId="11625A48" w14:textId="536E6BA5" w:rsidR="006850BB" w:rsidRDefault="006850BB" w:rsidP="5A85546D">
      <w:pPr>
        <w:widowControl/>
        <w:autoSpaceDE w:val="0"/>
        <w:autoSpaceDN w:val="0"/>
        <w:adjustRightInd w:val="0"/>
        <w:rPr>
          <w:szCs w:val="24"/>
        </w:rPr>
      </w:pPr>
    </w:p>
    <w:p w14:paraId="16D6171F" w14:textId="3E5C2B65" w:rsidR="12771684" w:rsidRDefault="12771684" w:rsidP="7B7C0667">
      <w:pPr>
        <w:rPr>
          <w:b/>
          <w:bCs/>
        </w:rPr>
      </w:pPr>
      <w:r w:rsidRPr="1CE5F978">
        <w:rPr>
          <w:b/>
          <w:bCs/>
        </w:rPr>
        <w:t>Proposed Amendments for New Licenses:</w:t>
      </w:r>
      <w:r w:rsidR="00D37031" w:rsidRPr="1CE5F978">
        <w:rPr>
          <w:b/>
          <w:bCs/>
        </w:rPr>
        <w:t xml:space="preserve"> A Provisional License Option for Principals/</w:t>
      </w:r>
      <w:r w:rsidR="00C52CFA" w:rsidRPr="1CE5F978">
        <w:rPr>
          <w:b/>
          <w:bCs/>
        </w:rPr>
        <w:t xml:space="preserve">Assistant </w:t>
      </w:r>
      <w:r w:rsidR="00D37031" w:rsidRPr="1CE5F978">
        <w:rPr>
          <w:b/>
          <w:bCs/>
        </w:rPr>
        <w:t xml:space="preserve">Principals and a </w:t>
      </w:r>
      <w:r w:rsidR="00992282" w:rsidRPr="1CE5F978">
        <w:rPr>
          <w:b/>
          <w:bCs/>
        </w:rPr>
        <w:t>N</w:t>
      </w:r>
      <w:r w:rsidR="00D37031" w:rsidRPr="1CE5F978">
        <w:rPr>
          <w:b/>
          <w:bCs/>
        </w:rPr>
        <w:t>ew Military Spouse License</w:t>
      </w:r>
    </w:p>
    <w:p w14:paraId="19C2E2A1" w14:textId="420BF08C" w:rsidR="5A85546D" w:rsidRDefault="5A85546D" w:rsidP="5A85546D">
      <w:pPr>
        <w:rPr>
          <w:b/>
          <w:bCs/>
          <w:szCs w:val="24"/>
        </w:rPr>
      </w:pPr>
    </w:p>
    <w:p w14:paraId="34FFA79A" w14:textId="454FA180" w:rsidR="6E97B73F" w:rsidRDefault="0011549B" w:rsidP="5A85546D">
      <w:r>
        <w:t xml:space="preserve">The Department is continuing to support </w:t>
      </w:r>
      <w:r w:rsidR="6E97B73F">
        <w:t xml:space="preserve">districts </w:t>
      </w:r>
      <w:r w:rsidR="00C81220">
        <w:t xml:space="preserve">that are facing </w:t>
      </w:r>
      <w:r w:rsidR="6E97B73F">
        <w:t>staffing challenges</w:t>
      </w:r>
      <w:r w:rsidR="68B552FD">
        <w:t xml:space="preserve">. </w:t>
      </w:r>
      <w:r w:rsidR="00D77E70">
        <w:t>Currently</w:t>
      </w:r>
      <w:r w:rsidR="009178B2">
        <w:t>, c</w:t>
      </w:r>
      <w:r w:rsidR="00BF7B91">
        <w:t xml:space="preserve">urrently </w:t>
      </w:r>
      <w:r w:rsidR="00C57321">
        <w:t xml:space="preserve">both Teachers and </w:t>
      </w:r>
      <w:r w:rsidR="68B552FD">
        <w:t xml:space="preserve">Superintendents/Assistant Superintendents </w:t>
      </w:r>
      <w:r w:rsidR="00BF7B91">
        <w:t xml:space="preserve">may </w:t>
      </w:r>
      <w:r w:rsidR="00E15A7C">
        <w:t>be employed on</w:t>
      </w:r>
      <w:r w:rsidR="68B552FD">
        <w:t xml:space="preserve"> a Provisional license </w:t>
      </w:r>
      <w:r w:rsidR="00E15A7C">
        <w:t xml:space="preserve">while </w:t>
      </w:r>
      <w:r w:rsidR="18D809B0">
        <w:t xml:space="preserve">they </w:t>
      </w:r>
      <w:r w:rsidR="00C575E0">
        <w:t xml:space="preserve">work to </w:t>
      </w:r>
      <w:r w:rsidR="18D809B0">
        <w:t>complete requirements</w:t>
      </w:r>
      <w:r w:rsidR="00C575E0">
        <w:t xml:space="preserve"> for an Initial license</w:t>
      </w:r>
      <w:r w:rsidR="18D809B0">
        <w:t xml:space="preserve">. In these proposed amendments, the Department </w:t>
      </w:r>
      <w:r w:rsidR="00757C57">
        <w:t>would</w:t>
      </w:r>
      <w:r w:rsidR="18D809B0">
        <w:t xml:space="preserve"> create a similar option for Principal</w:t>
      </w:r>
      <w:r w:rsidR="4B33F43B">
        <w:t>s/Assistant Principals</w:t>
      </w:r>
      <w:r w:rsidR="00C575E0">
        <w:t xml:space="preserve">, </w:t>
      </w:r>
      <w:r w:rsidR="00757C57">
        <w:t xml:space="preserve">allowing </w:t>
      </w:r>
      <w:r w:rsidR="00C575E0">
        <w:t xml:space="preserve">them to </w:t>
      </w:r>
      <w:r w:rsidR="4B33F43B">
        <w:t xml:space="preserve">earn the </w:t>
      </w:r>
      <w:r w:rsidR="00C575E0">
        <w:t>P</w:t>
      </w:r>
      <w:r w:rsidR="4B33F43B">
        <w:t>rovisional license</w:t>
      </w:r>
      <w:r w:rsidR="00D1452B">
        <w:t xml:space="preserve"> based on completion of certain preparation requirements, </w:t>
      </w:r>
      <w:r w:rsidR="00424576">
        <w:t>but</w:t>
      </w:r>
      <w:r w:rsidR="00192B1A">
        <w:t xml:space="preserve"> prior to</w:t>
      </w:r>
      <w:r w:rsidR="4B33F43B">
        <w:t xml:space="preserve"> </w:t>
      </w:r>
      <w:r w:rsidR="00300537">
        <w:t xml:space="preserve">completing </w:t>
      </w:r>
      <w:r w:rsidR="4B33F43B">
        <w:t>the Performance Assessment for Licensure</w:t>
      </w:r>
      <w:r w:rsidR="791D7714">
        <w:t xml:space="preserve"> (PAL)</w:t>
      </w:r>
      <w:r w:rsidR="00192B1A">
        <w:t xml:space="preserve">. </w:t>
      </w:r>
      <w:r w:rsidR="00424576">
        <w:t>This</w:t>
      </w:r>
      <w:r w:rsidR="2A8666D4">
        <w:t xml:space="preserve"> would allow </w:t>
      </w:r>
      <w:r w:rsidR="00E417BA">
        <w:t xml:space="preserve">candidates </w:t>
      </w:r>
      <w:r w:rsidR="2A8666D4">
        <w:t>more time to meet the requirements for PAL while working in the role</w:t>
      </w:r>
      <w:r w:rsidR="692B4C05">
        <w:t xml:space="preserve">. </w:t>
      </w:r>
      <w:r w:rsidR="00346048">
        <w:t xml:space="preserve">Upon completion of </w:t>
      </w:r>
      <w:r w:rsidR="692B4C05">
        <w:t xml:space="preserve">PAL, candidates would be eligible for the </w:t>
      </w:r>
      <w:r w:rsidR="00346048">
        <w:t>I</w:t>
      </w:r>
      <w:r w:rsidR="692B4C05">
        <w:t>nitial license.</w:t>
      </w:r>
    </w:p>
    <w:p w14:paraId="41F2E36B" w14:textId="6A090EED" w:rsidR="5A85546D" w:rsidRDefault="5A85546D" w:rsidP="5A85546D">
      <w:pPr>
        <w:rPr>
          <w:szCs w:val="24"/>
        </w:rPr>
      </w:pPr>
    </w:p>
    <w:p w14:paraId="1F9FBACC" w14:textId="18ADB9A8" w:rsidR="692B4C05" w:rsidRDefault="692B4C05" w:rsidP="5A85546D">
      <w:r w:rsidRPr="7B7C0667">
        <w:t>In addition, based on new statutory language</w:t>
      </w:r>
      <w:r w:rsidR="002655C7">
        <w:rPr>
          <w:szCs w:val="24"/>
        </w:rPr>
        <w:t xml:space="preserve"> (</w:t>
      </w:r>
      <w:hyperlink r:id="rId14" w:anchor=":~:text=post%2Dgraduate%20degree.-,An%20unemancipated%20person%20whose%20parent%20or%20guardian%20is%20a%20member,as%20an%20in%2Dstate%20student." w:history="1">
        <w:r w:rsidR="00391FAF" w:rsidRPr="7B7C0667">
          <w:rPr>
            <w:rStyle w:val="Hyperlink"/>
          </w:rPr>
          <w:t xml:space="preserve">Acts of 2022, c. 154, </w:t>
        </w:r>
        <w:r w:rsidR="002655C7" w:rsidRPr="7B7C0667">
          <w:rPr>
            <w:rStyle w:val="Hyperlink"/>
          </w:rPr>
          <w:t>sec. 10</w:t>
        </w:r>
      </w:hyperlink>
      <w:r w:rsidR="008141C1" w:rsidRPr="7B7C0667">
        <w:t>, amending G.L. c. 71, sec. 38G</w:t>
      </w:r>
      <w:r w:rsidR="003A7ADB">
        <w:rPr>
          <w:szCs w:val="24"/>
        </w:rPr>
        <w:t>)</w:t>
      </w:r>
      <w:r w:rsidRPr="7B7C0667">
        <w:t xml:space="preserve">, the spouse of a military service member who is serving in </w:t>
      </w:r>
      <w:r w:rsidR="5B2D4FA8" w:rsidRPr="5A85546D">
        <w:t>the Commonwealth or living in the Commonwealth and serving in a border state of Massachusetts</w:t>
      </w:r>
      <w:r w:rsidR="006A3461">
        <w:t>,</w:t>
      </w:r>
      <w:r w:rsidR="5B2D4FA8" w:rsidRPr="5A85546D">
        <w:t xml:space="preserve"> and </w:t>
      </w:r>
      <w:r w:rsidR="0044545A">
        <w:t xml:space="preserve">who </w:t>
      </w:r>
      <w:r w:rsidR="00896357" w:rsidRPr="7B7C0667">
        <w:t xml:space="preserve">has a </w:t>
      </w:r>
      <w:r w:rsidR="009A5AD3" w:rsidRPr="7B7C0667">
        <w:lastRenderedPageBreak/>
        <w:t>b</w:t>
      </w:r>
      <w:r w:rsidR="00896357" w:rsidRPr="7B7C0667">
        <w:t>achelor’s degree and</w:t>
      </w:r>
      <w:r w:rsidR="006A3461">
        <w:t xml:space="preserve"> </w:t>
      </w:r>
      <w:r w:rsidR="5B2D4FA8" w:rsidRPr="5A85546D">
        <w:t>holds a valid educator license from another state</w:t>
      </w:r>
      <w:r w:rsidR="006A3461">
        <w:t>,</w:t>
      </w:r>
      <w:r w:rsidR="5B2D4FA8" w:rsidRPr="5A85546D">
        <w:t xml:space="preserve"> would be eligible for a Military Spouse License</w:t>
      </w:r>
      <w:r w:rsidR="00DA3798">
        <w:t xml:space="preserve"> for three years</w:t>
      </w:r>
      <w:r w:rsidR="00EC56F3">
        <w:t xml:space="preserve"> of employment</w:t>
      </w:r>
      <w:r w:rsidR="5B2D4FA8" w:rsidRPr="5A85546D">
        <w:t>.</w:t>
      </w:r>
      <w:r w:rsidR="261B2F80" w:rsidRPr="5A85546D">
        <w:t xml:space="preserve"> This </w:t>
      </w:r>
      <w:r w:rsidR="00E804CE">
        <w:t>new license</w:t>
      </w:r>
      <w:r w:rsidR="261B2F80" w:rsidRPr="5A85546D">
        <w:t xml:space="preserve"> would also create an additional pipeline of educators to be employed in our </w:t>
      </w:r>
      <w:r w:rsidR="00EC56F3">
        <w:t>M</w:t>
      </w:r>
      <w:r w:rsidR="261B2F80" w:rsidRPr="5A85546D">
        <w:t xml:space="preserve">assachusetts public school districts. </w:t>
      </w:r>
    </w:p>
    <w:p w14:paraId="0ECC3E67" w14:textId="02539BEF" w:rsidR="5A85546D" w:rsidRDefault="5A85546D" w:rsidP="5A85546D">
      <w:pPr>
        <w:rPr>
          <w:szCs w:val="24"/>
        </w:rPr>
      </w:pPr>
    </w:p>
    <w:p w14:paraId="4F1B5B30" w14:textId="05DC99BA" w:rsidR="68B552FD" w:rsidRDefault="68B552FD" w:rsidP="5A85546D">
      <w:pPr>
        <w:rPr>
          <w:szCs w:val="24"/>
        </w:rPr>
      </w:pPr>
      <w:r w:rsidRPr="5A85546D">
        <w:rPr>
          <w:szCs w:val="24"/>
        </w:rPr>
        <w:t xml:space="preserve">Proposed Amendments: </w:t>
      </w:r>
    </w:p>
    <w:p w14:paraId="06A49197" w14:textId="0E91650E" w:rsidR="26E2B201" w:rsidRDefault="26E2B201" w:rsidP="5A85546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5A85546D">
        <w:rPr>
          <w:rFonts w:eastAsia="Calibri"/>
          <w:color w:val="000000" w:themeColor="text1"/>
        </w:rPr>
        <w:t>Create a new Provisional license for Principals and Assistant Principals to better support a pipeline into the Assistant Principal and Principal roles in our schools – 7.09</w:t>
      </w:r>
    </w:p>
    <w:p w14:paraId="47A42B70" w14:textId="680C06A5" w:rsidR="1530B018" w:rsidRDefault="003F20EE" w:rsidP="5A85546D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7B7C0667">
        <w:rPr>
          <w:rFonts w:eastAsia="Times New Roman"/>
        </w:rPr>
        <w:t xml:space="preserve">Create </w:t>
      </w:r>
      <w:r w:rsidR="26E2B201" w:rsidRPr="7B7C0667">
        <w:rPr>
          <w:rFonts w:eastAsia="Times New Roman"/>
        </w:rPr>
        <w:t>a new Military Spouse License in alignment with new statutory languag</w:t>
      </w:r>
      <w:r w:rsidR="26FB9B69" w:rsidRPr="7B7C0667">
        <w:rPr>
          <w:rFonts w:eastAsia="Times New Roman"/>
        </w:rPr>
        <w:t>e</w:t>
      </w:r>
      <w:r w:rsidR="26E2B201" w:rsidRPr="7B7C0667">
        <w:rPr>
          <w:rFonts w:eastAsia="Times New Roman"/>
        </w:rPr>
        <w:t xml:space="preserve"> </w:t>
      </w:r>
      <w:r w:rsidRPr="7B7C0667">
        <w:rPr>
          <w:rFonts w:eastAsia="Times New Roman"/>
        </w:rPr>
        <w:t>–</w:t>
      </w:r>
      <w:r w:rsidR="26E2B201" w:rsidRPr="7B7C0667">
        <w:rPr>
          <w:rFonts w:eastAsia="Times New Roman"/>
        </w:rPr>
        <w:t xml:space="preserve"> 7.04</w:t>
      </w:r>
    </w:p>
    <w:p w14:paraId="56E8ECDA" w14:textId="2B66F344" w:rsidR="5A85546D" w:rsidRDefault="5A85546D" w:rsidP="5A85546D">
      <w:pPr>
        <w:rPr>
          <w:b/>
          <w:bCs/>
        </w:rPr>
      </w:pPr>
    </w:p>
    <w:p w14:paraId="0C9B376D" w14:textId="1A211F78" w:rsidR="001F202B" w:rsidRPr="00D33F22" w:rsidRDefault="00195199" w:rsidP="008244B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Additional</w:t>
      </w:r>
      <w:r w:rsidR="00D33F22" w:rsidRPr="33D18A97">
        <w:rPr>
          <w:b/>
          <w:bCs/>
        </w:rPr>
        <w:t xml:space="preserve"> Proposed Amendments</w:t>
      </w:r>
      <w:r>
        <w:rPr>
          <w:b/>
          <w:bCs/>
        </w:rPr>
        <w:t>:</w:t>
      </w:r>
    </w:p>
    <w:p w14:paraId="637C0BC6" w14:textId="03C102DC" w:rsidR="33D18A97" w:rsidRDefault="33D18A97" w:rsidP="33D18A97">
      <w:pPr>
        <w:rPr>
          <w:b/>
          <w:bCs/>
          <w:szCs w:val="24"/>
        </w:rPr>
      </w:pPr>
    </w:p>
    <w:p w14:paraId="21F3632D" w14:textId="0DD9C991" w:rsidR="79A3F269" w:rsidRDefault="0AA78C4C" w:rsidP="5A85546D">
      <w:pPr>
        <w:rPr>
          <w:color w:val="000000" w:themeColor="text1"/>
          <w:szCs w:val="24"/>
        </w:rPr>
      </w:pPr>
      <w:r w:rsidRPr="5A85546D">
        <w:rPr>
          <w:color w:val="000000" w:themeColor="text1"/>
        </w:rPr>
        <w:t xml:space="preserve">With the Board’s approval, the Department will </w:t>
      </w:r>
      <w:r w:rsidR="0E5DDF8F" w:rsidRPr="5A85546D">
        <w:rPr>
          <w:color w:val="000000" w:themeColor="text1"/>
        </w:rPr>
        <w:t xml:space="preserve">also </w:t>
      </w:r>
      <w:r w:rsidRPr="5A85546D">
        <w:rPr>
          <w:color w:val="000000" w:themeColor="text1"/>
        </w:rPr>
        <w:t xml:space="preserve">solicit public comment on </w:t>
      </w:r>
      <w:r w:rsidR="2723FACB" w:rsidRPr="5A85546D">
        <w:rPr>
          <w:color w:val="000000" w:themeColor="text1"/>
        </w:rPr>
        <w:t xml:space="preserve">other </w:t>
      </w:r>
      <w:r w:rsidRPr="5A85546D">
        <w:rPr>
          <w:color w:val="000000" w:themeColor="text1"/>
        </w:rPr>
        <w:t>proposed amendments</w:t>
      </w:r>
      <w:r w:rsidR="62394484" w:rsidRPr="5A85546D">
        <w:rPr>
          <w:color w:val="000000" w:themeColor="text1"/>
        </w:rPr>
        <w:t xml:space="preserve"> that are designed to</w:t>
      </w:r>
      <w:r w:rsidR="70CF5DF2" w:rsidRPr="5A85546D">
        <w:rPr>
          <w:color w:val="000000" w:themeColor="text1"/>
        </w:rPr>
        <w:t>:</w:t>
      </w:r>
    </w:p>
    <w:p w14:paraId="524EF82B" w14:textId="6B733ABF" w:rsidR="79A3F269" w:rsidRDefault="70CF5DF2" w:rsidP="5A85546D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1CE5F978">
        <w:rPr>
          <w:rFonts w:eastAsia="Calibri"/>
          <w:color w:val="000000" w:themeColor="text1"/>
        </w:rPr>
        <w:t>C</w:t>
      </w:r>
      <w:r w:rsidR="5A85546D" w:rsidRPr="1CE5F978">
        <w:rPr>
          <w:rFonts w:eastAsia="Calibri"/>
          <w:color w:val="000000" w:themeColor="text1"/>
        </w:rPr>
        <w:t>reat</w:t>
      </w:r>
      <w:r w:rsidR="1975AAE3" w:rsidRPr="1CE5F978">
        <w:rPr>
          <w:rFonts w:eastAsia="Calibri"/>
          <w:color w:val="000000" w:themeColor="text1"/>
        </w:rPr>
        <w:t>e</w:t>
      </w:r>
      <w:r w:rsidR="5A85546D" w:rsidRPr="1CE5F978">
        <w:rPr>
          <w:rFonts w:eastAsia="Calibri"/>
          <w:color w:val="000000" w:themeColor="text1"/>
        </w:rPr>
        <w:t xml:space="preserve"> a new </w:t>
      </w:r>
      <w:r w:rsidR="6E423CEE" w:rsidRPr="1CE5F978">
        <w:rPr>
          <w:rFonts w:eastAsia="Calibri"/>
          <w:color w:val="000000" w:themeColor="text1"/>
        </w:rPr>
        <w:t xml:space="preserve">option for </w:t>
      </w:r>
      <w:r w:rsidR="5A85546D" w:rsidRPr="1CE5F978">
        <w:rPr>
          <w:rFonts w:eastAsia="Calibri"/>
          <w:color w:val="000000" w:themeColor="text1"/>
        </w:rPr>
        <w:t xml:space="preserve">out-of-state </w:t>
      </w:r>
      <w:r w:rsidR="0B255A6F" w:rsidRPr="1CE5F978">
        <w:rPr>
          <w:rFonts w:eastAsia="Calibri"/>
          <w:color w:val="000000" w:themeColor="text1"/>
        </w:rPr>
        <w:t xml:space="preserve">candidates </w:t>
      </w:r>
      <w:r w:rsidR="5A85546D" w:rsidRPr="1CE5F978">
        <w:rPr>
          <w:rFonts w:eastAsia="Calibri"/>
          <w:color w:val="000000" w:themeColor="text1"/>
        </w:rPr>
        <w:t>to meet the Sheltered English Immersion endorsement requirement, and</w:t>
      </w:r>
    </w:p>
    <w:p w14:paraId="3B50E514" w14:textId="0F285B9F" w:rsidR="79A3F269" w:rsidRDefault="002F3BD2" w:rsidP="5A85546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B7C0667">
        <w:rPr>
          <w:rFonts w:eastAsia="Calibri"/>
          <w:color w:val="000000" w:themeColor="text1"/>
        </w:rPr>
        <w:t>S</w:t>
      </w:r>
      <w:r w:rsidR="5A85546D" w:rsidRPr="7B7C0667">
        <w:rPr>
          <w:rFonts w:eastAsia="Calibri"/>
          <w:color w:val="000000" w:themeColor="text1"/>
        </w:rPr>
        <w:t>treamlin</w:t>
      </w:r>
      <w:r w:rsidRPr="7B7C0667">
        <w:rPr>
          <w:rFonts w:eastAsia="Calibri"/>
          <w:color w:val="000000" w:themeColor="text1"/>
        </w:rPr>
        <w:t>e</w:t>
      </w:r>
      <w:r w:rsidR="5A85546D" w:rsidRPr="7B7C0667">
        <w:rPr>
          <w:rFonts w:eastAsia="Calibri"/>
          <w:color w:val="000000" w:themeColor="text1"/>
        </w:rPr>
        <w:t xml:space="preserve"> and clari</w:t>
      </w:r>
      <w:r w:rsidR="20834BFB" w:rsidRPr="7B7C0667">
        <w:rPr>
          <w:rFonts w:eastAsia="Calibri"/>
          <w:color w:val="000000" w:themeColor="text1"/>
        </w:rPr>
        <w:t>f</w:t>
      </w:r>
      <w:r w:rsidRPr="7B7C0667">
        <w:rPr>
          <w:rFonts w:eastAsia="Calibri"/>
          <w:color w:val="000000" w:themeColor="text1"/>
        </w:rPr>
        <w:t>y</w:t>
      </w:r>
      <w:r w:rsidR="42843549" w:rsidRPr="7B7C0667">
        <w:rPr>
          <w:rFonts w:eastAsia="Calibri"/>
          <w:color w:val="000000" w:themeColor="text1"/>
        </w:rPr>
        <w:t xml:space="preserve"> requirements </w:t>
      </w:r>
      <w:r w:rsidR="20834BFB" w:rsidRPr="7B7C0667">
        <w:rPr>
          <w:rFonts w:eastAsia="Calibri"/>
          <w:color w:val="000000" w:themeColor="text1"/>
        </w:rPr>
        <w:t>for</w:t>
      </w:r>
      <w:r w:rsidR="5A85546D" w:rsidRPr="7B7C0667">
        <w:rPr>
          <w:rFonts w:eastAsia="Calibri"/>
          <w:color w:val="000000" w:themeColor="text1"/>
        </w:rPr>
        <w:t xml:space="preserve"> educator preparation and licensure</w:t>
      </w:r>
      <w:r w:rsidR="00EA7868" w:rsidRPr="7B7C0667">
        <w:rPr>
          <w:rFonts w:eastAsia="Calibri"/>
          <w:color w:val="000000" w:themeColor="text1"/>
        </w:rPr>
        <w:t>.</w:t>
      </w:r>
      <w:r w:rsidR="5A85546D" w:rsidRPr="7B7C0667">
        <w:rPr>
          <w:color w:val="000000" w:themeColor="text1"/>
        </w:rPr>
        <w:t xml:space="preserve"> </w:t>
      </w:r>
    </w:p>
    <w:p w14:paraId="0D1BB5AB" w14:textId="77777777" w:rsidR="007234D1" w:rsidRDefault="007234D1" w:rsidP="001139FC">
      <w:pPr>
        <w:pStyle w:val="ListParagraph"/>
        <w:rPr>
          <w:color w:val="000000" w:themeColor="text1"/>
        </w:rPr>
      </w:pPr>
    </w:p>
    <w:p w14:paraId="1BC91081" w14:textId="55F352AD" w:rsidR="1AA0E7B9" w:rsidRDefault="1AA0E7B9" w:rsidP="5A85546D">
      <w:pPr>
        <w:rPr>
          <w:rFonts w:eastAsia="Calibri"/>
          <w:color w:val="000000" w:themeColor="text1"/>
          <w:szCs w:val="24"/>
        </w:rPr>
      </w:pPr>
      <w:r w:rsidRPr="5A85546D">
        <w:rPr>
          <w:rFonts w:eastAsia="Calibri"/>
          <w:color w:val="000000" w:themeColor="text1"/>
          <w:szCs w:val="24"/>
        </w:rPr>
        <w:t>The following are the specific proposed revisions:</w:t>
      </w:r>
    </w:p>
    <w:p w14:paraId="781461D2" w14:textId="35C86CFF" w:rsidR="79A3F269" w:rsidRDefault="17C66A0A" w:rsidP="0019519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B7C0667">
        <w:rPr>
          <w:rFonts w:eastAsia="Calibri"/>
          <w:color w:val="000000" w:themeColor="text1"/>
        </w:rPr>
        <w:t xml:space="preserve">Create </w:t>
      </w:r>
      <w:r w:rsidR="4BB8CFAB" w:rsidRPr="7B7C0667">
        <w:rPr>
          <w:rFonts w:eastAsia="Calibri"/>
          <w:color w:val="000000" w:themeColor="text1"/>
        </w:rPr>
        <w:t xml:space="preserve">a new </w:t>
      </w:r>
      <w:r w:rsidR="74A8D352" w:rsidRPr="7B7C0667">
        <w:rPr>
          <w:rFonts w:eastAsia="Calibri"/>
          <w:color w:val="000000" w:themeColor="text1"/>
        </w:rPr>
        <w:t xml:space="preserve">option for </w:t>
      </w:r>
      <w:r w:rsidR="4BB8CFAB" w:rsidRPr="7B7C0667">
        <w:rPr>
          <w:rFonts w:eastAsia="Calibri"/>
          <w:color w:val="000000" w:themeColor="text1"/>
        </w:rPr>
        <w:t xml:space="preserve">out-of-state </w:t>
      </w:r>
      <w:r w:rsidR="0283D1C5" w:rsidRPr="7B7C0667">
        <w:rPr>
          <w:rFonts w:eastAsia="Calibri"/>
          <w:color w:val="000000" w:themeColor="text1"/>
        </w:rPr>
        <w:t>c</w:t>
      </w:r>
      <w:r w:rsidRPr="7B7C0667">
        <w:rPr>
          <w:rFonts w:eastAsia="Calibri"/>
          <w:color w:val="000000" w:themeColor="text1"/>
        </w:rPr>
        <w:t>andidates to meet the Sheltered English Immersion endorsement requireme</w:t>
      </w:r>
      <w:r w:rsidR="103E51B8" w:rsidRPr="7B7C0667">
        <w:rPr>
          <w:rFonts w:eastAsia="Calibri"/>
          <w:color w:val="000000" w:themeColor="text1"/>
        </w:rPr>
        <w:t>nt</w:t>
      </w:r>
      <w:r w:rsidR="75FB0E7D" w:rsidRPr="7B7C0667">
        <w:rPr>
          <w:rFonts w:eastAsia="Calibri"/>
          <w:color w:val="000000" w:themeColor="text1"/>
        </w:rPr>
        <w:t xml:space="preserve"> </w:t>
      </w:r>
      <w:r w:rsidR="00A40540" w:rsidRPr="7B7C0667">
        <w:rPr>
          <w:rFonts w:eastAsia="Calibri"/>
          <w:color w:val="000000" w:themeColor="text1"/>
        </w:rPr>
        <w:t>–</w:t>
      </w:r>
      <w:r w:rsidR="75FB0E7D" w:rsidRPr="7B7C0667">
        <w:rPr>
          <w:rFonts w:eastAsia="Calibri"/>
          <w:color w:val="000000" w:themeColor="text1"/>
        </w:rPr>
        <w:t xml:space="preserve"> 7.1</w:t>
      </w:r>
      <w:r w:rsidR="17D1CB77" w:rsidRPr="7B7C0667">
        <w:rPr>
          <w:rFonts w:eastAsia="Calibri"/>
          <w:color w:val="000000" w:themeColor="text1"/>
        </w:rPr>
        <w:t>4</w:t>
      </w:r>
    </w:p>
    <w:p w14:paraId="520D53C0" w14:textId="02EBD312" w:rsidR="205F337E" w:rsidRDefault="205F337E" w:rsidP="5A85546D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5A85546D">
        <w:rPr>
          <w:rFonts w:eastAsia="Calibri"/>
          <w:color w:val="000000" w:themeColor="text1"/>
        </w:rPr>
        <w:t>Align the program approval requirements to Guidelines for Program Approval – 7.03</w:t>
      </w:r>
    </w:p>
    <w:p w14:paraId="1E61707D" w14:textId="6F3F62A3" w:rsidR="205F337E" w:rsidRDefault="205F337E" w:rsidP="5A85546D">
      <w:pPr>
        <w:pStyle w:val="ListParagraph"/>
        <w:numPr>
          <w:ilvl w:val="0"/>
          <w:numId w:val="2"/>
        </w:numPr>
        <w:rPr>
          <w:rFonts w:eastAsia="Times New Roman"/>
        </w:rPr>
      </w:pPr>
      <w:r w:rsidRPr="5A85546D">
        <w:rPr>
          <w:rFonts w:eastAsia="Times New Roman"/>
        </w:rPr>
        <w:t>Create additional flexibilities in coursework for professional licensure – 7.04</w:t>
      </w:r>
    </w:p>
    <w:p w14:paraId="28C0AEAE" w14:textId="3640D34F" w:rsidR="205F337E" w:rsidRDefault="205F337E" w:rsidP="5A85546D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7B7C0667">
        <w:rPr>
          <w:rFonts w:eastAsia="Times New Roman"/>
        </w:rPr>
        <w:t>Clarify expectation</w:t>
      </w:r>
      <w:r w:rsidR="009C052E" w:rsidRPr="7B7C0667">
        <w:rPr>
          <w:rFonts w:eastAsia="Times New Roman"/>
        </w:rPr>
        <w:t xml:space="preserve"> that </w:t>
      </w:r>
      <w:r w:rsidRPr="7B7C0667">
        <w:rPr>
          <w:rFonts w:eastAsia="Times New Roman"/>
        </w:rPr>
        <w:t xml:space="preserve">practicum experiences </w:t>
      </w:r>
      <w:r w:rsidR="009C052E" w:rsidRPr="7B7C0667">
        <w:rPr>
          <w:rFonts w:eastAsia="Times New Roman"/>
        </w:rPr>
        <w:t xml:space="preserve">are </w:t>
      </w:r>
      <w:r w:rsidRPr="7B7C0667">
        <w:rPr>
          <w:rFonts w:eastAsia="Times New Roman"/>
        </w:rPr>
        <w:t>in the licensure role – 7.04</w:t>
      </w:r>
    </w:p>
    <w:p w14:paraId="4B536106" w14:textId="7A2123AC" w:rsidR="79A3F269" w:rsidRDefault="5D8E8E43" w:rsidP="0019519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25FD504E">
        <w:rPr>
          <w:rFonts w:eastAsia="Calibri"/>
          <w:color w:val="000000" w:themeColor="text1"/>
        </w:rPr>
        <w:t>Combine History and Social Science into one license in alignment with the MA Curriculum Frameworks and subject matter knowledge requiremen</w:t>
      </w:r>
      <w:r w:rsidR="33E192CE" w:rsidRPr="25FD504E">
        <w:rPr>
          <w:rFonts w:eastAsia="Calibri"/>
          <w:color w:val="000000" w:themeColor="text1"/>
        </w:rPr>
        <w:t>ts</w:t>
      </w:r>
      <w:r w:rsidR="02251226" w:rsidRPr="25FD504E">
        <w:rPr>
          <w:rFonts w:eastAsia="Calibri"/>
          <w:color w:val="000000" w:themeColor="text1"/>
        </w:rPr>
        <w:t xml:space="preserve"> – 7.04</w:t>
      </w:r>
    </w:p>
    <w:p w14:paraId="620FAF06" w14:textId="3720A94D" w:rsidR="79A3F269" w:rsidRDefault="02251226" w:rsidP="0019519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25FD504E">
        <w:rPr>
          <w:rFonts w:eastAsia="Calibri"/>
          <w:color w:val="000000" w:themeColor="text1"/>
        </w:rPr>
        <w:t>Change the name of the Foreign Language license to World Language in alignment with the MA Curriculum Frameworks – 7.04</w:t>
      </w:r>
    </w:p>
    <w:p w14:paraId="1C452B85" w14:textId="5EC648D1" w:rsidR="79A3F269" w:rsidRDefault="33E192CE" w:rsidP="0019519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25FD504E">
        <w:rPr>
          <w:rFonts w:eastAsia="Calibri"/>
          <w:color w:val="000000" w:themeColor="text1"/>
        </w:rPr>
        <w:t xml:space="preserve">Add a new PreK-6 level for the Digital Learning and Computer Science license in support of </w:t>
      </w:r>
      <w:r w:rsidR="77980F0B" w:rsidRPr="25FD504E">
        <w:rPr>
          <w:rFonts w:eastAsia="Calibri"/>
          <w:color w:val="000000" w:themeColor="text1"/>
        </w:rPr>
        <w:t>district needs</w:t>
      </w:r>
      <w:r w:rsidR="3C7323F1" w:rsidRPr="25FD504E">
        <w:rPr>
          <w:rFonts w:eastAsia="Calibri"/>
          <w:color w:val="000000" w:themeColor="text1"/>
        </w:rPr>
        <w:t xml:space="preserve"> – 7.04</w:t>
      </w:r>
    </w:p>
    <w:p w14:paraId="1D508436" w14:textId="3118D121" w:rsidR="79A3F269" w:rsidRDefault="7CF4CA1B" w:rsidP="0019519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B7C0667">
        <w:rPr>
          <w:rFonts w:eastAsia="Calibri"/>
          <w:color w:val="000000" w:themeColor="text1"/>
        </w:rPr>
        <w:t>Remove the Performance Assessment requirement for all administrator licenses</w:t>
      </w:r>
      <w:r w:rsidR="009D2817" w:rsidRPr="7B7C0667">
        <w:rPr>
          <w:rFonts w:eastAsia="Calibri"/>
          <w:color w:val="000000" w:themeColor="text1"/>
        </w:rPr>
        <w:t xml:space="preserve"> </w:t>
      </w:r>
      <w:r w:rsidR="009D2817" w:rsidRPr="7B7C0667">
        <w:rPr>
          <w:rFonts w:eastAsia="Calibri"/>
          <w:i/>
          <w:iCs/>
          <w:color w:val="000000" w:themeColor="text1"/>
        </w:rPr>
        <w:t>other than</w:t>
      </w:r>
      <w:r w:rsidRPr="7B7C0667">
        <w:rPr>
          <w:rFonts w:eastAsia="Calibri"/>
          <w:color w:val="000000" w:themeColor="text1"/>
        </w:rPr>
        <w:t xml:space="preserve"> the Principal/Assistant Principal</w:t>
      </w:r>
      <w:r w:rsidR="009D2817" w:rsidRPr="7B7C0667">
        <w:rPr>
          <w:rFonts w:eastAsia="Calibri"/>
          <w:color w:val="000000" w:themeColor="text1"/>
        </w:rPr>
        <w:t>,</w:t>
      </w:r>
      <w:r w:rsidRPr="7B7C0667">
        <w:rPr>
          <w:rFonts w:eastAsia="Calibri"/>
          <w:color w:val="000000" w:themeColor="text1"/>
        </w:rPr>
        <w:t xml:space="preserve"> </w:t>
      </w:r>
      <w:r w:rsidR="00EB1DC8" w:rsidRPr="7B7C0667">
        <w:rPr>
          <w:rFonts w:eastAsia="Calibri"/>
          <w:color w:val="000000" w:themeColor="text1"/>
        </w:rPr>
        <w:t xml:space="preserve">because </w:t>
      </w:r>
      <w:r w:rsidRPr="7B7C0667">
        <w:rPr>
          <w:rFonts w:eastAsia="Calibri"/>
          <w:color w:val="000000" w:themeColor="text1"/>
        </w:rPr>
        <w:t xml:space="preserve">the </w:t>
      </w:r>
      <w:r w:rsidR="00EB1DC8" w:rsidRPr="7B7C0667">
        <w:rPr>
          <w:rFonts w:eastAsia="Calibri"/>
          <w:color w:val="000000" w:themeColor="text1"/>
        </w:rPr>
        <w:t xml:space="preserve">Performance Assessment for Licensure </w:t>
      </w:r>
      <w:r w:rsidR="1A16179D" w:rsidRPr="7B7C0667">
        <w:rPr>
          <w:rFonts w:eastAsia="Calibri"/>
          <w:color w:val="000000" w:themeColor="text1"/>
        </w:rPr>
        <w:t>has been developed</w:t>
      </w:r>
      <w:r w:rsidR="3BEC7EBA" w:rsidRPr="7B7C0667">
        <w:rPr>
          <w:rFonts w:eastAsia="Calibri"/>
          <w:color w:val="000000" w:themeColor="text1"/>
        </w:rPr>
        <w:t xml:space="preserve"> </w:t>
      </w:r>
      <w:r w:rsidR="00BA4441" w:rsidRPr="7B7C0667">
        <w:rPr>
          <w:rFonts w:eastAsia="Calibri"/>
          <w:color w:val="000000" w:themeColor="text1"/>
        </w:rPr>
        <w:t xml:space="preserve">only </w:t>
      </w:r>
      <w:r w:rsidR="3BEC7EBA" w:rsidRPr="7B7C0667">
        <w:rPr>
          <w:rFonts w:eastAsia="Calibri"/>
          <w:color w:val="000000" w:themeColor="text1"/>
        </w:rPr>
        <w:t>for th</w:t>
      </w:r>
      <w:r w:rsidR="00BA4441" w:rsidRPr="7B7C0667">
        <w:rPr>
          <w:rFonts w:eastAsia="Calibri"/>
          <w:color w:val="000000" w:themeColor="text1"/>
        </w:rPr>
        <w:t xml:space="preserve">e Principal/Assistant Principal </w:t>
      </w:r>
      <w:r w:rsidR="3BEC7EBA" w:rsidRPr="7B7C0667">
        <w:rPr>
          <w:rFonts w:eastAsia="Calibri"/>
          <w:color w:val="000000" w:themeColor="text1"/>
        </w:rPr>
        <w:t>license</w:t>
      </w:r>
      <w:r w:rsidR="502B329F" w:rsidRPr="7B7C0667">
        <w:rPr>
          <w:rFonts w:eastAsia="Calibri"/>
          <w:color w:val="000000" w:themeColor="text1"/>
        </w:rPr>
        <w:t xml:space="preserve"> – 7.09</w:t>
      </w:r>
    </w:p>
    <w:p w14:paraId="055D9B68" w14:textId="0AAEB9A7" w:rsidR="79A3F269" w:rsidRPr="00812514" w:rsidRDefault="13E18354" w:rsidP="00195199">
      <w:pPr>
        <w:pStyle w:val="ListParagraph"/>
        <w:numPr>
          <w:ilvl w:val="0"/>
          <w:numId w:val="2"/>
        </w:numPr>
      </w:pPr>
      <w:r w:rsidRPr="00812514">
        <w:rPr>
          <w:rFonts w:eastAsia="Calibri"/>
        </w:rPr>
        <w:t xml:space="preserve">Combine the levels for School Counselors </w:t>
      </w:r>
      <w:r w:rsidR="1F294A14" w:rsidRPr="00812514">
        <w:rPr>
          <w:rFonts w:eastAsia="Calibri"/>
        </w:rPr>
        <w:t>to have one all</w:t>
      </w:r>
      <w:r w:rsidR="00E12F87">
        <w:rPr>
          <w:rFonts w:eastAsia="Calibri"/>
        </w:rPr>
        <w:t>-</w:t>
      </w:r>
      <w:r w:rsidR="1F294A14" w:rsidRPr="00812514">
        <w:rPr>
          <w:rFonts w:eastAsia="Calibri"/>
        </w:rPr>
        <w:t xml:space="preserve">level license </w:t>
      </w:r>
      <w:r w:rsidRPr="00812514">
        <w:rPr>
          <w:rFonts w:eastAsia="Calibri"/>
        </w:rPr>
        <w:t>in alignment with other Professional Support Personnel licenses and to crea</w:t>
      </w:r>
      <w:r w:rsidR="76892EE7" w:rsidRPr="00812514">
        <w:rPr>
          <w:rFonts w:eastAsia="Calibri"/>
        </w:rPr>
        <w:t>te greater fl</w:t>
      </w:r>
      <w:r w:rsidR="1CD2F328" w:rsidRPr="00812514">
        <w:rPr>
          <w:rFonts w:eastAsia="Calibri"/>
        </w:rPr>
        <w:t>exibility for employment</w:t>
      </w:r>
      <w:r w:rsidR="00812514">
        <w:rPr>
          <w:rFonts w:eastAsia="Calibri"/>
        </w:rPr>
        <w:t xml:space="preserve"> – 7.</w:t>
      </w:r>
      <w:r w:rsidR="00AF072D">
        <w:rPr>
          <w:rFonts w:eastAsia="Calibri"/>
        </w:rPr>
        <w:t>11</w:t>
      </w:r>
    </w:p>
    <w:p w14:paraId="05257A28" w14:textId="2A9EA4A9" w:rsidR="44E21007" w:rsidRDefault="44E21007" w:rsidP="44E21007">
      <w:pPr>
        <w:rPr>
          <w:color w:val="000000" w:themeColor="text1"/>
          <w:szCs w:val="24"/>
        </w:rPr>
      </w:pPr>
    </w:p>
    <w:p w14:paraId="57CA655F" w14:textId="48928D9B" w:rsidR="3231A91F" w:rsidRDefault="19410272" w:rsidP="53A317EB">
      <w:pPr>
        <w:rPr>
          <w:color w:val="000000" w:themeColor="text1"/>
        </w:rPr>
      </w:pPr>
      <w:r w:rsidRPr="50324E8C">
        <w:rPr>
          <w:color w:val="000000" w:themeColor="text1"/>
        </w:rPr>
        <w:t>Brian Devine, Director of Licensure</w:t>
      </w:r>
      <w:r w:rsidR="04B802A4" w:rsidRPr="50324E8C">
        <w:rPr>
          <w:color w:val="000000" w:themeColor="text1"/>
        </w:rPr>
        <w:t>;</w:t>
      </w:r>
      <w:r w:rsidRPr="50324E8C">
        <w:rPr>
          <w:color w:val="000000" w:themeColor="text1"/>
        </w:rPr>
        <w:t xml:space="preserve"> Claire Ab</w:t>
      </w:r>
      <w:r w:rsidR="077D9F26" w:rsidRPr="50324E8C">
        <w:rPr>
          <w:color w:val="000000" w:themeColor="text1"/>
        </w:rPr>
        <w:t>b</w:t>
      </w:r>
      <w:r w:rsidRPr="50324E8C">
        <w:rPr>
          <w:color w:val="000000" w:themeColor="text1"/>
        </w:rPr>
        <w:t>ott, Director of Educator Effectiveness</w:t>
      </w:r>
      <w:r w:rsidR="04B802A4" w:rsidRPr="50324E8C">
        <w:rPr>
          <w:color w:val="000000" w:themeColor="text1"/>
        </w:rPr>
        <w:t>;</w:t>
      </w:r>
      <w:r w:rsidRPr="50324E8C">
        <w:rPr>
          <w:color w:val="000000" w:themeColor="text1"/>
        </w:rPr>
        <w:t xml:space="preserve"> Liz Losee, Director </w:t>
      </w:r>
      <w:r w:rsidR="78B926C8" w:rsidRPr="50324E8C">
        <w:rPr>
          <w:color w:val="000000" w:themeColor="text1"/>
        </w:rPr>
        <w:t>o</w:t>
      </w:r>
      <w:r w:rsidRPr="50324E8C">
        <w:rPr>
          <w:color w:val="000000" w:themeColor="text1"/>
        </w:rPr>
        <w:t>f Educator Effectiveness Policy</w:t>
      </w:r>
      <w:r w:rsidR="04B802A4" w:rsidRPr="50324E8C">
        <w:rPr>
          <w:color w:val="000000" w:themeColor="text1"/>
        </w:rPr>
        <w:t>;</w:t>
      </w:r>
      <w:r w:rsidRPr="50324E8C">
        <w:rPr>
          <w:color w:val="000000" w:themeColor="text1"/>
        </w:rPr>
        <w:t xml:space="preserve"> </w:t>
      </w:r>
      <w:r w:rsidR="17811059" w:rsidRPr="50324E8C">
        <w:rPr>
          <w:color w:val="000000" w:themeColor="text1"/>
        </w:rPr>
        <w:t xml:space="preserve">Allison Balter, Director of </w:t>
      </w:r>
      <w:r w:rsidR="5EB9EC50" w:rsidRPr="50324E8C">
        <w:rPr>
          <w:color w:val="000000" w:themeColor="text1"/>
        </w:rPr>
        <w:t xml:space="preserve">the Office of Language </w:t>
      </w:r>
      <w:r w:rsidR="001139FC" w:rsidRPr="50324E8C">
        <w:rPr>
          <w:color w:val="000000" w:themeColor="text1"/>
        </w:rPr>
        <w:t>A</w:t>
      </w:r>
      <w:r w:rsidR="001139FC">
        <w:rPr>
          <w:color w:val="000000" w:themeColor="text1"/>
        </w:rPr>
        <w:t>c</w:t>
      </w:r>
      <w:r w:rsidR="001139FC" w:rsidRPr="50324E8C">
        <w:rPr>
          <w:color w:val="000000" w:themeColor="text1"/>
        </w:rPr>
        <w:t>quisition</w:t>
      </w:r>
      <w:r w:rsidR="00C324D3">
        <w:rPr>
          <w:color w:val="000000" w:themeColor="text1"/>
        </w:rPr>
        <w:t>;</w:t>
      </w:r>
      <w:r w:rsidR="17811059" w:rsidRPr="50324E8C">
        <w:rPr>
          <w:color w:val="000000" w:themeColor="text1"/>
        </w:rPr>
        <w:t xml:space="preserve"> </w:t>
      </w:r>
      <w:r w:rsidRPr="50324E8C">
        <w:rPr>
          <w:color w:val="000000" w:themeColor="text1"/>
        </w:rPr>
        <w:t>and Lucy Wall of our legal staff will join us for the discussion.</w:t>
      </w:r>
    </w:p>
    <w:p w14:paraId="61BC1A29" w14:textId="44231164" w:rsidR="5A85546D" w:rsidRDefault="5A85546D" w:rsidP="5A85546D">
      <w:pPr>
        <w:rPr>
          <w:color w:val="000000" w:themeColor="text1"/>
          <w:szCs w:val="24"/>
        </w:rPr>
      </w:pPr>
    </w:p>
    <w:p w14:paraId="58BBE5DF" w14:textId="6BA918CA" w:rsidR="41A6D26A" w:rsidRDefault="41A6D26A">
      <w:r w:rsidRPr="5A85546D">
        <w:rPr>
          <w:color w:val="000000" w:themeColor="text1"/>
        </w:rPr>
        <w:t>After reviewing all the comments and determining whether further changes are needed, I plan to bring the amendments back to the Board in February 2023 for final adoption.</w:t>
      </w:r>
    </w:p>
    <w:p w14:paraId="433335E5" w14:textId="6CB4E9C2" w:rsidR="25FD504E" w:rsidRDefault="25FD504E" w:rsidP="25FD504E">
      <w:pPr>
        <w:rPr>
          <w:color w:val="000000" w:themeColor="text1"/>
          <w:szCs w:val="24"/>
        </w:rPr>
      </w:pPr>
    </w:p>
    <w:p w14:paraId="5299AE74" w14:textId="2E177DA0" w:rsidR="79A3F269" w:rsidRDefault="79A3F269">
      <w:r w:rsidRPr="33D18A97">
        <w:rPr>
          <w:color w:val="000000" w:themeColor="text1"/>
          <w:szCs w:val="24"/>
        </w:rPr>
        <w:t>A redlined version of the regulations is attached, along with a motion to solicit public comment on the proposed amendments.</w:t>
      </w:r>
    </w:p>
    <w:p w14:paraId="532FB994" w14:textId="161C675F" w:rsidR="33D18A97" w:rsidRDefault="33D18A97" w:rsidP="33D18A97">
      <w:pPr>
        <w:rPr>
          <w:color w:val="000000" w:themeColor="text1"/>
          <w:szCs w:val="24"/>
        </w:rPr>
      </w:pPr>
    </w:p>
    <w:p w14:paraId="2F553C7C" w14:textId="0DCF0347" w:rsidR="79A3F269" w:rsidRDefault="79A3F269">
      <w:r w:rsidRPr="33D18A97">
        <w:rPr>
          <w:color w:val="000000" w:themeColor="text1"/>
          <w:szCs w:val="24"/>
        </w:rPr>
        <w:lastRenderedPageBreak/>
        <w:t>Enclosure</w:t>
      </w:r>
      <w:r w:rsidR="3848D79B" w:rsidRPr="33D18A97">
        <w:rPr>
          <w:color w:val="000000" w:themeColor="text1"/>
          <w:szCs w:val="24"/>
        </w:rPr>
        <w:t>s</w:t>
      </w:r>
      <w:r w:rsidRPr="33D18A97">
        <w:rPr>
          <w:color w:val="000000" w:themeColor="text1"/>
          <w:szCs w:val="24"/>
        </w:rPr>
        <w:t xml:space="preserve">: </w:t>
      </w:r>
    </w:p>
    <w:p w14:paraId="0D9EFC9E" w14:textId="20B56751" w:rsidR="79A3F269" w:rsidRDefault="79A3F269" w:rsidP="00195199">
      <w:pPr>
        <w:ind w:left="720"/>
      </w:pPr>
      <w:r w:rsidRPr="33D18A97">
        <w:rPr>
          <w:color w:val="000000" w:themeColor="text1"/>
          <w:szCs w:val="24"/>
        </w:rPr>
        <w:t xml:space="preserve">603 CMR 7.00 Strikethrough version of relevant portion of regulations showing </w:t>
      </w:r>
      <w:r>
        <w:tab/>
      </w:r>
      <w:r>
        <w:tab/>
      </w:r>
      <w:r w:rsidRPr="33D18A97">
        <w:rPr>
          <w:color w:val="000000" w:themeColor="text1"/>
          <w:szCs w:val="24"/>
        </w:rPr>
        <w:t>amendments</w:t>
      </w:r>
    </w:p>
    <w:p w14:paraId="4B7EA0F9" w14:textId="2B6688C1" w:rsidR="79A3F269" w:rsidRDefault="79A3F269" w:rsidP="00195199">
      <w:pPr>
        <w:ind w:firstLine="720"/>
        <w:rPr>
          <w:color w:val="000000" w:themeColor="text1"/>
          <w:szCs w:val="24"/>
        </w:rPr>
      </w:pPr>
      <w:r w:rsidRPr="6D353626">
        <w:rPr>
          <w:color w:val="000000" w:themeColor="text1"/>
        </w:rPr>
        <w:t>Motion</w:t>
      </w:r>
    </w:p>
    <w:p w14:paraId="0B2D623D" w14:textId="2BF77BFF" w:rsidR="33D18A97" w:rsidRDefault="33D18A97" w:rsidP="33D18A97">
      <w:pPr>
        <w:rPr>
          <w:b/>
          <w:bCs/>
          <w:szCs w:val="24"/>
        </w:rPr>
      </w:pPr>
    </w:p>
    <w:p w14:paraId="3CBEEA8F" w14:textId="2700ABFF" w:rsidR="33D18A97" w:rsidRDefault="33D18A97" w:rsidP="7B7C0667">
      <w:pPr>
        <w:rPr>
          <w:b/>
          <w:bCs/>
          <w:szCs w:val="24"/>
        </w:rPr>
      </w:pPr>
    </w:p>
    <w:sectPr w:rsidR="33D18A97" w:rsidSect="007B3EE1">
      <w:footerReference w:type="default" r:id="rId15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376AB" w14:textId="77777777" w:rsidR="00CF6332" w:rsidRDefault="00CF6332">
      <w:r>
        <w:separator/>
      </w:r>
    </w:p>
  </w:endnote>
  <w:endnote w:type="continuationSeparator" w:id="0">
    <w:p w14:paraId="52D2BF1E" w14:textId="77777777" w:rsidR="00CF6332" w:rsidRDefault="00CF6332">
      <w:r>
        <w:continuationSeparator/>
      </w:r>
    </w:p>
  </w:endnote>
  <w:endnote w:type="continuationNotice" w:id="1">
    <w:p w14:paraId="25DE125B" w14:textId="77777777" w:rsidR="00CF6332" w:rsidRDefault="00CF6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8D3A" w14:textId="77777777" w:rsidR="00CF6332" w:rsidRDefault="00CF6332">
      <w:r>
        <w:separator/>
      </w:r>
    </w:p>
  </w:footnote>
  <w:footnote w:type="continuationSeparator" w:id="0">
    <w:p w14:paraId="7B255205" w14:textId="77777777" w:rsidR="00CF6332" w:rsidRDefault="00CF6332">
      <w:r>
        <w:continuationSeparator/>
      </w:r>
    </w:p>
  </w:footnote>
  <w:footnote w:type="continuationNotice" w:id="1">
    <w:p w14:paraId="64E53940" w14:textId="77777777" w:rsidR="00CF6332" w:rsidRDefault="00CF6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96D"/>
    <w:multiLevelType w:val="multilevel"/>
    <w:tmpl w:val="A044D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6042AF"/>
    <w:multiLevelType w:val="hybridMultilevel"/>
    <w:tmpl w:val="CFCC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56DD8"/>
    <w:multiLevelType w:val="multilevel"/>
    <w:tmpl w:val="9FA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6625D"/>
    <w:multiLevelType w:val="multilevel"/>
    <w:tmpl w:val="C0E81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812993"/>
    <w:multiLevelType w:val="multilevel"/>
    <w:tmpl w:val="2AEAB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F7087"/>
    <w:multiLevelType w:val="multilevel"/>
    <w:tmpl w:val="535E9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25014"/>
    <w:multiLevelType w:val="hybridMultilevel"/>
    <w:tmpl w:val="6A9A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62F4"/>
    <w:multiLevelType w:val="multilevel"/>
    <w:tmpl w:val="0A32A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C6831"/>
    <w:multiLevelType w:val="multilevel"/>
    <w:tmpl w:val="E45AD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B4512"/>
    <w:multiLevelType w:val="hybridMultilevel"/>
    <w:tmpl w:val="1FC4E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9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4D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C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2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D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A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C7EC2"/>
    <w:multiLevelType w:val="hybridMultilevel"/>
    <w:tmpl w:val="FF3AED06"/>
    <w:lvl w:ilvl="0" w:tplc="C63ECB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05920"/>
    <w:multiLevelType w:val="hybridMultilevel"/>
    <w:tmpl w:val="E85804B4"/>
    <w:lvl w:ilvl="0" w:tplc="0C22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F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9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9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F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48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2D38B6"/>
    <w:multiLevelType w:val="hybridMultilevel"/>
    <w:tmpl w:val="DCE26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55E2C"/>
    <w:multiLevelType w:val="hybridMultilevel"/>
    <w:tmpl w:val="1EA2793A"/>
    <w:lvl w:ilvl="0" w:tplc="36C2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4C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D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2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F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4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A7907"/>
    <w:multiLevelType w:val="hybridMultilevel"/>
    <w:tmpl w:val="97EA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6"/>
  </w:num>
  <w:num w:numId="4">
    <w:abstractNumId w:val="12"/>
  </w:num>
  <w:num w:numId="5">
    <w:abstractNumId w:val="4"/>
  </w:num>
  <w:num w:numId="6">
    <w:abstractNumId w:val="25"/>
  </w:num>
  <w:num w:numId="7">
    <w:abstractNumId w:val="7"/>
  </w:num>
  <w:num w:numId="8">
    <w:abstractNumId w:val="17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27"/>
  </w:num>
  <w:num w:numId="14">
    <w:abstractNumId w:val="11"/>
  </w:num>
  <w:num w:numId="15">
    <w:abstractNumId w:val="30"/>
  </w:num>
  <w:num w:numId="16">
    <w:abstractNumId w:val="16"/>
  </w:num>
  <w:num w:numId="17">
    <w:abstractNumId w:val="5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8"/>
  </w:num>
  <w:num w:numId="21">
    <w:abstractNumId w:val="2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3"/>
  </w:num>
  <w:num w:numId="25">
    <w:abstractNumId w:val="18"/>
  </w:num>
  <w:num w:numId="26">
    <w:abstractNumId w:val="26"/>
  </w:num>
  <w:num w:numId="27">
    <w:abstractNumId w:val="20"/>
  </w:num>
  <w:num w:numId="28">
    <w:abstractNumId w:val="9"/>
  </w:num>
  <w:num w:numId="29">
    <w:abstractNumId w:val="35"/>
  </w:num>
  <w:num w:numId="30">
    <w:abstractNumId w:val="14"/>
  </w:num>
  <w:num w:numId="31">
    <w:abstractNumId w:val="22"/>
  </w:num>
  <w:num w:numId="32">
    <w:abstractNumId w:val="1"/>
  </w:num>
  <w:num w:numId="33">
    <w:abstractNumId w:val="23"/>
  </w:num>
  <w:num w:numId="34">
    <w:abstractNumId w:val="19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827"/>
    <w:rsid w:val="00005D37"/>
    <w:rsid w:val="00006E03"/>
    <w:rsid w:val="000075B7"/>
    <w:rsid w:val="00012F0E"/>
    <w:rsid w:val="00017045"/>
    <w:rsid w:val="00017DD3"/>
    <w:rsid w:val="000216DF"/>
    <w:rsid w:val="00021821"/>
    <w:rsid w:val="00025507"/>
    <w:rsid w:val="0004066E"/>
    <w:rsid w:val="0004067C"/>
    <w:rsid w:val="00041CA1"/>
    <w:rsid w:val="00043404"/>
    <w:rsid w:val="00043ADE"/>
    <w:rsid w:val="000457B9"/>
    <w:rsid w:val="00046685"/>
    <w:rsid w:val="000475B1"/>
    <w:rsid w:val="00052EFE"/>
    <w:rsid w:val="000556C1"/>
    <w:rsid w:val="000576C5"/>
    <w:rsid w:val="000577C7"/>
    <w:rsid w:val="00062FA8"/>
    <w:rsid w:val="00064857"/>
    <w:rsid w:val="00065AD3"/>
    <w:rsid w:val="00070E5E"/>
    <w:rsid w:val="0008573A"/>
    <w:rsid w:val="00085950"/>
    <w:rsid w:val="00094FD8"/>
    <w:rsid w:val="00097E55"/>
    <w:rsid w:val="000A065E"/>
    <w:rsid w:val="000A0D6A"/>
    <w:rsid w:val="000A0F1D"/>
    <w:rsid w:val="000A59A0"/>
    <w:rsid w:val="000A7B44"/>
    <w:rsid w:val="000B1C0A"/>
    <w:rsid w:val="000B726B"/>
    <w:rsid w:val="000C2726"/>
    <w:rsid w:val="000C2BCD"/>
    <w:rsid w:val="000D0DB3"/>
    <w:rsid w:val="000D0F2D"/>
    <w:rsid w:val="000D1D52"/>
    <w:rsid w:val="000D23B5"/>
    <w:rsid w:val="000E0994"/>
    <w:rsid w:val="000E409B"/>
    <w:rsid w:val="000E49AC"/>
    <w:rsid w:val="000E5E95"/>
    <w:rsid w:val="000F4D5B"/>
    <w:rsid w:val="000F5939"/>
    <w:rsid w:val="0010052A"/>
    <w:rsid w:val="0010114E"/>
    <w:rsid w:val="00102369"/>
    <w:rsid w:val="0010679E"/>
    <w:rsid w:val="001139FC"/>
    <w:rsid w:val="0011409B"/>
    <w:rsid w:val="001144C3"/>
    <w:rsid w:val="0011549B"/>
    <w:rsid w:val="001258EC"/>
    <w:rsid w:val="00126F23"/>
    <w:rsid w:val="0013138D"/>
    <w:rsid w:val="00134901"/>
    <w:rsid w:val="00136904"/>
    <w:rsid w:val="001449CB"/>
    <w:rsid w:val="00144A5B"/>
    <w:rsid w:val="001455F2"/>
    <w:rsid w:val="00146252"/>
    <w:rsid w:val="001511A4"/>
    <w:rsid w:val="0015328C"/>
    <w:rsid w:val="00157073"/>
    <w:rsid w:val="001579CF"/>
    <w:rsid w:val="00164507"/>
    <w:rsid w:val="001652E5"/>
    <w:rsid w:val="00167E8F"/>
    <w:rsid w:val="00170340"/>
    <w:rsid w:val="001710B3"/>
    <w:rsid w:val="001713A3"/>
    <w:rsid w:val="0018220B"/>
    <w:rsid w:val="00183643"/>
    <w:rsid w:val="00185E9E"/>
    <w:rsid w:val="001878DD"/>
    <w:rsid w:val="00190AEB"/>
    <w:rsid w:val="00191772"/>
    <w:rsid w:val="00192B1A"/>
    <w:rsid w:val="00195199"/>
    <w:rsid w:val="00196311"/>
    <w:rsid w:val="001A3384"/>
    <w:rsid w:val="001A66F1"/>
    <w:rsid w:val="001B07EC"/>
    <w:rsid w:val="001B1C0E"/>
    <w:rsid w:val="001B6B1A"/>
    <w:rsid w:val="001C0E08"/>
    <w:rsid w:val="001C1B5F"/>
    <w:rsid w:val="001C351D"/>
    <w:rsid w:val="001C3DDA"/>
    <w:rsid w:val="001C5178"/>
    <w:rsid w:val="001D2934"/>
    <w:rsid w:val="001D4709"/>
    <w:rsid w:val="001D4950"/>
    <w:rsid w:val="001D4BB5"/>
    <w:rsid w:val="001D4F6E"/>
    <w:rsid w:val="001E57B5"/>
    <w:rsid w:val="001E62BE"/>
    <w:rsid w:val="001F1BC3"/>
    <w:rsid w:val="001F202B"/>
    <w:rsid w:val="001F4C19"/>
    <w:rsid w:val="001F5005"/>
    <w:rsid w:val="001F56D8"/>
    <w:rsid w:val="001F5825"/>
    <w:rsid w:val="00200A5C"/>
    <w:rsid w:val="00200F90"/>
    <w:rsid w:val="00201172"/>
    <w:rsid w:val="00206827"/>
    <w:rsid w:val="00210C78"/>
    <w:rsid w:val="002111CB"/>
    <w:rsid w:val="00213AD5"/>
    <w:rsid w:val="00214718"/>
    <w:rsid w:val="00215E78"/>
    <w:rsid w:val="00215FA9"/>
    <w:rsid w:val="002163A1"/>
    <w:rsid w:val="002254B6"/>
    <w:rsid w:val="0022610F"/>
    <w:rsid w:val="002308C1"/>
    <w:rsid w:val="00231705"/>
    <w:rsid w:val="002416E7"/>
    <w:rsid w:val="00241A1F"/>
    <w:rsid w:val="00241E5A"/>
    <w:rsid w:val="00242A43"/>
    <w:rsid w:val="00243A55"/>
    <w:rsid w:val="002502CB"/>
    <w:rsid w:val="00261BFC"/>
    <w:rsid w:val="002645BA"/>
    <w:rsid w:val="002654B4"/>
    <w:rsid w:val="002655C7"/>
    <w:rsid w:val="00265C65"/>
    <w:rsid w:val="00271228"/>
    <w:rsid w:val="002713FC"/>
    <w:rsid w:val="00273152"/>
    <w:rsid w:val="002813B0"/>
    <w:rsid w:val="002822AC"/>
    <w:rsid w:val="002877D1"/>
    <w:rsid w:val="00290A39"/>
    <w:rsid w:val="00291F01"/>
    <w:rsid w:val="00297F1D"/>
    <w:rsid w:val="002A0EF6"/>
    <w:rsid w:val="002A1110"/>
    <w:rsid w:val="002A3E22"/>
    <w:rsid w:val="002A68B5"/>
    <w:rsid w:val="002B030B"/>
    <w:rsid w:val="002B09A2"/>
    <w:rsid w:val="002B09E8"/>
    <w:rsid w:val="002B152F"/>
    <w:rsid w:val="002B1689"/>
    <w:rsid w:val="002B4272"/>
    <w:rsid w:val="002B48F5"/>
    <w:rsid w:val="002B4B10"/>
    <w:rsid w:val="002C0CF9"/>
    <w:rsid w:val="002C1A7D"/>
    <w:rsid w:val="002C2CDF"/>
    <w:rsid w:val="002C56BD"/>
    <w:rsid w:val="002C622E"/>
    <w:rsid w:val="002D3F69"/>
    <w:rsid w:val="002D48B6"/>
    <w:rsid w:val="002D4EB8"/>
    <w:rsid w:val="002D6DA3"/>
    <w:rsid w:val="002F3534"/>
    <w:rsid w:val="002F3BD2"/>
    <w:rsid w:val="002F5424"/>
    <w:rsid w:val="00300537"/>
    <w:rsid w:val="00305B80"/>
    <w:rsid w:val="00306095"/>
    <w:rsid w:val="00307FDD"/>
    <w:rsid w:val="00311431"/>
    <w:rsid w:val="00313BD9"/>
    <w:rsid w:val="00315230"/>
    <w:rsid w:val="003166C8"/>
    <w:rsid w:val="00316F05"/>
    <w:rsid w:val="00324E6B"/>
    <w:rsid w:val="00329642"/>
    <w:rsid w:val="003300A8"/>
    <w:rsid w:val="00330D15"/>
    <w:rsid w:val="00336420"/>
    <w:rsid w:val="00341984"/>
    <w:rsid w:val="00342577"/>
    <w:rsid w:val="003446CC"/>
    <w:rsid w:val="00346048"/>
    <w:rsid w:val="0035445A"/>
    <w:rsid w:val="00354860"/>
    <w:rsid w:val="00354C15"/>
    <w:rsid w:val="003550DC"/>
    <w:rsid w:val="00360559"/>
    <w:rsid w:val="00361467"/>
    <w:rsid w:val="0036248F"/>
    <w:rsid w:val="00363010"/>
    <w:rsid w:val="00363A77"/>
    <w:rsid w:val="00363EC5"/>
    <w:rsid w:val="0036421F"/>
    <w:rsid w:val="003659BE"/>
    <w:rsid w:val="00365F2F"/>
    <w:rsid w:val="003823F9"/>
    <w:rsid w:val="00383355"/>
    <w:rsid w:val="003841BC"/>
    <w:rsid w:val="003848AD"/>
    <w:rsid w:val="00384AD3"/>
    <w:rsid w:val="0039194F"/>
    <w:rsid w:val="00391FAF"/>
    <w:rsid w:val="003935C5"/>
    <w:rsid w:val="003937D1"/>
    <w:rsid w:val="0039533A"/>
    <w:rsid w:val="003953C8"/>
    <w:rsid w:val="003A2F60"/>
    <w:rsid w:val="003A70B5"/>
    <w:rsid w:val="003A753A"/>
    <w:rsid w:val="003A7ADB"/>
    <w:rsid w:val="003B43E3"/>
    <w:rsid w:val="003C4139"/>
    <w:rsid w:val="003D0F91"/>
    <w:rsid w:val="003D25FA"/>
    <w:rsid w:val="003D335F"/>
    <w:rsid w:val="003F20EE"/>
    <w:rsid w:val="003F3A30"/>
    <w:rsid w:val="00402142"/>
    <w:rsid w:val="00403035"/>
    <w:rsid w:val="00404B36"/>
    <w:rsid w:val="00405677"/>
    <w:rsid w:val="00405D9F"/>
    <w:rsid w:val="0040659C"/>
    <w:rsid w:val="0041210C"/>
    <w:rsid w:val="00412D42"/>
    <w:rsid w:val="004159AD"/>
    <w:rsid w:val="004173F3"/>
    <w:rsid w:val="004202BA"/>
    <w:rsid w:val="004233C3"/>
    <w:rsid w:val="004242A3"/>
    <w:rsid w:val="00424576"/>
    <w:rsid w:val="00425C3E"/>
    <w:rsid w:val="00430805"/>
    <w:rsid w:val="00435E8F"/>
    <w:rsid w:val="00442409"/>
    <w:rsid w:val="00442F66"/>
    <w:rsid w:val="0044545A"/>
    <w:rsid w:val="0044648D"/>
    <w:rsid w:val="00461538"/>
    <w:rsid w:val="004621DF"/>
    <w:rsid w:val="00463F9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95BAB"/>
    <w:rsid w:val="004A0E69"/>
    <w:rsid w:val="004A33E4"/>
    <w:rsid w:val="004A4B97"/>
    <w:rsid w:val="004A669E"/>
    <w:rsid w:val="004A7C2E"/>
    <w:rsid w:val="004B2D72"/>
    <w:rsid w:val="004B3C8A"/>
    <w:rsid w:val="004B559D"/>
    <w:rsid w:val="004C5C80"/>
    <w:rsid w:val="004D040A"/>
    <w:rsid w:val="004D2264"/>
    <w:rsid w:val="004D3915"/>
    <w:rsid w:val="004D3D41"/>
    <w:rsid w:val="004D4CF2"/>
    <w:rsid w:val="004D738E"/>
    <w:rsid w:val="004E060F"/>
    <w:rsid w:val="004E2553"/>
    <w:rsid w:val="004E5697"/>
    <w:rsid w:val="004F2ACF"/>
    <w:rsid w:val="004F5B67"/>
    <w:rsid w:val="004F773E"/>
    <w:rsid w:val="005002A8"/>
    <w:rsid w:val="00501082"/>
    <w:rsid w:val="005010EF"/>
    <w:rsid w:val="00502568"/>
    <w:rsid w:val="00507BF7"/>
    <w:rsid w:val="00511E41"/>
    <w:rsid w:val="00512653"/>
    <w:rsid w:val="005135B4"/>
    <w:rsid w:val="00516A0F"/>
    <w:rsid w:val="005217FC"/>
    <w:rsid w:val="00523CD4"/>
    <w:rsid w:val="00534FF2"/>
    <w:rsid w:val="00535443"/>
    <w:rsid w:val="00536648"/>
    <w:rsid w:val="005430E2"/>
    <w:rsid w:val="005443C6"/>
    <w:rsid w:val="0054573A"/>
    <w:rsid w:val="005463E4"/>
    <w:rsid w:val="005507C1"/>
    <w:rsid w:val="00550804"/>
    <w:rsid w:val="0055308F"/>
    <w:rsid w:val="00554B85"/>
    <w:rsid w:val="00554F3B"/>
    <w:rsid w:val="00555019"/>
    <w:rsid w:val="00563E31"/>
    <w:rsid w:val="00571660"/>
    <w:rsid w:val="00571666"/>
    <w:rsid w:val="00580DFA"/>
    <w:rsid w:val="005810F6"/>
    <w:rsid w:val="00581489"/>
    <w:rsid w:val="00581F4D"/>
    <w:rsid w:val="00585076"/>
    <w:rsid w:val="0058702A"/>
    <w:rsid w:val="0059105D"/>
    <w:rsid w:val="0059178C"/>
    <w:rsid w:val="005956EA"/>
    <w:rsid w:val="00595D74"/>
    <w:rsid w:val="00596375"/>
    <w:rsid w:val="00596C51"/>
    <w:rsid w:val="005A1BF8"/>
    <w:rsid w:val="005A3B13"/>
    <w:rsid w:val="005A3DFB"/>
    <w:rsid w:val="005A4C11"/>
    <w:rsid w:val="005B0DAB"/>
    <w:rsid w:val="005C0EAD"/>
    <w:rsid w:val="005C1013"/>
    <w:rsid w:val="005D013E"/>
    <w:rsid w:val="005D1011"/>
    <w:rsid w:val="005D14AC"/>
    <w:rsid w:val="005D5062"/>
    <w:rsid w:val="005D6B50"/>
    <w:rsid w:val="005E2373"/>
    <w:rsid w:val="005E3535"/>
    <w:rsid w:val="005E4C60"/>
    <w:rsid w:val="005E5C82"/>
    <w:rsid w:val="005F1E55"/>
    <w:rsid w:val="005F2DD8"/>
    <w:rsid w:val="005F4333"/>
    <w:rsid w:val="005F4F8D"/>
    <w:rsid w:val="0060130D"/>
    <w:rsid w:val="00603C4D"/>
    <w:rsid w:val="00603CA0"/>
    <w:rsid w:val="006052D1"/>
    <w:rsid w:val="00607B6C"/>
    <w:rsid w:val="00607C24"/>
    <w:rsid w:val="006146D8"/>
    <w:rsid w:val="00614C61"/>
    <w:rsid w:val="00616885"/>
    <w:rsid w:val="00616E24"/>
    <w:rsid w:val="00620208"/>
    <w:rsid w:val="00622645"/>
    <w:rsid w:val="00630B70"/>
    <w:rsid w:val="00634C74"/>
    <w:rsid w:val="00634EB6"/>
    <w:rsid w:val="00635070"/>
    <w:rsid w:val="00636FC2"/>
    <w:rsid w:val="006375F6"/>
    <w:rsid w:val="00637BA3"/>
    <w:rsid w:val="00646A2F"/>
    <w:rsid w:val="0064770F"/>
    <w:rsid w:val="00652A52"/>
    <w:rsid w:val="00653DA3"/>
    <w:rsid w:val="00656E10"/>
    <w:rsid w:val="00660504"/>
    <w:rsid w:val="00660518"/>
    <w:rsid w:val="00660DA4"/>
    <w:rsid w:val="00663BDC"/>
    <w:rsid w:val="0066458A"/>
    <w:rsid w:val="006646C8"/>
    <w:rsid w:val="00666136"/>
    <w:rsid w:val="006667C0"/>
    <w:rsid w:val="0066789B"/>
    <w:rsid w:val="00671AED"/>
    <w:rsid w:val="00680CCF"/>
    <w:rsid w:val="00681C2D"/>
    <w:rsid w:val="00683F34"/>
    <w:rsid w:val="006850BB"/>
    <w:rsid w:val="00686E2E"/>
    <w:rsid w:val="00691197"/>
    <w:rsid w:val="006925C9"/>
    <w:rsid w:val="00693A38"/>
    <w:rsid w:val="006A0F24"/>
    <w:rsid w:val="006A3461"/>
    <w:rsid w:val="006A3D35"/>
    <w:rsid w:val="006A5EC7"/>
    <w:rsid w:val="006A7692"/>
    <w:rsid w:val="006B60F5"/>
    <w:rsid w:val="006B70A6"/>
    <w:rsid w:val="006C0F45"/>
    <w:rsid w:val="006C11E4"/>
    <w:rsid w:val="006C32D4"/>
    <w:rsid w:val="006C460F"/>
    <w:rsid w:val="006D2826"/>
    <w:rsid w:val="006D4E62"/>
    <w:rsid w:val="006E07CE"/>
    <w:rsid w:val="006E1F5B"/>
    <w:rsid w:val="006E5E0D"/>
    <w:rsid w:val="006F339C"/>
    <w:rsid w:val="006F40C5"/>
    <w:rsid w:val="006F4EC8"/>
    <w:rsid w:val="006F5210"/>
    <w:rsid w:val="006F57AE"/>
    <w:rsid w:val="00701E51"/>
    <w:rsid w:val="0070548F"/>
    <w:rsid w:val="00706995"/>
    <w:rsid w:val="007072FB"/>
    <w:rsid w:val="00711AB6"/>
    <w:rsid w:val="0071297A"/>
    <w:rsid w:val="00713DC9"/>
    <w:rsid w:val="007146EA"/>
    <w:rsid w:val="00714801"/>
    <w:rsid w:val="007155C0"/>
    <w:rsid w:val="00720A67"/>
    <w:rsid w:val="007228F7"/>
    <w:rsid w:val="00722DB2"/>
    <w:rsid w:val="007234D1"/>
    <w:rsid w:val="007256AB"/>
    <w:rsid w:val="00725D86"/>
    <w:rsid w:val="007374CB"/>
    <w:rsid w:val="00737979"/>
    <w:rsid w:val="007409BA"/>
    <w:rsid w:val="00741038"/>
    <w:rsid w:val="00741E12"/>
    <w:rsid w:val="0074422E"/>
    <w:rsid w:val="00750959"/>
    <w:rsid w:val="00750D49"/>
    <w:rsid w:val="00754327"/>
    <w:rsid w:val="00754742"/>
    <w:rsid w:val="00755C81"/>
    <w:rsid w:val="007568E6"/>
    <w:rsid w:val="007569B3"/>
    <w:rsid w:val="00756BF4"/>
    <w:rsid w:val="00757C57"/>
    <w:rsid w:val="00761FD8"/>
    <w:rsid w:val="00763B5B"/>
    <w:rsid w:val="00763C00"/>
    <w:rsid w:val="00765ECA"/>
    <w:rsid w:val="007665E9"/>
    <w:rsid w:val="0077043F"/>
    <w:rsid w:val="00770595"/>
    <w:rsid w:val="007732FB"/>
    <w:rsid w:val="00774BD3"/>
    <w:rsid w:val="00776BBC"/>
    <w:rsid w:val="0077790A"/>
    <w:rsid w:val="00781A42"/>
    <w:rsid w:val="00781F46"/>
    <w:rsid w:val="007840EF"/>
    <w:rsid w:val="00784ACC"/>
    <w:rsid w:val="00784C8F"/>
    <w:rsid w:val="00785F0D"/>
    <w:rsid w:val="00787E2D"/>
    <w:rsid w:val="00791578"/>
    <w:rsid w:val="00792C87"/>
    <w:rsid w:val="00792DC5"/>
    <w:rsid w:val="00793595"/>
    <w:rsid w:val="007951E0"/>
    <w:rsid w:val="00796BE0"/>
    <w:rsid w:val="007979CF"/>
    <w:rsid w:val="007A4459"/>
    <w:rsid w:val="007B04CA"/>
    <w:rsid w:val="007B3EE1"/>
    <w:rsid w:val="007B5827"/>
    <w:rsid w:val="007B6284"/>
    <w:rsid w:val="007C6735"/>
    <w:rsid w:val="007D1CAC"/>
    <w:rsid w:val="007D2CAF"/>
    <w:rsid w:val="007D4D89"/>
    <w:rsid w:val="007E2623"/>
    <w:rsid w:val="007E2E1E"/>
    <w:rsid w:val="007E62A6"/>
    <w:rsid w:val="007E69E7"/>
    <w:rsid w:val="007F363E"/>
    <w:rsid w:val="007F77B6"/>
    <w:rsid w:val="008016C9"/>
    <w:rsid w:val="00803008"/>
    <w:rsid w:val="00807EBF"/>
    <w:rsid w:val="0081038C"/>
    <w:rsid w:val="00812514"/>
    <w:rsid w:val="00812669"/>
    <w:rsid w:val="008126E8"/>
    <w:rsid w:val="00814019"/>
    <w:rsid w:val="008141C1"/>
    <w:rsid w:val="008163FF"/>
    <w:rsid w:val="008218C2"/>
    <w:rsid w:val="008244BB"/>
    <w:rsid w:val="00824A61"/>
    <w:rsid w:val="00826B97"/>
    <w:rsid w:val="0083105B"/>
    <w:rsid w:val="0083108B"/>
    <w:rsid w:val="00831CE9"/>
    <w:rsid w:val="00832A24"/>
    <w:rsid w:val="0083611B"/>
    <w:rsid w:val="00841589"/>
    <w:rsid w:val="00842659"/>
    <w:rsid w:val="00843308"/>
    <w:rsid w:val="00843725"/>
    <w:rsid w:val="00844114"/>
    <w:rsid w:val="00844D0E"/>
    <w:rsid w:val="008475E5"/>
    <w:rsid w:val="008551A3"/>
    <w:rsid w:val="00856EA1"/>
    <w:rsid w:val="008616F0"/>
    <w:rsid w:val="00865C47"/>
    <w:rsid w:val="00867C54"/>
    <w:rsid w:val="00875E69"/>
    <w:rsid w:val="008862AD"/>
    <w:rsid w:val="00891412"/>
    <w:rsid w:val="00893ACB"/>
    <w:rsid w:val="0089434C"/>
    <w:rsid w:val="00896357"/>
    <w:rsid w:val="00896E27"/>
    <w:rsid w:val="00897627"/>
    <w:rsid w:val="008A07BF"/>
    <w:rsid w:val="008A5685"/>
    <w:rsid w:val="008A6FE5"/>
    <w:rsid w:val="008B14B1"/>
    <w:rsid w:val="008C238A"/>
    <w:rsid w:val="008C271F"/>
    <w:rsid w:val="008C5534"/>
    <w:rsid w:val="008C6578"/>
    <w:rsid w:val="008C6F0E"/>
    <w:rsid w:val="008D0443"/>
    <w:rsid w:val="008D140A"/>
    <w:rsid w:val="008D1C58"/>
    <w:rsid w:val="008D4081"/>
    <w:rsid w:val="008D470F"/>
    <w:rsid w:val="008D4E42"/>
    <w:rsid w:val="008D5853"/>
    <w:rsid w:val="008E53BD"/>
    <w:rsid w:val="008E69C1"/>
    <w:rsid w:val="008E732C"/>
    <w:rsid w:val="008F18E7"/>
    <w:rsid w:val="008F57DA"/>
    <w:rsid w:val="008FD222"/>
    <w:rsid w:val="0090018B"/>
    <w:rsid w:val="009005EB"/>
    <w:rsid w:val="00901C88"/>
    <w:rsid w:val="009048AD"/>
    <w:rsid w:val="0090560C"/>
    <w:rsid w:val="0091677E"/>
    <w:rsid w:val="009178B2"/>
    <w:rsid w:val="00917F9D"/>
    <w:rsid w:val="00917FC7"/>
    <w:rsid w:val="00920145"/>
    <w:rsid w:val="009258A2"/>
    <w:rsid w:val="00932810"/>
    <w:rsid w:val="00932C66"/>
    <w:rsid w:val="00933520"/>
    <w:rsid w:val="00936F13"/>
    <w:rsid w:val="00937193"/>
    <w:rsid w:val="00937657"/>
    <w:rsid w:val="00937BC3"/>
    <w:rsid w:val="00944294"/>
    <w:rsid w:val="00946156"/>
    <w:rsid w:val="009468E4"/>
    <w:rsid w:val="00947C0C"/>
    <w:rsid w:val="009539C3"/>
    <w:rsid w:val="009545B7"/>
    <w:rsid w:val="00955888"/>
    <w:rsid w:val="00963449"/>
    <w:rsid w:val="0096377A"/>
    <w:rsid w:val="00965E17"/>
    <w:rsid w:val="0097067C"/>
    <w:rsid w:val="00972AD9"/>
    <w:rsid w:val="009763A8"/>
    <w:rsid w:val="00976F4C"/>
    <w:rsid w:val="009778D0"/>
    <w:rsid w:val="00980EF4"/>
    <w:rsid w:val="00986649"/>
    <w:rsid w:val="00987AF0"/>
    <w:rsid w:val="00992282"/>
    <w:rsid w:val="009948D1"/>
    <w:rsid w:val="0099568D"/>
    <w:rsid w:val="00995DC6"/>
    <w:rsid w:val="00996805"/>
    <w:rsid w:val="009A3F37"/>
    <w:rsid w:val="009A5AD3"/>
    <w:rsid w:val="009A76CD"/>
    <w:rsid w:val="009B0F18"/>
    <w:rsid w:val="009B1F5D"/>
    <w:rsid w:val="009B3502"/>
    <w:rsid w:val="009B4B18"/>
    <w:rsid w:val="009B6184"/>
    <w:rsid w:val="009B7854"/>
    <w:rsid w:val="009B7921"/>
    <w:rsid w:val="009C052E"/>
    <w:rsid w:val="009C1350"/>
    <w:rsid w:val="009C529C"/>
    <w:rsid w:val="009D11E3"/>
    <w:rsid w:val="009D2817"/>
    <w:rsid w:val="009D638D"/>
    <w:rsid w:val="009D6567"/>
    <w:rsid w:val="009E116F"/>
    <w:rsid w:val="009E48AC"/>
    <w:rsid w:val="009E5DE8"/>
    <w:rsid w:val="009F2938"/>
    <w:rsid w:val="009F2C44"/>
    <w:rsid w:val="009F5663"/>
    <w:rsid w:val="009F6317"/>
    <w:rsid w:val="009F7A16"/>
    <w:rsid w:val="00A012A9"/>
    <w:rsid w:val="00A02608"/>
    <w:rsid w:val="00A03941"/>
    <w:rsid w:val="00A0406D"/>
    <w:rsid w:val="00A05813"/>
    <w:rsid w:val="00A05BD5"/>
    <w:rsid w:val="00A11B62"/>
    <w:rsid w:val="00A16419"/>
    <w:rsid w:val="00A179A2"/>
    <w:rsid w:val="00A20194"/>
    <w:rsid w:val="00A232C7"/>
    <w:rsid w:val="00A2674E"/>
    <w:rsid w:val="00A2743A"/>
    <w:rsid w:val="00A31A07"/>
    <w:rsid w:val="00A31E99"/>
    <w:rsid w:val="00A327E4"/>
    <w:rsid w:val="00A37BA6"/>
    <w:rsid w:val="00A37CC3"/>
    <w:rsid w:val="00A40540"/>
    <w:rsid w:val="00A4251A"/>
    <w:rsid w:val="00A4297E"/>
    <w:rsid w:val="00A43A8A"/>
    <w:rsid w:val="00A45FE5"/>
    <w:rsid w:val="00A464FB"/>
    <w:rsid w:val="00A555FD"/>
    <w:rsid w:val="00A64182"/>
    <w:rsid w:val="00A6659A"/>
    <w:rsid w:val="00A669F1"/>
    <w:rsid w:val="00A70FE3"/>
    <w:rsid w:val="00A72D34"/>
    <w:rsid w:val="00A73C30"/>
    <w:rsid w:val="00A76105"/>
    <w:rsid w:val="00A7681B"/>
    <w:rsid w:val="00A83705"/>
    <w:rsid w:val="00A870A7"/>
    <w:rsid w:val="00A9121F"/>
    <w:rsid w:val="00A91FF8"/>
    <w:rsid w:val="00A92437"/>
    <w:rsid w:val="00A925C1"/>
    <w:rsid w:val="00A931F9"/>
    <w:rsid w:val="00A93A5E"/>
    <w:rsid w:val="00A94F83"/>
    <w:rsid w:val="00A954F1"/>
    <w:rsid w:val="00AA2C45"/>
    <w:rsid w:val="00AA46CF"/>
    <w:rsid w:val="00AA4D66"/>
    <w:rsid w:val="00AA53EA"/>
    <w:rsid w:val="00AA55A8"/>
    <w:rsid w:val="00AA69F3"/>
    <w:rsid w:val="00AB42FA"/>
    <w:rsid w:val="00AB5330"/>
    <w:rsid w:val="00AB6D9C"/>
    <w:rsid w:val="00AC1A57"/>
    <w:rsid w:val="00AC1C82"/>
    <w:rsid w:val="00AC355B"/>
    <w:rsid w:val="00AD0AE7"/>
    <w:rsid w:val="00AD2817"/>
    <w:rsid w:val="00AD3989"/>
    <w:rsid w:val="00AD461E"/>
    <w:rsid w:val="00AD493E"/>
    <w:rsid w:val="00AD5212"/>
    <w:rsid w:val="00AD58F2"/>
    <w:rsid w:val="00AE3F34"/>
    <w:rsid w:val="00AE40B7"/>
    <w:rsid w:val="00AF072D"/>
    <w:rsid w:val="00AF0A91"/>
    <w:rsid w:val="00AF2E1F"/>
    <w:rsid w:val="00AF406C"/>
    <w:rsid w:val="00AF6352"/>
    <w:rsid w:val="00B0351F"/>
    <w:rsid w:val="00B05BD8"/>
    <w:rsid w:val="00B05D76"/>
    <w:rsid w:val="00B10B56"/>
    <w:rsid w:val="00B13D27"/>
    <w:rsid w:val="00B14361"/>
    <w:rsid w:val="00B15E7C"/>
    <w:rsid w:val="00B20029"/>
    <w:rsid w:val="00B20D7F"/>
    <w:rsid w:val="00B23AD1"/>
    <w:rsid w:val="00B2626E"/>
    <w:rsid w:val="00B26E87"/>
    <w:rsid w:val="00B325AE"/>
    <w:rsid w:val="00B34968"/>
    <w:rsid w:val="00B3741A"/>
    <w:rsid w:val="00B37922"/>
    <w:rsid w:val="00B406F4"/>
    <w:rsid w:val="00B41861"/>
    <w:rsid w:val="00B45FEF"/>
    <w:rsid w:val="00B46222"/>
    <w:rsid w:val="00B4780E"/>
    <w:rsid w:val="00B51E1B"/>
    <w:rsid w:val="00B60A72"/>
    <w:rsid w:val="00B6230A"/>
    <w:rsid w:val="00B62C58"/>
    <w:rsid w:val="00B65E6C"/>
    <w:rsid w:val="00B717C8"/>
    <w:rsid w:val="00B73D3D"/>
    <w:rsid w:val="00B76CD4"/>
    <w:rsid w:val="00B77FD4"/>
    <w:rsid w:val="00B81971"/>
    <w:rsid w:val="00B8354C"/>
    <w:rsid w:val="00B836AF"/>
    <w:rsid w:val="00B83F08"/>
    <w:rsid w:val="00B84176"/>
    <w:rsid w:val="00B84485"/>
    <w:rsid w:val="00B96287"/>
    <w:rsid w:val="00B9714D"/>
    <w:rsid w:val="00BA1BA6"/>
    <w:rsid w:val="00BA4441"/>
    <w:rsid w:val="00BA6910"/>
    <w:rsid w:val="00BA7399"/>
    <w:rsid w:val="00BB208C"/>
    <w:rsid w:val="00BB31FB"/>
    <w:rsid w:val="00BB5D8F"/>
    <w:rsid w:val="00BB7BB2"/>
    <w:rsid w:val="00BC0B4A"/>
    <w:rsid w:val="00BC43AA"/>
    <w:rsid w:val="00BD01EE"/>
    <w:rsid w:val="00BD2885"/>
    <w:rsid w:val="00BD7402"/>
    <w:rsid w:val="00BE05C1"/>
    <w:rsid w:val="00BE2178"/>
    <w:rsid w:val="00BE513D"/>
    <w:rsid w:val="00BF4ECA"/>
    <w:rsid w:val="00BF65B8"/>
    <w:rsid w:val="00BF7B91"/>
    <w:rsid w:val="00C003E1"/>
    <w:rsid w:val="00C0045D"/>
    <w:rsid w:val="00C0265C"/>
    <w:rsid w:val="00C02E61"/>
    <w:rsid w:val="00C1190E"/>
    <w:rsid w:val="00C17441"/>
    <w:rsid w:val="00C20A80"/>
    <w:rsid w:val="00C24857"/>
    <w:rsid w:val="00C24DBD"/>
    <w:rsid w:val="00C324D3"/>
    <w:rsid w:val="00C34091"/>
    <w:rsid w:val="00C35831"/>
    <w:rsid w:val="00C37E40"/>
    <w:rsid w:val="00C40B81"/>
    <w:rsid w:val="00C40BC3"/>
    <w:rsid w:val="00C41BE1"/>
    <w:rsid w:val="00C46331"/>
    <w:rsid w:val="00C467D0"/>
    <w:rsid w:val="00C4691B"/>
    <w:rsid w:val="00C46D5F"/>
    <w:rsid w:val="00C47267"/>
    <w:rsid w:val="00C47D72"/>
    <w:rsid w:val="00C50181"/>
    <w:rsid w:val="00C50613"/>
    <w:rsid w:val="00C521F2"/>
    <w:rsid w:val="00C52CFA"/>
    <w:rsid w:val="00C538F2"/>
    <w:rsid w:val="00C57023"/>
    <w:rsid w:val="00C57321"/>
    <w:rsid w:val="00C575E0"/>
    <w:rsid w:val="00C57EEE"/>
    <w:rsid w:val="00C64FF9"/>
    <w:rsid w:val="00C65880"/>
    <w:rsid w:val="00C67032"/>
    <w:rsid w:val="00C73264"/>
    <w:rsid w:val="00C7397D"/>
    <w:rsid w:val="00C74991"/>
    <w:rsid w:val="00C750B5"/>
    <w:rsid w:val="00C81220"/>
    <w:rsid w:val="00C81340"/>
    <w:rsid w:val="00C82AC5"/>
    <w:rsid w:val="00C84692"/>
    <w:rsid w:val="00C87116"/>
    <w:rsid w:val="00C8776E"/>
    <w:rsid w:val="00C931B3"/>
    <w:rsid w:val="00C974A6"/>
    <w:rsid w:val="00CA3733"/>
    <w:rsid w:val="00CB0D38"/>
    <w:rsid w:val="00CB3E17"/>
    <w:rsid w:val="00CB51E2"/>
    <w:rsid w:val="00CB70FF"/>
    <w:rsid w:val="00CC0D5A"/>
    <w:rsid w:val="00CC4C0B"/>
    <w:rsid w:val="00CC62B2"/>
    <w:rsid w:val="00CC66FF"/>
    <w:rsid w:val="00CC6C12"/>
    <w:rsid w:val="00CC756F"/>
    <w:rsid w:val="00CD1184"/>
    <w:rsid w:val="00CD28B2"/>
    <w:rsid w:val="00CD2D8F"/>
    <w:rsid w:val="00CD4402"/>
    <w:rsid w:val="00CD6209"/>
    <w:rsid w:val="00CD6BD9"/>
    <w:rsid w:val="00CD7EA6"/>
    <w:rsid w:val="00CE1432"/>
    <w:rsid w:val="00CE5315"/>
    <w:rsid w:val="00CF30B0"/>
    <w:rsid w:val="00CF6332"/>
    <w:rsid w:val="00CF66F0"/>
    <w:rsid w:val="00D00F0A"/>
    <w:rsid w:val="00D01EAA"/>
    <w:rsid w:val="00D0526F"/>
    <w:rsid w:val="00D135F0"/>
    <w:rsid w:val="00D137EA"/>
    <w:rsid w:val="00D1452B"/>
    <w:rsid w:val="00D16527"/>
    <w:rsid w:val="00D1782C"/>
    <w:rsid w:val="00D209A3"/>
    <w:rsid w:val="00D21283"/>
    <w:rsid w:val="00D21C41"/>
    <w:rsid w:val="00D21D82"/>
    <w:rsid w:val="00D2509D"/>
    <w:rsid w:val="00D30E82"/>
    <w:rsid w:val="00D33F22"/>
    <w:rsid w:val="00D37031"/>
    <w:rsid w:val="00D456B8"/>
    <w:rsid w:val="00D46EE8"/>
    <w:rsid w:val="00D51715"/>
    <w:rsid w:val="00D54AED"/>
    <w:rsid w:val="00D61822"/>
    <w:rsid w:val="00D73B50"/>
    <w:rsid w:val="00D73C51"/>
    <w:rsid w:val="00D744BC"/>
    <w:rsid w:val="00D77E70"/>
    <w:rsid w:val="00D800F2"/>
    <w:rsid w:val="00D8217E"/>
    <w:rsid w:val="00D854CB"/>
    <w:rsid w:val="00D875E3"/>
    <w:rsid w:val="00D87AA2"/>
    <w:rsid w:val="00D906AB"/>
    <w:rsid w:val="00D909C3"/>
    <w:rsid w:val="00D9179B"/>
    <w:rsid w:val="00D93DB6"/>
    <w:rsid w:val="00D9488D"/>
    <w:rsid w:val="00D94B1D"/>
    <w:rsid w:val="00DA0A72"/>
    <w:rsid w:val="00DA1886"/>
    <w:rsid w:val="00DA3798"/>
    <w:rsid w:val="00DA5A00"/>
    <w:rsid w:val="00DA6385"/>
    <w:rsid w:val="00DB3947"/>
    <w:rsid w:val="00DB4613"/>
    <w:rsid w:val="00DB5DFB"/>
    <w:rsid w:val="00DC06E3"/>
    <w:rsid w:val="00DC0B31"/>
    <w:rsid w:val="00DC10F4"/>
    <w:rsid w:val="00DD100B"/>
    <w:rsid w:val="00DD1603"/>
    <w:rsid w:val="00DD1D27"/>
    <w:rsid w:val="00DD1E7A"/>
    <w:rsid w:val="00DD2D1D"/>
    <w:rsid w:val="00DD62D8"/>
    <w:rsid w:val="00DD6B0B"/>
    <w:rsid w:val="00DE39A9"/>
    <w:rsid w:val="00DE73A8"/>
    <w:rsid w:val="00DF453C"/>
    <w:rsid w:val="00DF544F"/>
    <w:rsid w:val="00E00E93"/>
    <w:rsid w:val="00E01297"/>
    <w:rsid w:val="00E03398"/>
    <w:rsid w:val="00E03D02"/>
    <w:rsid w:val="00E06DAC"/>
    <w:rsid w:val="00E103C5"/>
    <w:rsid w:val="00E10883"/>
    <w:rsid w:val="00E11954"/>
    <w:rsid w:val="00E128D6"/>
    <w:rsid w:val="00E129E0"/>
    <w:rsid w:val="00E12F87"/>
    <w:rsid w:val="00E15204"/>
    <w:rsid w:val="00E15A7C"/>
    <w:rsid w:val="00E206ED"/>
    <w:rsid w:val="00E25398"/>
    <w:rsid w:val="00E25A6B"/>
    <w:rsid w:val="00E308EC"/>
    <w:rsid w:val="00E3387C"/>
    <w:rsid w:val="00E37224"/>
    <w:rsid w:val="00E37AC4"/>
    <w:rsid w:val="00E417BA"/>
    <w:rsid w:val="00E429C8"/>
    <w:rsid w:val="00E43496"/>
    <w:rsid w:val="00E43720"/>
    <w:rsid w:val="00E466AE"/>
    <w:rsid w:val="00E47D6B"/>
    <w:rsid w:val="00E520CA"/>
    <w:rsid w:val="00E555C3"/>
    <w:rsid w:val="00E609E5"/>
    <w:rsid w:val="00E640A3"/>
    <w:rsid w:val="00E730C5"/>
    <w:rsid w:val="00E76581"/>
    <w:rsid w:val="00E77FAD"/>
    <w:rsid w:val="00E804CE"/>
    <w:rsid w:val="00E852F6"/>
    <w:rsid w:val="00E911BC"/>
    <w:rsid w:val="00E91B1E"/>
    <w:rsid w:val="00E938A1"/>
    <w:rsid w:val="00E93CFB"/>
    <w:rsid w:val="00E94A4F"/>
    <w:rsid w:val="00E95F74"/>
    <w:rsid w:val="00E961C6"/>
    <w:rsid w:val="00EA1367"/>
    <w:rsid w:val="00EA1907"/>
    <w:rsid w:val="00EA2FC3"/>
    <w:rsid w:val="00EA6A4A"/>
    <w:rsid w:val="00EA7868"/>
    <w:rsid w:val="00EB17D8"/>
    <w:rsid w:val="00EB1DC8"/>
    <w:rsid w:val="00EB33A4"/>
    <w:rsid w:val="00EB7B65"/>
    <w:rsid w:val="00EC003F"/>
    <w:rsid w:val="00EC112C"/>
    <w:rsid w:val="00EC2F8B"/>
    <w:rsid w:val="00EC3068"/>
    <w:rsid w:val="00EC3C27"/>
    <w:rsid w:val="00EC56F3"/>
    <w:rsid w:val="00EC6991"/>
    <w:rsid w:val="00EC7A18"/>
    <w:rsid w:val="00EC7B7C"/>
    <w:rsid w:val="00ED1243"/>
    <w:rsid w:val="00ED233A"/>
    <w:rsid w:val="00ED651E"/>
    <w:rsid w:val="00ED7240"/>
    <w:rsid w:val="00ED7872"/>
    <w:rsid w:val="00EE0A55"/>
    <w:rsid w:val="00EE24FC"/>
    <w:rsid w:val="00EE4459"/>
    <w:rsid w:val="00EE6576"/>
    <w:rsid w:val="00EF3838"/>
    <w:rsid w:val="00EF3C80"/>
    <w:rsid w:val="00EF43A4"/>
    <w:rsid w:val="00EF58B4"/>
    <w:rsid w:val="00F01D55"/>
    <w:rsid w:val="00F04445"/>
    <w:rsid w:val="00F071C7"/>
    <w:rsid w:val="00F0768F"/>
    <w:rsid w:val="00F11020"/>
    <w:rsid w:val="00F12B42"/>
    <w:rsid w:val="00F1469B"/>
    <w:rsid w:val="00F15A05"/>
    <w:rsid w:val="00F17AEB"/>
    <w:rsid w:val="00F20F98"/>
    <w:rsid w:val="00F219E5"/>
    <w:rsid w:val="00F2291F"/>
    <w:rsid w:val="00F2396B"/>
    <w:rsid w:val="00F2459A"/>
    <w:rsid w:val="00F25840"/>
    <w:rsid w:val="00F259BE"/>
    <w:rsid w:val="00F26989"/>
    <w:rsid w:val="00F27F99"/>
    <w:rsid w:val="00F30A81"/>
    <w:rsid w:val="00F321E4"/>
    <w:rsid w:val="00F34BE1"/>
    <w:rsid w:val="00F40FEA"/>
    <w:rsid w:val="00F46BAA"/>
    <w:rsid w:val="00F47B52"/>
    <w:rsid w:val="00F47C32"/>
    <w:rsid w:val="00F51BE5"/>
    <w:rsid w:val="00F520BB"/>
    <w:rsid w:val="00F55CDD"/>
    <w:rsid w:val="00F56B5C"/>
    <w:rsid w:val="00F56BD3"/>
    <w:rsid w:val="00F57AD4"/>
    <w:rsid w:val="00F60C84"/>
    <w:rsid w:val="00F634B8"/>
    <w:rsid w:val="00F635EF"/>
    <w:rsid w:val="00F64018"/>
    <w:rsid w:val="00F665DE"/>
    <w:rsid w:val="00F66B73"/>
    <w:rsid w:val="00F71DB4"/>
    <w:rsid w:val="00F74AEF"/>
    <w:rsid w:val="00F7557C"/>
    <w:rsid w:val="00F7575E"/>
    <w:rsid w:val="00F76E32"/>
    <w:rsid w:val="00F878C5"/>
    <w:rsid w:val="00F87B6D"/>
    <w:rsid w:val="00F908A7"/>
    <w:rsid w:val="00F9217F"/>
    <w:rsid w:val="00FA4A94"/>
    <w:rsid w:val="00FA4B46"/>
    <w:rsid w:val="00FA556F"/>
    <w:rsid w:val="00FA7755"/>
    <w:rsid w:val="00FB0D18"/>
    <w:rsid w:val="00FB1F4A"/>
    <w:rsid w:val="00FB46CC"/>
    <w:rsid w:val="00FB5867"/>
    <w:rsid w:val="00FB640A"/>
    <w:rsid w:val="00FB7A44"/>
    <w:rsid w:val="00FC05C5"/>
    <w:rsid w:val="00FC4C0A"/>
    <w:rsid w:val="00FD0FBA"/>
    <w:rsid w:val="00FD2164"/>
    <w:rsid w:val="00FD5A0C"/>
    <w:rsid w:val="00FE3A27"/>
    <w:rsid w:val="00FE7D89"/>
    <w:rsid w:val="00FF111F"/>
    <w:rsid w:val="00FF543C"/>
    <w:rsid w:val="00FF7398"/>
    <w:rsid w:val="015A0EDA"/>
    <w:rsid w:val="01E41F16"/>
    <w:rsid w:val="01EC8A0A"/>
    <w:rsid w:val="020D9986"/>
    <w:rsid w:val="02251226"/>
    <w:rsid w:val="02645A0E"/>
    <w:rsid w:val="0283D1C5"/>
    <w:rsid w:val="02AF659D"/>
    <w:rsid w:val="02C016FF"/>
    <w:rsid w:val="02F28CA2"/>
    <w:rsid w:val="03239DD7"/>
    <w:rsid w:val="03AE2B7E"/>
    <w:rsid w:val="03E41607"/>
    <w:rsid w:val="040C0A0D"/>
    <w:rsid w:val="040C8066"/>
    <w:rsid w:val="04311B04"/>
    <w:rsid w:val="043C2EBD"/>
    <w:rsid w:val="049BAE6F"/>
    <w:rsid w:val="04B802A4"/>
    <w:rsid w:val="050F613C"/>
    <w:rsid w:val="05D2F2E0"/>
    <w:rsid w:val="05E6574A"/>
    <w:rsid w:val="05EB73F7"/>
    <w:rsid w:val="066ECE37"/>
    <w:rsid w:val="06AFA17D"/>
    <w:rsid w:val="06BAD256"/>
    <w:rsid w:val="06E56835"/>
    <w:rsid w:val="077D9F26"/>
    <w:rsid w:val="078E3FA4"/>
    <w:rsid w:val="0818B6BA"/>
    <w:rsid w:val="082127B9"/>
    <w:rsid w:val="08679272"/>
    <w:rsid w:val="087A14EC"/>
    <w:rsid w:val="088611AC"/>
    <w:rsid w:val="088627DE"/>
    <w:rsid w:val="08EB63CA"/>
    <w:rsid w:val="09B4871B"/>
    <w:rsid w:val="0A04F51B"/>
    <w:rsid w:val="0A5044BB"/>
    <w:rsid w:val="0AA78C4C"/>
    <w:rsid w:val="0AEBEAF9"/>
    <w:rsid w:val="0B255A6F"/>
    <w:rsid w:val="0B82C9DC"/>
    <w:rsid w:val="0B9E2A9A"/>
    <w:rsid w:val="0BD2768D"/>
    <w:rsid w:val="0BDE85ED"/>
    <w:rsid w:val="0BF17F16"/>
    <w:rsid w:val="0C172DA4"/>
    <w:rsid w:val="0C4BC542"/>
    <w:rsid w:val="0C6E01D3"/>
    <w:rsid w:val="0C706575"/>
    <w:rsid w:val="0CEDCD26"/>
    <w:rsid w:val="0CF73B96"/>
    <w:rsid w:val="0D239033"/>
    <w:rsid w:val="0D26C6E4"/>
    <w:rsid w:val="0D7AECF0"/>
    <w:rsid w:val="0DEEAF84"/>
    <w:rsid w:val="0E35FB77"/>
    <w:rsid w:val="0E4BF427"/>
    <w:rsid w:val="0E5AED63"/>
    <w:rsid w:val="0E5DDF8F"/>
    <w:rsid w:val="0E7F6FF3"/>
    <w:rsid w:val="0EF1877E"/>
    <w:rsid w:val="0F05D590"/>
    <w:rsid w:val="0F1A4832"/>
    <w:rsid w:val="0FD1FE34"/>
    <w:rsid w:val="0FD3A5AB"/>
    <w:rsid w:val="103E51B8"/>
    <w:rsid w:val="107DCFCA"/>
    <w:rsid w:val="108193FB"/>
    <w:rsid w:val="10A7A5FB"/>
    <w:rsid w:val="10BC14AD"/>
    <w:rsid w:val="111CAB7D"/>
    <w:rsid w:val="11326A9D"/>
    <w:rsid w:val="1132B30F"/>
    <w:rsid w:val="1154D883"/>
    <w:rsid w:val="1171DBF7"/>
    <w:rsid w:val="11AC5231"/>
    <w:rsid w:val="12157B20"/>
    <w:rsid w:val="12771684"/>
    <w:rsid w:val="12DE18FA"/>
    <w:rsid w:val="135D9ABE"/>
    <w:rsid w:val="13856DC2"/>
    <w:rsid w:val="13E18354"/>
    <w:rsid w:val="141C088A"/>
    <w:rsid w:val="14C183C7"/>
    <w:rsid w:val="151D7D00"/>
    <w:rsid w:val="1530B018"/>
    <w:rsid w:val="1541093C"/>
    <w:rsid w:val="156A3C04"/>
    <w:rsid w:val="159CC63F"/>
    <w:rsid w:val="15F10430"/>
    <w:rsid w:val="1672B176"/>
    <w:rsid w:val="168C244F"/>
    <w:rsid w:val="16DD719C"/>
    <w:rsid w:val="16DF67D7"/>
    <w:rsid w:val="170D8D99"/>
    <w:rsid w:val="176E8FEE"/>
    <w:rsid w:val="17811059"/>
    <w:rsid w:val="17C66A0A"/>
    <w:rsid w:val="17D1CB77"/>
    <w:rsid w:val="17DC604A"/>
    <w:rsid w:val="180D32C4"/>
    <w:rsid w:val="182EFA2E"/>
    <w:rsid w:val="184D918C"/>
    <w:rsid w:val="18706EF6"/>
    <w:rsid w:val="1888682A"/>
    <w:rsid w:val="18D809B0"/>
    <w:rsid w:val="18E1FE6F"/>
    <w:rsid w:val="19410272"/>
    <w:rsid w:val="195EB949"/>
    <w:rsid w:val="1975AAE3"/>
    <w:rsid w:val="19AFBA77"/>
    <w:rsid w:val="19BCA1D4"/>
    <w:rsid w:val="1A09A041"/>
    <w:rsid w:val="1A16179D"/>
    <w:rsid w:val="1A5AD7B2"/>
    <w:rsid w:val="1A8CF57B"/>
    <w:rsid w:val="1AA0E7B9"/>
    <w:rsid w:val="1AB710B0"/>
    <w:rsid w:val="1BC8ACBF"/>
    <w:rsid w:val="1C1BB75C"/>
    <w:rsid w:val="1C4EAFF4"/>
    <w:rsid w:val="1C965A0B"/>
    <w:rsid w:val="1CD2F328"/>
    <w:rsid w:val="1CD4F7E2"/>
    <w:rsid w:val="1CE5F978"/>
    <w:rsid w:val="1CEABA9F"/>
    <w:rsid w:val="1D35CEE6"/>
    <w:rsid w:val="1DBA0108"/>
    <w:rsid w:val="1DE12C1A"/>
    <w:rsid w:val="1DEDF9D6"/>
    <w:rsid w:val="1DFC1615"/>
    <w:rsid w:val="1EBD1793"/>
    <w:rsid w:val="1EC7B3EE"/>
    <w:rsid w:val="1EE1C373"/>
    <w:rsid w:val="1F25A78D"/>
    <w:rsid w:val="1F294A14"/>
    <w:rsid w:val="1F83CA57"/>
    <w:rsid w:val="1FD2A70A"/>
    <w:rsid w:val="20043681"/>
    <w:rsid w:val="201228C8"/>
    <w:rsid w:val="20436693"/>
    <w:rsid w:val="205F337E"/>
    <w:rsid w:val="20834BFB"/>
    <w:rsid w:val="20A2EAF2"/>
    <w:rsid w:val="20BA1256"/>
    <w:rsid w:val="20EBECD4"/>
    <w:rsid w:val="21891B03"/>
    <w:rsid w:val="2238BEC9"/>
    <w:rsid w:val="22FA179C"/>
    <w:rsid w:val="237EA4EC"/>
    <w:rsid w:val="23930D78"/>
    <w:rsid w:val="2398721C"/>
    <w:rsid w:val="23CACF98"/>
    <w:rsid w:val="242A8001"/>
    <w:rsid w:val="24307993"/>
    <w:rsid w:val="245F2900"/>
    <w:rsid w:val="2491442C"/>
    <w:rsid w:val="24B76A14"/>
    <w:rsid w:val="255E185F"/>
    <w:rsid w:val="2565BE25"/>
    <w:rsid w:val="25705F8B"/>
    <w:rsid w:val="25C65062"/>
    <w:rsid w:val="25FD504E"/>
    <w:rsid w:val="261B2F80"/>
    <w:rsid w:val="2631B85E"/>
    <w:rsid w:val="26E2B201"/>
    <w:rsid w:val="26FB9B69"/>
    <w:rsid w:val="2723FACB"/>
    <w:rsid w:val="2783C883"/>
    <w:rsid w:val="27AFC17A"/>
    <w:rsid w:val="27CB1C2F"/>
    <w:rsid w:val="283807A7"/>
    <w:rsid w:val="28AAF8C8"/>
    <w:rsid w:val="28B933AE"/>
    <w:rsid w:val="29386D51"/>
    <w:rsid w:val="294B91DB"/>
    <w:rsid w:val="29ADEC18"/>
    <w:rsid w:val="29EA809C"/>
    <w:rsid w:val="2A8666D4"/>
    <w:rsid w:val="2ACE6A84"/>
    <w:rsid w:val="2B42045D"/>
    <w:rsid w:val="2B604230"/>
    <w:rsid w:val="2C5739A6"/>
    <w:rsid w:val="2C6A3AE5"/>
    <w:rsid w:val="2CE303D2"/>
    <w:rsid w:val="2CF2D7C1"/>
    <w:rsid w:val="2D2D80EA"/>
    <w:rsid w:val="2D67F576"/>
    <w:rsid w:val="2D7709E3"/>
    <w:rsid w:val="2DB8578B"/>
    <w:rsid w:val="2DD16247"/>
    <w:rsid w:val="2E060B46"/>
    <w:rsid w:val="2E3D2DBC"/>
    <w:rsid w:val="2E5A4DB8"/>
    <w:rsid w:val="2EBA04B8"/>
    <w:rsid w:val="2F20FF66"/>
    <w:rsid w:val="3037EF88"/>
    <w:rsid w:val="307E7364"/>
    <w:rsid w:val="3088A4D6"/>
    <w:rsid w:val="3111826C"/>
    <w:rsid w:val="312B29BC"/>
    <w:rsid w:val="313DAC08"/>
    <w:rsid w:val="31D48446"/>
    <w:rsid w:val="320F9A62"/>
    <w:rsid w:val="321E93C9"/>
    <w:rsid w:val="32247537"/>
    <w:rsid w:val="3231A91F"/>
    <w:rsid w:val="32349317"/>
    <w:rsid w:val="328A067C"/>
    <w:rsid w:val="33A7C559"/>
    <w:rsid w:val="33D18A97"/>
    <w:rsid w:val="33E192CE"/>
    <w:rsid w:val="3403A2E2"/>
    <w:rsid w:val="34120F96"/>
    <w:rsid w:val="34161E5B"/>
    <w:rsid w:val="352F6577"/>
    <w:rsid w:val="360EF550"/>
    <w:rsid w:val="361CD2F4"/>
    <w:rsid w:val="36E3CA3B"/>
    <w:rsid w:val="36EB56B1"/>
    <w:rsid w:val="3706C585"/>
    <w:rsid w:val="370DC173"/>
    <w:rsid w:val="3726AEE7"/>
    <w:rsid w:val="375D4AB3"/>
    <w:rsid w:val="37A36677"/>
    <w:rsid w:val="37B8A355"/>
    <w:rsid w:val="37CA26F9"/>
    <w:rsid w:val="37DE0178"/>
    <w:rsid w:val="37E2DA25"/>
    <w:rsid w:val="3848D79B"/>
    <w:rsid w:val="387486E3"/>
    <w:rsid w:val="38BDE129"/>
    <w:rsid w:val="38D1234F"/>
    <w:rsid w:val="394145CA"/>
    <w:rsid w:val="39462800"/>
    <w:rsid w:val="395E0685"/>
    <w:rsid w:val="3985A64B"/>
    <w:rsid w:val="39D48D82"/>
    <w:rsid w:val="3A8530AF"/>
    <w:rsid w:val="3B016C99"/>
    <w:rsid w:val="3B34FFE8"/>
    <w:rsid w:val="3B810251"/>
    <w:rsid w:val="3BB73B5E"/>
    <w:rsid w:val="3BCADEAD"/>
    <w:rsid w:val="3BEC7EBA"/>
    <w:rsid w:val="3C5018E0"/>
    <w:rsid w:val="3C7323F1"/>
    <w:rsid w:val="3CA1D107"/>
    <w:rsid w:val="3CC5082F"/>
    <w:rsid w:val="3D01D07E"/>
    <w:rsid w:val="3D373130"/>
    <w:rsid w:val="3D5D5370"/>
    <w:rsid w:val="3D9D0C8E"/>
    <w:rsid w:val="3DD8A1C0"/>
    <w:rsid w:val="3DEF7397"/>
    <w:rsid w:val="3E81E31A"/>
    <w:rsid w:val="3EBEB770"/>
    <w:rsid w:val="3EDB6893"/>
    <w:rsid w:val="3F05507E"/>
    <w:rsid w:val="3F1C2AC4"/>
    <w:rsid w:val="3F29598E"/>
    <w:rsid w:val="3F721B9B"/>
    <w:rsid w:val="3FC58E63"/>
    <w:rsid w:val="3FD8E4AF"/>
    <w:rsid w:val="405A87D1"/>
    <w:rsid w:val="40630B3D"/>
    <w:rsid w:val="4086FA39"/>
    <w:rsid w:val="40ACA740"/>
    <w:rsid w:val="40C95904"/>
    <w:rsid w:val="40EAAD27"/>
    <w:rsid w:val="41804814"/>
    <w:rsid w:val="41A6D26A"/>
    <w:rsid w:val="41AB9662"/>
    <w:rsid w:val="41CB6526"/>
    <w:rsid w:val="41DA70C3"/>
    <w:rsid w:val="422E6A68"/>
    <w:rsid w:val="42843549"/>
    <w:rsid w:val="42D9BA55"/>
    <w:rsid w:val="43B7398A"/>
    <w:rsid w:val="43D75B69"/>
    <w:rsid w:val="4417F5B8"/>
    <w:rsid w:val="441C0F57"/>
    <w:rsid w:val="442AD344"/>
    <w:rsid w:val="445EB51B"/>
    <w:rsid w:val="44CC0A4B"/>
    <w:rsid w:val="44E21007"/>
    <w:rsid w:val="450194A8"/>
    <w:rsid w:val="45037D2A"/>
    <w:rsid w:val="4519F6EA"/>
    <w:rsid w:val="454CF8ED"/>
    <w:rsid w:val="4578E57A"/>
    <w:rsid w:val="45DA2DCD"/>
    <w:rsid w:val="4636C6BD"/>
    <w:rsid w:val="46523A70"/>
    <w:rsid w:val="46588BA9"/>
    <w:rsid w:val="4658DB44"/>
    <w:rsid w:val="46959C83"/>
    <w:rsid w:val="47273CA9"/>
    <w:rsid w:val="47863D41"/>
    <w:rsid w:val="47BE9A19"/>
    <w:rsid w:val="47C5A433"/>
    <w:rsid w:val="47EDB0F8"/>
    <w:rsid w:val="47F9E9B9"/>
    <w:rsid w:val="4802D956"/>
    <w:rsid w:val="48B1C594"/>
    <w:rsid w:val="48BB463C"/>
    <w:rsid w:val="491F7BF4"/>
    <w:rsid w:val="49238267"/>
    <w:rsid w:val="495F82EA"/>
    <w:rsid w:val="49A64805"/>
    <w:rsid w:val="4A2F82FF"/>
    <w:rsid w:val="4A54A4C7"/>
    <w:rsid w:val="4A7E8C1C"/>
    <w:rsid w:val="4ABB23AD"/>
    <w:rsid w:val="4ACF902E"/>
    <w:rsid w:val="4B33F43B"/>
    <w:rsid w:val="4BA527FE"/>
    <w:rsid w:val="4BB8CFAB"/>
    <w:rsid w:val="4BBC2451"/>
    <w:rsid w:val="4BE1EE95"/>
    <w:rsid w:val="4BFCF419"/>
    <w:rsid w:val="4C155C14"/>
    <w:rsid w:val="4CED0F87"/>
    <w:rsid w:val="4D47DC39"/>
    <w:rsid w:val="4D586589"/>
    <w:rsid w:val="4D6D6CCB"/>
    <w:rsid w:val="4D9B52E8"/>
    <w:rsid w:val="4DA581DC"/>
    <w:rsid w:val="4E143B55"/>
    <w:rsid w:val="4E1EDA2C"/>
    <w:rsid w:val="4E4F9F28"/>
    <w:rsid w:val="4E92081F"/>
    <w:rsid w:val="4F3F1CB2"/>
    <w:rsid w:val="4F6CCF2E"/>
    <w:rsid w:val="4F99C240"/>
    <w:rsid w:val="4FCC89AC"/>
    <w:rsid w:val="4FE4B27B"/>
    <w:rsid w:val="502B329F"/>
    <w:rsid w:val="50324E8C"/>
    <w:rsid w:val="506006AA"/>
    <w:rsid w:val="5071B14C"/>
    <w:rsid w:val="50DD57CF"/>
    <w:rsid w:val="51178AD4"/>
    <w:rsid w:val="515E7801"/>
    <w:rsid w:val="51FCED88"/>
    <w:rsid w:val="52131744"/>
    <w:rsid w:val="525C2749"/>
    <w:rsid w:val="52C7CDAD"/>
    <w:rsid w:val="537407B5"/>
    <w:rsid w:val="53A317EB"/>
    <w:rsid w:val="53A3AD54"/>
    <w:rsid w:val="53AEE7A5"/>
    <w:rsid w:val="53E36ABC"/>
    <w:rsid w:val="54415296"/>
    <w:rsid w:val="545950A9"/>
    <w:rsid w:val="54653DBC"/>
    <w:rsid w:val="549C0F50"/>
    <w:rsid w:val="54AA34AB"/>
    <w:rsid w:val="554AB806"/>
    <w:rsid w:val="55C317DE"/>
    <w:rsid w:val="55E28FDB"/>
    <w:rsid w:val="5603FEFC"/>
    <w:rsid w:val="561242D5"/>
    <w:rsid w:val="56A7A49A"/>
    <w:rsid w:val="56FA61F5"/>
    <w:rsid w:val="572BA2A4"/>
    <w:rsid w:val="57D777A7"/>
    <w:rsid w:val="58BA8732"/>
    <w:rsid w:val="593379B6"/>
    <w:rsid w:val="59DA9E19"/>
    <w:rsid w:val="59F3B567"/>
    <w:rsid w:val="5A22E49E"/>
    <w:rsid w:val="5A40A333"/>
    <w:rsid w:val="5A85546D"/>
    <w:rsid w:val="5AB916A3"/>
    <w:rsid w:val="5AFBF186"/>
    <w:rsid w:val="5B2D4FA8"/>
    <w:rsid w:val="5C0AFC61"/>
    <w:rsid w:val="5C0E6812"/>
    <w:rsid w:val="5C348F54"/>
    <w:rsid w:val="5C6EAFF3"/>
    <w:rsid w:val="5D176069"/>
    <w:rsid w:val="5D8E8E43"/>
    <w:rsid w:val="5E6B50C5"/>
    <w:rsid w:val="5EB9EC50"/>
    <w:rsid w:val="5EE178AE"/>
    <w:rsid w:val="5F0E6163"/>
    <w:rsid w:val="5F1117AD"/>
    <w:rsid w:val="5F11D663"/>
    <w:rsid w:val="5FD6D4D3"/>
    <w:rsid w:val="5FEAAA91"/>
    <w:rsid w:val="60576DE4"/>
    <w:rsid w:val="60B45E40"/>
    <w:rsid w:val="60E6B398"/>
    <w:rsid w:val="60EF2295"/>
    <w:rsid w:val="60F0B00D"/>
    <w:rsid w:val="612DA034"/>
    <w:rsid w:val="6143E696"/>
    <w:rsid w:val="615C1AF9"/>
    <w:rsid w:val="616C21FC"/>
    <w:rsid w:val="61867AF2"/>
    <w:rsid w:val="618B6D6A"/>
    <w:rsid w:val="61C2A35C"/>
    <w:rsid w:val="61CB5173"/>
    <w:rsid w:val="61D8F3AD"/>
    <w:rsid w:val="620035D5"/>
    <w:rsid w:val="620F4D82"/>
    <w:rsid w:val="62193156"/>
    <w:rsid w:val="62394484"/>
    <w:rsid w:val="6245A57B"/>
    <w:rsid w:val="6248B86F"/>
    <w:rsid w:val="62DD52D2"/>
    <w:rsid w:val="62DE264D"/>
    <w:rsid w:val="6344EDDA"/>
    <w:rsid w:val="63F4E8CE"/>
    <w:rsid w:val="63F541D9"/>
    <w:rsid w:val="644E1195"/>
    <w:rsid w:val="644EB376"/>
    <w:rsid w:val="64591A17"/>
    <w:rsid w:val="64B3C6B1"/>
    <w:rsid w:val="64CF4C6D"/>
    <w:rsid w:val="64F1C17C"/>
    <w:rsid w:val="652CD6C8"/>
    <w:rsid w:val="6584082E"/>
    <w:rsid w:val="65B526AF"/>
    <w:rsid w:val="66380B3B"/>
    <w:rsid w:val="6640D2FB"/>
    <w:rsid w:val="66DB3849"/>
    <w:rsid w:val="66DFDC95"/>
    <w:rsid w:val="67030135"/>
    <w:rsid w:val="67459A44"/>
    <w:rsid w:val="67A99A1A"/>
    <w:rsid w:val="67AD1EFD"/>
    <w:rsid w:val="67D528AF"/>
    <w:rsid w:val="681E9DC5"/>
    <w:rsid w:val="6856D90E"/>
    <w:rsid w:val="68B552FD"/>
    <w:rsid w:val="68C31C34"/>
    <w:rsid w:val="6926B4F9"/>
    <w:rsid w:val="692B4C05"/>
    <w:rsid w:val="695E6BA1"/>
    <w:rsid w:val="6A39229A"/>
    <w:rsid w:val="6A6EFBA6"/>
    <w:rsid w:val="6ADF4A15"/>
    <w:rsid w:val="6B4E921E"/>
    <w:rsid w:val="6BE5D610"/>
    <w:rsid w:val="6C9377B1"/>
    <w:rsid w:val="6D0D36F1"/>
    <w:rsid w:val="6D353626"/>
    <w:rsid w:val="6D7E2725"/>
    <w:rsid w:val="6DE7F519"/>
    <w:rsid w:val="6E2AE4E3"/>
    <w:rsid w:val="6E3BBF13"/>
    <w:rsid w:val="6E423CEE"/>
    <w:rsid w:val="6E4DF28F"/>
    <w:rsid w:val="6E591574"/>
    <w:rsid w:val="6E97B73F"/>
    <w:rsid w:val="6F3B6919"/>
    <w:rsid w:val="6FDE6E80"/>
    <w:rsid w:val="6FE3AAEA"/>
    <w:rsid w:val="7065104C"/>
    <w:rsid w:val="70A9E37B"/>
    <w:rsid w:val="70CF5DF2"/>
    <w:rsid w:val="70D68E50"/>
    <w:rsid w:val="71424D14"/>
    <w:rsid w:val="7182E482"/>
    <w:rsid w:val="719C777E"/>
    <w:rsid w:val="72497569"/>
    <w:rsid w:val="7264CC2A"/>
    <w:rsid w:val="73169DD3"/>
    <w:rsid w:val="731B4BAC"/>
    <w:rsid w:val="7324E5B6"/>
    <w:rsid w:val="736C559A"/>
    <w:rsid w:val="73B7287C"/>
    <w:rsid w:val="73C4B362"/>
    <w:rsid w:val="740F0E9F"/>
    <w:rsid w:val="74312F0B"/>
    <w:rsid w:val="74A8D352"/>
    <w:rsid w:val="75AADF00"/>
    <w:rsid w:val="75FB0E7D"/>
    <w:rsid w:val="7602AB1B"/>
    <w:rsid w:val="761B61CA"/>
    <w:rsid w:val="76892EE7"/>
    <w:rsid w:val="76973765"/>
    <w:rsid w:val="76A89544"/>
    <w:rsid w:val="76F0E207"/>
    <w:rsid w:val="7739446D"/>
    <w:rsid w:val="7760B1C0"/>
    <w:rsid w:val="77725CD4"/>
    <w:rsid w:val="7775E175"/>
    <w:rsid w:val="77980F0B"/>
    <w:rsid w:val="77B753C3"/>
    <w:rsid w:val="77D6145F"/>
    <w:rsid w:val="77F7632A"/>
    <w:rsid w:val="7800889E"/>
    <w:rsid w:val="7805C4B5"/>
    <w:rsid w:val="7807164A"/>
    <w:rsid w:val="7814441F"/>
    <w:rsid w:val="78B926C8"/>
    <w:rsid w:val="791D7714"/>
    <w:rsid w:val="79965FF6"/>
    <w:rsid w:val="79A3F269"/>
    <w:rsid w:val="79ADBD8D"/>
    <w:rsid w:val="79CED827"/>
    <w:rsid w:val="79EAAC52"/>
    <w:rsid w:val="7A24C8FE"/>
    <w:rsid w:val="7B15B8A0"/>
    <w:rsid w:val="7B32462B"/>
    <w:rsid w:val="7B452209"/>
    <w:rsid w:val="7B596389"/>
    <w:rsid w:val="7B7C0667"/>
    <w:rsid w:val="7B93F9D6"/>
    <w:rsid w:val="7BE75E86"/>
    <w:rsid w:val="7C2FA90D"/>
    <w:rsid w:val="7C4EB79C"/>
    <w:rsid w:val="7CA7B357"/>
    <w:rsid w:val="7CA817EE"/>
    <w:rsid w:val="7CC63E4F"/>
    <w:rsid w:val="7CF4CA1B"/>
    <w:rsid w:val="7D1A7B5A"/>
    <w:rsid w:val="7D2911E9"/>
    <w:rsid w:val="7D3057D6"/>
    <w:rsid w:val="7DAD6869"/>
    <w:rsid w:val="7E753708"/>
    <w:rsid w:val="7E7BFF39"/>
    <w:rsid w:val="7EB8682D"/>
    <w:rsid w:val="7FC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94406678-B839-4C23-AE5A-AF89267F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table" w:customStyle="1" w:styleId="TableStyle-Accent1">
    <w:name w:val="__Table Style-Accent 1"/>
    <w:basedOn w:val="TableNormal"/>
    <w:uiPriority w:val="99"/>
    <w:rsid w:val="006A7692"/>
    <w:pPr>
      <w:spacing w:before="60" w:after="60" w:line="276" w:lineRule="auto"/>
    </w:pPr>
    <w:rPr>
      <w:rFonts w:asciiTheme="majorHAnsi" w:eastAsiaTheme="minorHAnsi" w:hAnsiTheme="majorHAnsi" w:cstheme="minorBidi"/>
      <w:szCs w:val="24"/>
    </w:rPr>
    <w:tblPr>
      <w:tblStyleRowBandSize w:val="1"/>
      <w:tblBorders>
        <w:top w:val="single" w:sz="6" w:space="0" w:color="003462"/>
        <w:left w:val="single" w:sz="6" w:space="0" w:color="003462"/>
        <w:bottom w:val="single" w:sz="6" w:space="0" w:color="003462"/>
        <w:right w:val="single" w:sz="6" w:space="0" w:color="003462"/>
        <w:insideH w:val="single" w:sz="6" w:space="0" w:color="003462"/>
        <w:insideV w:val="single" w:sz="6" w:space="0" w:color="003462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cPr>
        <w:tcBorders>
          <w:top w:val="single" w:sz="6" w:space="0" w:color="FFFFFF" w:themeColor="background1"/>
          <w:left w:val="single" w:sz="6" w:space="0" w:color="003462"/>
          <w:bottom w:val="nil"/>
          <w:right w:val="single" w:sz="6" w:space="0" w:color="003462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3462"/>
        <w:vAlign w:val="bottom"/>
      </w:tcPr>
    </w:tblStylePr>
    <w:tblStylePr w:type="lastRow"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Mention">
    <w:name w:val="Mention"/>
    <w:basedOn w:val="DefaultParagraphFont"/>
    <w:uiPriority w:val="99"/>
    <w:unhideWhenUsed/>
    <w:rsid w:val="006A769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6248F"/>
  </w:style>
  <w:style w:type="paragraph" w:styleId="Revision">
    <w:name w:val="Revision"/>
    <w:hidden/>
    <w:uiPriority w:val="99"/>
    <w:semiHidden/>
    <w:rsid w:val="00652A5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4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bese/docs/fy2022/2021-10/item7.docx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SessionLaws/Acts/2022/Chapter154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308263D-7503-46F2-9536-0001A46D9B8E}">
    <t:Anchor>
      <t:Comment id="653445675"/>
    </t:Anchor>
    <t:History>
      <t:Event id="{A69F0A66-8499-493B-8205-44D7FE66BE96}" time="2022-10-14T12:57:20.954Z">
        <t:Attribution userId="S::lucy.a.wall@mass.gov::fa07faa1-2c68-42e2-a6fd-e0361f5ae0cd" userProvider="AD" userName="Wall, Lucy (DESE)"/>
        <t:Anchor>
          <t:Comment id="40946800"/>
        </t:Anchor>
        <t:Create/>
      </t:Event>
      <t:Event id="{CF89BC64-5CB4-418B-875C-188AC251D12D}" time="2022-10-14T12:57:20.954Z">
        <t:Attribution userId="S::lucy.a.wall@mass.gov::fa07faa1-2c68-42e2-a6fd-e0361f5ae0cd" userProvider="AD" userName="Wall, Lucy (DESE)"/>
        <t:Anchor>
          <t:Comment id="40946800"/>
        </t:Anchor>
        <t:Assign userId="S::Claire.J.Abbott@mass.gov::b80222f3-7abf-41f6-a69e-af06caaffd48" userProvider="AD" userName="Abbott, Claire (DESE)"/>
      </t:Event>
      <t:Event id="{59DAC1C3-7915-4F9A-B706-F07C66604DE3}" time="2022-10-14T12:57:20.954Z">
        <t:Attribution userId="S::lucy.a.wall@mass.gov::fa07faa1-2c68-42e2-a6fd-e0361f5ae0cd" userProvider="AD" userName="Wall, Lucy (DESE)"/>
        <t:Anchor>
          <t:Comment id="40946800"/>
        </t:Anchor>
        <t:SetTitle title="@Abbott, Claire (DESE) Claire - I accepted the proposed edits, and deleted all comments but this one, as it seems to be advice going forward. Do you want to document that somew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  <UserInfo>
        <DisplayName>Losee, Elizabeth (DESE)</DisplayName>
        <AccountId>286</AccountId>
        <AccountType/>
      </UserInfo>
      <UserInfo>
        <DisplayName>Devine, Brian J (DESE)</DisplayName>
        <AccountId>40</AccountId>
        <AccountType/>
      </UserInfo>
      <UserInfo>
        <DisplayName>Abbott, Claire (DESE)</DisplayName>
        <AccountId>39</AccountId>
        <AccountType/>
      </UserInfo>
      <UserInfo>
        <DisplayName>Wall, Lucy (DESE)</DisplayName>
        <AccountId>28</AccountId>
        <AccountType/>
      </UserInfo>
      <UserInfo>
        <DisplayName>Sullivan, Courtney (DESE)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0E445532-1C73-445B-A2F3-A66650A94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831F5-9078-4437-813E-19D8E479F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8B8A3-C11B-45DD-8ED9-FE0619B5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2022 Regular Meeting Item 4b: Proposed Amendments to Educator Licensure Regulations, 603 CMR 7.00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2022 Regular Meeting Item 4b: Proposed Amendments to Educator Licensure Regulations, 603 CMR 7.00</dc:title>
  <dc:subject/>
  <dc:creator>DESE</dc:creator>
  <cp:keywords/>
  <cp:lastModifiedBy>Zou, Dong (EOE)</cp:lastModifiedBy>
  <cp:revision>5</cp:revision>
  <cp:lastPrinted>2021-10-04T06:29:00Z</cp:lastPrinted>
  <dcterms:created xsi:type="dcterms:W3CDTF">2022-10-14T20:16:00Z</dcterms:created>
  <dcterms:modified xsi:type="dcterms:W3CDTF">2022-10-18T22:12:00Z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2022</vt:lpwstr>
  </property>
</Properties>
</file>