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558A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607D747E" w:rsidR="00CF3C41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53933464" w:rsidR="000E5E95" w:rsidRDefault="00DF2948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November </w:t>
            </w:r>
            <w:r w:rsidR="00BF5221">
              <w:t>7</w:t>
            </w:r>
            <w:r>
              <w:t>, 2022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653CB0F0" w:rsidR="000E5E95" w:rsidRPr="007A22FF" w:rsidRDefault="00231C4D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Family Engagement: Review of October 28, </w:t>
            </w:r>
            <w:r>
              <w:rPr>
                <w:rStyle w:val="contextualspellingandgrammarerror"/>
                <w:color w:val="000000"/>
                <w:shd w:val="clear" w:color="auto" w:fill="FFFFFF"/>
              </w:rPr>
              <w:t>2022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Summit and Next Steps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FA174EB" w14:textId="1930F270" w:rsidR="0039533A" w:rsidRDefault="0039533A" w:rsidP="00DF2948"/>
    <w:p w14:paraId="5AA8CACF" w14:textId="077C251D" w:rsidR="00D94E9F" w:rsidRPr="00CA7E9B" w:rsidRDefault="00231C4D" w:rsidP="0081020E">
      <w:pPr>
        <w:tabs>
          <w:tab w:val="left" w:pos="5964"/>
        </w:tabs>
        <w:rPr>
          <w:color w:val="000000"/>
          <w:szCs w:val="24"/>
        </w:rPr>
      </w:pPr>
      <w:r w:rsidRPr="00CA7E9B">
        <w:rPr>
          <w:szCs w:val="24"/>
        </w:rPr>
        <w:t xml:space="preserve">As </w:t>
      </w:r>
      <w:r w:rsidR="00EF4B7E" w:rsidRPr="00CA7E9B">
        <w:rPr>
          <w:szCs w:val="24"/>
        </w:rPr>
        <w:t xml:space="preserve">previewed </w:t>
      </w:r>
      <w:r w:rsidRPr="00CA7E9B">
        <w:rPr>
          <w:szCs w:val="24"/>
        </w:rPr>
        <w:t xml:space="preserve">at </w:t>
      </w:r>
      <w:r w:rsidR="006547F8">
        <w:rPr>
          <w:szCs w:val="24"/>
        </w:rPr>
        <w:t>last month’s</w:t>
      </w:r>
      <w:r w:rsidRPr="00CA7E9B">
        <w:rPr>
          <w:szCs w:val="24"/>
        </w:rPr>
        <w:t xml:space="preserve"> Board </w:t>
      </w:r>
      <w:r w:rsidR="00893825">
        <w:rPr>
          <w:szCs w:val="24"/>
        </w:rPr>
        <w:t>m</w:t>
      </w:r>
      <w:r w:rsidRPr="00CA7E9B">
        <w:rPr>
          <w:szCs w:val="24"/>
        </w:rPr>
        <w:t xml:space="preserve">eeting, on </w:t>
      </w:r>
      <w:r w:rsidR="00D94E9F" w:rsidRPr="00CA7E9B">
        <w:rPr>
          <w:color w:val="000000"/>
          <w:szCs w:val="24"/>
        </w:rPr>
        <w:t xml:space="preserve">October 28, </w:t>
      </w:r>
      <w:r w:rsidR="0081020E" w:rsidRPr="00CA7E9B">
        <w:rPr>
          <w:color w:val="000000"/>
          <w:szCs w:val="24"/>
        </w:rPr>
        <w:t xml:space="preserve">2022 </w:t>
      </w:r>
      <w:r w:rsidR="00D94E9F" w:rsidRPr="00CA7E9B">
        <w:rPr>
          <w:color w:val="000000"/>
          <w:szCs w:val="24"/>
        </w:rPr>
        <w:t>more than 400 family members, educators, administrators</w:t>
      </w:r>
      <w:r w:rsidR="00867AB4">
        <w:rPr>
          <w:color w:val="000000"/>
          <w:szCs w:val="24"/>
        </w:rPr>
        <w:t>,</w:t>
      </w:r>
      <w:r w:rsidR="00D94E9F" w:rsidRPr="00CA7E9B">
        <w:rPr>
          <w:color w:val="000000"/>
          <w:szCs w:val="24"/>
        </w:rPr>
        <w:t xml:space="preserve"> and state organizations participated in the</w:t>
      </w:r>
      <w:r w:rsidR="00EF4B7E" w:rsidRPr="00CA7E9B">
        <w:rPr>
          <w:color w:val="000000"/>
          <w:szCs w:val="24"/>
        </w:rPr>
        <w:t xml:space="preserve"> </w:t>
      </w:r>
      <w:r w:rsidR="00D94E9F" w:rsidRPr="00CA7E9B">
        <w:rPr>
          <w:i/>
          <w:iCs/>
          <w:color w:val="000000"/>
          <w:szCs w:val="24"/>
        </w:rPr>
        <w:t xml:space="preserve">Better Together: Strengthening Family School Partnership </w:t>
      </w:r>
      <w:r w:rsidR="00D94E9F" w:rsidRPr="00CA7E9B">
        <w:rPr>
          <w:color w:val="000000"/>
          <w:szCs w:val="24"/>
        </w:rPr>
        <w:t>summit in Sturbridge</w:t>
      </w:r>
      <w:r w:rsidR="00867AB4">
        <w:rPr>
          <w:color w:val="000000"/>
          <w:szCs w:val="24"/>
        </w:rPr>
        <w:t>, organized by the Department</w:t>
      </w:r>
      <w:r w:rsidR="004F3E5A">
        <w:rPr>
          <w:color w:val="000000"/>
          <w:szCs w:val="24"/>
        </w:rPr>
        <w:t xml:space="preserve"> of Elementary and Secondary Education</w:t>
      </w:r>
      <w:r w:rsidR="00867AB4">
        <w:rPr>
          <w:color w:val="000000"/>
          <w:szCs w:val="24"/>
        </w:rPr>
        <w:t xml:space="preserve"> and numerous partners</w:t>
      </w:r>
      <w:r w:rsidR="00D94E9F" w:rsidRPr="00CA7E9B">
        <w:rPr>
          <w:color w:val="000000"/>
          <w:szCs w:val="24"/>
        </w:rPr>
        <w:t>. The summit was an opportunity to foster an understanding of family engagement and model strategies for creating and strengthening meaningful partnerships between schools, families</w:t>
      </w:r>
      <w:r w:rsidR="004F3E5A">
        <w:rPr>
          <w:color w:val="000000"/>
          <w:szCs w:val="24"/>
        </w:rPr>
        <w:t>,</w:t>
      </w:r>
      <w:r w:rsidR="00D94E9F" w:rsidRPr="00CA7E9B">
        <w:rPr>
          <w:color w:val="000000"/>
          <w:szCs w:val="24"/>
        </w:rPr>
        <w:t xml:space="preserve"> and community organizations.</w:t>
      </w:r>
    </w:p>
    <w:p w14:paraId="18794097" w14:textId="77777777" w:rsidR="00D94E9F" w:rsidRPr="00CA7E9B" w:rsidRDefault="00D94E9F" w:rsidP="00D94E9F">
      <w:pPr>
        <w:pStyle w:val="NormalWeb"/>
        <w:spacing w:before="0" w:beforeAutospacing="0" w:after="0" w:afterAutospacing="0"/>
        <w:rPr>
          <w:color w:val="000000"/>
        </w:rPr>
      </w:pPr>
    </w:p>
    <w:p w14:paraId="7EAFAF14" w14:textId="40A87059" w:rsidR="00D94E9F" w:rsidRPr="00CA7E9B" w:rsidRDefault="00912C69" w:rsidP="00D94E9F">
      <w:pPr>
        <w:pStyle w:val="NormalWeb"/>
        <w:spacing w:before="0" w:beforeAutospacing="0" w:after="0" w:afterAutospacing="0"/>
      </w:pPr>
      <w:r>
        <w:rPr>
          <w:color w:val="000000"/>
        </w:rPr>
        <w:t>Twenty-nine</w:t>
      </w:r>
      <w:r w:rsidR="0068723A" w:rsidRPr="00CA7E9B">
        <w:rPr>
          <w:color w:val="000000"/>
        </w:rPr>
        <w:t xml:space="preserve"> </w:t>
      </w:r>
      <w:r w:rsidR="00EF4B7E" w:rsidRPr="00CA7E9B">
        <w:rPr>
          <w:color w:val="000000"/>
        </w:rPr>
        <w:t xml:space="preserve">school </w:t>
      </w:r>
      <w:r w:rsidR="00D94E9F" w:rsidRPr="00CA7E9B">
        <w:rPr>
          <w:color w:val="000000"/>
        </w:rPr>
        <w:t>districts</w:t>
      </w:r>
      <w:r w:rsidR="0068723A" w:rsidRPr="00CA7E9B">
        <w:rPr>
          <w:color w:val="000000"/>
        </w:rPr>
        <w:t xml:space="preserve"> </w:t>
      </w:r>
      <w:r w:rsidR="00D94E9F" w:rsidRPr="00CA7E9B">
        <w:rPr>
          <w:color w:val="000000"/>
        </w:rPr>
        <w:t xml:space="preserve">sent family school partnership teams to the event. </w:t>
      </w:r>
      <w:r w:rsidR="00D80CA7" w:rsidRPr="00CA7E9B">
        <w:rPr>
          <w:color w:val="000000"/>
        </w:rPr>
        <w:t xml:space="preserve">The day included </w:t>
      </w:r>
      <w:r w:rsidR="00D94E9F" w:rsidRPr="00CA7E9B">
        <w:rPr>
          <w:color w:val="000000"/>
        </w:rPr>
        <w:t>keynote addresses from Deputy Commissioner Regina Robinson</w:t>
      </w:r>
      <w:r w:rsidR="0068723A" w:rsidRPr="00CA7E9B">
        <w:rPr>
          <w:color w:val="000000"/>
        </w:rPr>
        <w:t xml:space="preserve"> and </w:t>
      </w:r>
      <w:proofErr w:type="gramStart"/>
      <w:r w:rsidR="0068723A" w:rsidRPr="00CA7E9B">
        <w:rPr>
          <w:color w:val="000000"/>
        </w:rPr>
        <w:t>myself</w:t>
      </w:r>
      <w:proofErr w:type="gramEnd"/>
      <w:r w:rsidR="00D94E9F" w:rsidRPr="00CA7E9B">
        <w:rPr>
          <w:color w:val="000000"/>
        </w:rPr>
        <w:t xml:space="preserve">, </w:t>
      </w:r>
      <w:r w:rsidR="00881F6A" w:rsidRPr="00CA7E9B">
        <w:rPr>
          <w:color w:val="000000"/>
        </w:rPr>
        <w:t xml:space="preserve">and a workshop session led by Board </w:t>
      </w:r>
      <w:r w:rsidR="00893825">
        <w:rPr>
          <w:color w:val="000000"/>
        </w:rPr>
        <w:t>m</w:t>
      </w:r>
      <w:r w:rsidR="00881F6A" w:rsidRPr="00CA7E9B">
        <w:rPr>
          <w:color w:val="000000"/>
        </w:rPr>
        <w:t xml:space="preserve">ember </w:t>
      </w:r>
      <w:r w:rsidR="00E42F9F" w:rsidRPr="00CA7E9B">
        <w:rPr>
          <w:color w:val="000000"/>
        </w:rPr>
        <w:t xml:space="preserve">Mary Ann </w:t>
      </w:r>
      <w:r w:rsidR="00881F6A" w:rsidRPr="00CA7E9B">
        <w:rPr>
          <w:color w:val="000000"/>
        </w:rPr>
        <w:t>Stewart</w:t>
      </w:r>
      <w:r w:rsidR="00E42F9F" w:rsidRPr="00CA7E9B">
        <w:rPr>
          <w:color w:val="000000"/>
        </w:rPr>
        <w:t>. P</w:t>
      </w:r>
      <w:r w:rsidR="00D94E9F" w:rsidRPr="00CA7E9B">
        <w:rPr>
          <w:color w:val="000000"/>
        </w:rPr>
        <w:t xml:space="preserve">articipants joined </w:t>
      </w:r>
      <w:r w:rsidR="00E42F9F" w:rsidRPr="00CA7E9B">
        <w:rPr>
          <w:color w:val="000000"/>
        </w:rPr>
        <w:t xml:space="preserve">a total of </w:t>
      </w:r>
      <w:r w:rsidR="00D94E9F" w:rsidRPr="00CA7E9B">
        <w:rPr>
          <w:color w:val="000000"/>
        </w:rPr>
        <w:t xml:space="preserve">37 workshops focused on a wide range of effective family partnership practices, including tapping family members as literacy advocates, improving school family communication, the new IEP </w:t>
      </w:r>
      <w:r w:rsidR="004F3E5A">
        <w:rPr>
          <w:color w:val="000000"/>
        </w:rPr>
        <w:t xml:space="preserve">improvement </w:t>
      </w:r>
      <w:r w:rsidR="00D94E9F" w:rsidRPr="00CA7E9B">
        <w:rPr>
          <w:color w:val="000000"/>
        </w:rPr>
        <w:t xml:space="preserve">project initiative, strategies for supporting multilingual families, leveraging social media for family partnership, and many more. More than 40 family members and educators also joined a special session facilitated by the Department where they shared their thoughts on the future of learning in Massachusetts. To see pictures and social media posts from the day, visit Twitter </w:t>
      </w:r>
      <w:hyperlink r:id="rId12" w:history="1">
        <w:r w:rsidR="00D94E9F" w:rsidRPr="00CA7E9B">
          <w:rPr>
            <w:rStyle w:val="Hyperlink"/>
            <w:color w:val="1155CC"/>
          </w:rPr>
          <w:t>#SchoolFamilyMA</w:t>
        </w:r>
      </w:hyperlink>
      <w:r w:rsidR="00D94E9F" w:rsidRPr="00CA7E9B">
        <w:rPr>
          <w:color w:val="000000"/>
        </w:rPr>
        <w:t xml:space="preserve">. The Department’s Office of Student and Family Support will continue to </w:t>
      </w:r>
      <w:hyperlink r:id="rId13" w:history="1">
        <w:r w:rsidR="00D94E9F" w:rsidRPr="00CA7E9B">
          <w:rPr>
            <w:rStyle w:val="Hyperlink"/>
            <w:color w:val="1155CC"/>
          </w:rPr>
          <w:t>provide ongoing support</w:t>
        </w:r>
      </w:hyperlink>
      <w:r w:rsidR="00D94E9F" w:rsidRPr="00CA7E9B">
        <w:rPr>
          <w:color w:val="000000"/>
        </w:rPr>
        <w:t xml:space="preserve"> to districts interested in deepening family partnerships.</w:t>
      </w:r>
    </w:p>
    <w:p w14:paraId="34DC8462" w14:textId="55313221" w:rsidR="00D94E9F" w:rsidRPr="00CA7E9B" w:rsidRDefault="00D94E9F" w:rsidP="00D94E9F">
      <w:pPr>
        <w:rPr>
          <w:szCs w:val="24"/>
        </w:rPr>
      </w:pPr>
    </w:p>
    <w:p w14:paraId="17FF1B50" w14:textId="3E911456" w:rsidR="0081020E" w:rsidRPr="00E8723D" w:rsidRDefault="00867AB4" w:rsidP="0081020E">
      <w:pPr>
        <w:tabs>
          <w:tab w:val="left" w:pos="5964"/>
        </w:tabs>
        <w:rPr>
          <w:i/>
          <w:iCs/>
          <w:szCs w:val="24"/>
        </w:rPr>
      </w:pPr>
      <w:r>
        <w:rPr>
          <w:szCs w:val="24"/>
        </w:rPr>
        <w:t>The day focused on ways to strengthen family engagement</w:t>
      </w:r>
      <w:r w:rsidR="002439E0">
        <w:rPr>
          <w:szCs w:val="24"/>
        </w:rPr>
        <w:t xml:space="preserve">, </w:t>
      </w:r>
      <w:r w:rsidR="006A0515">
        <w:rPr>
          <w:szCs w:val="24"/>
        </w:rPr>
        <w:t xml:space="preserve">with this Department </w:t>
      </w:r>
      <w:r w:rsidR="002439E0">
        <w:rPr>
          <w:szCs w:val="24"/>
        </w:rPr>
        <w:t>defin</w:t>
      </w:r>
      <w:r w:rsidR="006A0515">
        <w:rPr>
          <w:szCs w:val="24"/>
        </w:rPr>
        <w:t xml:space="preserve">ition in mind: </w:t>
      </w:r>
      <w:r w:rsidR="0081020E" w:rsidRPr="00E8723D">
        <w:rPr>
          <w:i/>
          <w:iCs/>
          <w:szCs w:val="24"/>
        </w:rPr>
        <w:t xml:space="preserve">Family engagement builds relationships between students, families, educators, and the community. These relationships over time develop into meaningful partnerships rooted in the strengths and assets of all. </w:t>
      </w:r>
    </w:p>
    <w:p w14:paraId="30C77F64" w14:textId="77777777" w:rsidR="0081020E" w:rsidRPr="00E8723D" w:rsidRDefault="0081020E" w:rsidP="0081020E">
      <w:pPr>
        <w:tabs>
          <w:tab w:val="left" w:pos="5964"/>
        </w:tabs>
        <w:rPr>
          <w:i/>
          <w:iCs/>
          <w:szCs w:val="24"/>
        </w:rPr>
      </w:pPr>
    </w:p>
    <w:p w14:paraId="706EE310" w14:textId="3183EA2B" w:rsidR="0081020E" w:rsidRPr="00E8723D" w:rsidRDefault="0081020E" w:rsidP="0081020E">
      <w:pPr>
        <w:pStyle w:val="ListParagraph"/>
        <w:numPr>
          <w:ilvl w:val="0"/>
          <w:numId w:val="26"/>
        </w:numPr>
        <w:tabs>
          <w:tab w:val="left" w:pos="5964"/>
        </w:tabs>
        <w:contextualSpacing/>
        <w:rPr>
          <w:rFonts w:eastAsia="Times New Roman"/>
          <w:i/>
          <w:iCs/>
        </w:rPr>
      </w:pPr>
      <w:r w:rsidRPr="00E8723D">
        <w:rPr>
          <w:rFonts w:eastAsia="Times New Roman"/>
          <w:i/>
          <w:iCs/>
        </w:rPr>
        <w:t>Family engagement is an intentional, authentic, respectful, and equal partnership between educators and families with the ultimate goal of positive results for children and youth</w:t>
      </w:r>
      <w:r w:rsidR="004F3E5A">
        <w:rPr>
          <w:rFonts w:eastAsia="Times New Roman"/>
          <w:i/>
          <w:iCs/>
        </w:rPr>
        <w:t>.</w:t>
      </w:r>
    </w:p>
    <w:p w14:paraId="6909BE71" w14:textId="062B03B6" w:rsidR="0081020E" w:rsidRPr="00E8723D" w:rsidRDefault="0081020E" w:rsidP="0081020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i/>
          <w:iCs/>
          <w:szCs w:val="24"/>
        </w:rPr>
      </w:pPr>
      <w:r w:rsidRPr="00E8723D">
        <w:rPr>
          <w:i/>
          <w:iCs/>
          <w:color w:val="000000" w:themeColor="text1"/>
          <w:szCs w:val="24"/>
        </w:rPr>
        <w:t>Effective family engagement is culturally responsive, collaborative, equitable, and respectful of famil</w:t>
      </w:r>
      <w:r w:rsidR="004F3E5A">
        <w:rPr>
          <w:i/>
          <w:iCs/>
          <w:color w:val="000000" w:themeColor="text1"/>
          <w:szCs w:val="24"/>
        </w:rPr>
        <w:t>ies</w:t>
      </w:r>
      <w:r w:rsidRPr="00E8723D">
        <w:rPr>
          <w:i/>
          <w:iCs/>
          <w:color w:val="000000" w:themeColor="text1"/>
          <w:szCs w:val="24"/>
        </w:rPr>
        <w:t>' diverse languages, norms, and values.</w:t>
      </w:r>
    </w:p>
    <w:p w14:paraId="35DBE8F7" w14:textId="77777777" w:rsidR="0081020E" w:rsidRPr="00E8723D" w:rsidRDefault="0081020E" w:rsidP="0081020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i/>
          <w:iCs/>
          <w:szCs w:val="24"/>
        </w:rPr>
      </w:pPr>
      <w:r w:rsidRPr="00E8723D">
        <w:rPr>
          <w:i/>
          <w:iCs/>
          <w:color w:val="000000"/>
          <w:szCs w:val="24"/>
        </w:rPr>
        <w:t>Effective engagement strives to eliminate barriers to participation.</w:t>
      </w:r>
    </w:p>
    <w:p w14:paraId="5085257E" w14:textId="77777777" w:rsidR="0081020E" w:rsidRPr="00E8723D" w:rsidRDefault="0081020E" w:rsidP="0081020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i/>
          <w:iCs/>
          <w:szCs w:val="24"/>
        </w:rPr>
      </w:pPr>
      <w:r w:rsidRPr="00E8723D">
        <w:rPr>
          <w:i/>
          <w:iCs/>
          <w:color w:val="000000"/>
          <w:szCs w:val="24"/>
        </w:rPr>
        <w:lastRenderedPageBreak/>
        <w:t>These engagement practices take place in schools, in the community, and wherever students and their family live and learn.</w:t>
      </w:r>
      <w:bookmarkStart w:id="5" w:name="_heading=h.gjdgxs" w:colFirst="0" w:colLast="0"/>
      <w:bookmarkEnd w:id="5"/>
    </w:p>
    <w:p w14:paraId="5B5CF3BA" w14:textId="77777777" w:rsidR="0081020E" w:rsidRPr="00CA7E9B" w:rsidRDefault="0081020E" w:rsidP="00D94E9F">
      <w:pPr>
        <w:rPr>
          <w:szCs w:val="24"/>
        </w:rPr>
      </w:pPr>
    </w:p>
    <w:p w14:paraId="0ACF6FA8" w14:textId="77777777" w:rsidR="00D94E9F" w:rsidRPr="00CA7E9B" w:rsidRDefault="00D94E9F" w:rsidP="00D94E9F">
      <w:pPr>
        <w:rPr>
          <w:b/>
          <w:bCs/>
          <w:szCs w:val="24"/>
        </w:rPr>
      </w:pPr>
      <w:r w:rsidRPr="00CA7E9B">
        <w:rPr>
          <w:b/>
          <w:bCs/>
          <w:szCs w:val="24"/>
        </w:rPr>
        <w:t>Supporting Families and School Districts After the Summit</w:t>
      </w:r>
    </w:p>
    <w:p w14:paraId="52FB4185" w14:textId="62DB1F66" w:rsidR="00D94E9F" w:rsidRPr="00CA7E9B" w:rsidRDefault="00D94E9F" w:rsidP="00D94E9F">
      <w:pPr>
        <w:pStyle w:val="NormalWeb"/>
        <w:shd w:val="clear" w:color="auto" w:fill="FFFFFF"/>
        <w:spacing w:before="0" w:beforeAutospacing="0"/>
        <w:rPr>
          <w:color w:val="222222"/>
        </w:rPr>
      </w:pPr>
      <w:r w:rsidRPr="00CA7E9B">
        <w:rPr>
          <w:color w:val="222222"/>
        </w:rPr>
        <w:t>Family and community engagement is an integral part of the federal Every Student Succeeds Act (ESSA)</w:t>
      </w:r>
      <w:r w:rsidR="009D096B">
        <w:rPr>
          <w:color w:val="222222"/>
        </w:rPr>
        <w:t xml:space="preserve">, and can be deeply woven into </w:t>
      </w:r>
      <w:r w:rsidR="009D45E2">
        <w:rPr>
          <w:color w:val="222222"/>
        </w:rPr>
        <w:t xml:space="preserve">the design of </w:t>
      </w:r>
      <w:r w:rsidR="009D096B">
        <w:rPr>
          <w:color w:val="222222"/>
        </w:rPr>
        <w:t>all educational initiatives</w:t>
      </w:r>
      <w:r w:rsidRPr="00CA7E9B">
        <w:rPr>
          <w:color w:val="222222"/>
        </w:rPr>
        <w:t>. Schools and districts</w:t>
      </w:r>
      <w:r w:rsidR="0089580C" w:rsidRPr="00CA7E9B">
        <w:rPr>
          <w:color w:val="222222"/>
        </w:rPr>
        <w:t xml:space="preserve"> </w:t>
      </w:r>
      <w:r w:rsidR="009D45E2">
        <w:rPr>
          <w:color w:val="222222"/>
        </w:rPr>
        <w:t xml:space="preserve">are expected to </w:t>
      </w:r>
      <w:r w:rsidRPr="00CA7E9B">
        <w:rPr>
          <w:color w:val="222222"/>
        </w:rPr>
        <w:t xml:space="preserve">actively engage families and community members in </w:t>
      </w:r>
      <w:r w:rsidR="004F3E5A">
        <w:rPr>
          <w:color w:val="222222"/>
        </w:rPr>
        <w:t xml:space="preserve">developing </w:t>
      </w:r>
      <w:r w:rsidRPr="00CA7E9B">
        <w:rPr>
          <w:color w:val="222222"/>
        </w:rPr>
        <w:t>state and local education plans for the use of funds including </w:t>
      </w:r>
      <w:hyperlink r:id="rId14" w:history="1">
        <w:r w:rsidRPr="00CA7E9B">
          <w:rPr>
            <w:rStyle w:val="Hyperlink"/>
            <w:color w:val="0060C7"/>
          </w:rPr>
          <w:t xml:space="preserve">Federal </w:t>
        </w:r>
        <w:r w:rsidR="004F3E5A">
          <w:rPr>
            <w:rStyle w:val="Hyperlink"/>
            <w:color w:val="0060C7"/>
          </w:rPr>
          <w:t>g</w:t>
        </w:r>
        <w:r w:rsidRPr="00CA7E9B">
          <w:rPr>
            <w:rStyle w:val="Hyperlink"/>
            <w:color w:val="0060C7"/>
          </w:rPr>
          <w:t>rants such as Title I, Part A</w:t>
        </w:r>
      </w:hyperlink>
      <w:r w:rsidRPr="00CA7E9B">
        <w:rPr>
          <w:color w:val="222222"/>
        </w:rPr>
        <w:t xml:space="preserve"> that provides financial assistance to districts and schools with high numbers or high percentages of children from low-income families. </w:t>
      </w:r>
      <w:r w:rsidR="009D45E2">
        <w:rPr>
          <w:color w:val="222222"/>
        </w:rPr>
        <w:t>Additionally, s</w:t>
      </w:r>
      <w:r w:rsidRPr="00CA7E9B">
        <w:rPr>
          <w:color w:val="222222"/>
        </w:rPr>
        <w:t xml:space="preserve">chools </w:t>
      </w:r>
      <w:r w:rsidR="009D45E2">
        <w:rPr>
          <w:color w:val="222222"/>
        </w:rPr>
        <w:t xml:space="preserve">are required to </w:t>
      </w:r>
      <w:r w:rsidRPr="00CA7E9B">
        <w:rPr>
          <w:color w:val="222222"/>
        </w:rPr>
        <w:t>partner with stakeholders including families in the development of school improvement plans for </w:t>
      </w:r>
      <w:hyperlink r:id="rId15" w:history="1">
        <w:r w:rsidRPr="00CA7E9B">
          <w:rPr>
            <w:rStyle w:val="Hyperlink"/>
            <w:color w:val="0060C7"/>
          </w:rPr>
          <w:t>schools identified for support and improvement</w:t>
        </w:r>
      </w:hyperlink>
      <w:r w:rsidRPr="00CA7E9B">
        <w:rPr>
          <w:color w:val="222222"/>
        </w:rPr>
        <w:t> under ESSA.</w:t>
      </w:r>
    </w:p>
    <w:p w14:paraId="0C0D5BB8" w14:textId="4846C990" w:rsidR="00D94E9F" w:rsidRPr="00CA7E9B" w:rsidRDefault="00A4174A" w:rsidP="00D94E9F">
      <w:pPr>
        <w:rPr>
          <w:szCs w:val="24"/>
        </w:rPr>
      </w:pPr>
      <w:r>
        <w:rPr>
          <w:szCs w:val="24"/>
        </w:rPr>
        <w:t xml:space="preserve">Below are examples of </w:t>
      </w:r>
      <w:r w:rsidR="00D94E9F" w:rsidRPr="00CA7E9B">
        <w:rPr>
          <w:szCs w:val="24"/>
        </w:rPr>
        <w:t xml:space="preserve">resources and supports </w:t>
      </w:r>
      <w:r w:rsidR="004F3E5A">
        <w:rPr>
          <w:szCs w:val="24"/>
        </w:rPr>
        <w:t xml:space="preserve">that the Department </w:t>
      </w:r>
      <w:r w:rsidR="00A00C6A">
        <w:rPr>
          <w:szCs w:val="24"/>
        </w:rPr>
        <w:t xml:space="preserve">is providing, sponsoring, and promoting in partnership with other organizations, to </w:t>
      </w:r>
      <w:r w:rsidR="00D94E9F" w:rsidRPr="00CA7E9B">
        <w:rPr>
          <w:szCs w:val="24"/>
        </w:rPr>
        <w:t>help families and school districts deepen family school partnerships.</w:t>
      </w:r>
      <w:r w:rsidR="004F3E5A">
        <w:rPr>
          <w:szCs w:val="24"/>
        </w:rPr>
        <w:t xml:space="preserve"> </w:t>
      </w:r>
      <w:r w:rsidR="00F22FA0">
        <w:rPr>
          <w:szCs w:val="24"/>
        </w:rPr>
        <w:t xml:space="preserve">Updated information </w:t>
      </w:r>
      <w:r w:rsidR="00951EEF">
        <w:rPr>
          <w:szCs w:val="24"/>
        </w:rPr>
        <w:t xml:space="preserve">regarding these resources will be available this fall on </w:t>
      </w:r>
      <w:r w:rsidR="00374BB4">
        <w:rPr>
          <w:szCs w:val="24"/>
        </w:rPr>
        <w:t xml:space="preserve">the Student and Family Support’s </w:t>
      </w:r>
      <w:hyperlink r:id="rId16" w:history="1">
        <w:r w:rsidR="00374BB4" w:rsidRPr="00374BB4">
          <w:rPr>
            <w:rStyle w:val="Hyperlink"/>
            <w:szCs w:val="24"/>
          </w:rPr>
          <w:t>Family Engagement webpage</w:t>
        </w:r>
      </w:hyperlink>
      <w:r w:rsidR="00374BB4">
        <w:rPr>
          <w:szCs w:val="24"/>
        </w:rPr>
        <w:t>.</w:t>
      </w:r>
    </w:p>
    <w:p w14:paraId="7784517F" w14:textId="287FE7A8" w:rsidR="00D94E9F" w:rsidRDefault="00D94E9F" w:rsidP="00D94E9F">
      <w:pPr>
        <w:rPr>
          <w:szCs w:val="24"/>
        </w:rPr>
      </w:pPr>
    </w:p>
    <w:p w14:paraId="4DE6DBEA" w14:textId="12BEE880" w:rsidR="007A4F3B" w:rsidRPr="004715B1" w:rsidRDefault="007A4F3B" w:rsidP="00D94E9F">
      <w:pPr>
        <w:rPr>
          <w:b/>
          <w:bCs/>
          <w:szCs w:val="24"/>
        </w:rPr>
      </w:pPr>
      <w:r w:rsidRPr="004715B1">
        <w:rPr>
          <w:b/>
          <w:bCs/>
          <w:szCs w:val="24"/>
        </w:rPr>
        <w:t>Professional Development</w:t>
      </w:r>
      <w:r w:rsidR="004715B1" w:rsidRPr="004715B1">
        <w:rPr>
          <w:b/>
          <w:bCs/>
          <w:szCs w:val="24"/>
        </w:rPr>
        <w:t>, Training, Networking,</w:t>
      </w:r>
      <w:r w:rsidRPr="004715B1">
        <w:rPr>
          <w:b/>
          <w:bCs/>
          <w:szCs w:val="24"/>
        </w:rPr>
        <w:t xml:space="preserve"> and </w:t>
      </w:r>
      <w:r w:rsidR="004715B1" w:rsidRPr="004715B1">
        <w:rPr>
          <w:b/>
          <w:bCs/>
          <w:szCs w:val="24"/>
        </w:rPr>
        <w:t>C</w:t>
      </w:r>
      <w:r w:rsidRPr="004715B1">
        <w:rPr>
          <w:b/>
          <w:bCs/>
          <w:szCs w:val="24"/>
        </w:rPr>
        <w:t>onsultation</w:t>
      </w:r>
    </w:p>
    <w:p w14:paraId="29DFFBE9" w14:textId="1A92DACA" w:rsidR="00D94E9F" w:rsidRPr="00CA7E9B" w:rsidRDefault="00D94E9F" w:rsidP="00D94E9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Cs w:val="24"/>
        </w:rPr>
      </w:pPr>
      <w:r w:rsidRPr="00CA7E9B">
        <w:rPr>
          <w:b/>
          <w:color w:val="000000"/>
          <w:szCs w:val="24"/>
        </w:rPr>
        <w:t xml:space="preserve">Family Engagement Professional Development and Networking Series: </w:t>
      </w:r>
      <w:r w:rsidRPr="00CA7E9B">
        <w:rPr>
          <w:color w:val="000000"/>
          <w:szCs w:val="24"/>
        </w:rPr>
        <w:t>Regular opportunities are offered throughout the school</w:t>
      </w:r>
      <w:r w:rsidR="004F3E5A">
        <w:rPr>
          <w:color w:val="000000"/>
          <w:szCs w:val="24"/>
        </w:rPr>
        <w:t xml:space="preserve"> </w:t>
      </w:r>
      <w:r w:rsidRPr="00CA7E9B">
        <w:rPr>
          <w:color w:val="000000"/>
          <w:szCs w:val="24"/>
        </w:rPr>
        <w:t>year for family liaisons, coordinators, and other staff leading family engagement work to connect and learn together.</w:t>
      </w:r>
      <w:r w:rsidRPr="00CA7E9B">
        <w:rPr>
          <w:b/>
          <w:color w:val="000000"/>
          <w:szCs w:val="24"/>
        </w:rPr>
        <w:t xml:space="preserve"> </w:t>
      </w:r>
    </w:p>
    <w:p w14:paraId="10CFDBBC" w14:textId="744710CA" w:rsidR="00D94E9F" w:rsidRPr="00CA7E9B" w:rsidRDefault="00D94E9F" w:rsidP="00D94E9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Cs w:val="24"/>
        </w:rPr>
      </w:pPr>
      <w:r w:rsidRPr="00CA7E9B">
        <w:rPr>
          <w:b/>
          <w:bCs/>
          <w:color w:val="000000" w:themeColor="text1"/>
          <w:szCs w:val="24"/>
        </w:rPr>
        <w:t>Massachusetts Family Institute for Student Success (FISS)</w:t>
      </w:r>
      <w:r w:rsidRPr="00CA7E9B">
        <w:rPr>
          <w:color w:val="000000" w:themeColor="text1"/>
          <w:szCs w:val="24"/>
        </w:rPr>
        <w:t>: An in-depth training opportunity for teachers, administrators</w:t>
      </w:r>
      <w:r w:rsidR="004F3E5A">
        <w:rPr>
          <w:color w:val="000000" w:themeColor="text1"/>
          <w:szCs w:val="24"/>
        </w:rPr>
        <w:t>,</w:t>
      </w:r>
      <w:r w:rsidRPr="00CA7E9B">
        <w:rPr>
          <w:color w:val="000000" w:themeColor="text1"/>
          <w:szCs w:val="24"/>
        </w:rPr>
        <w:t xml:space="preserve"> and community partners (9 hours + follow-along training opportunities) </w:t>
      </w:r>
      <w:r w:rsidR="004715B1">
        <w:rPr>
          <w:color w:val="000000" w:themeColor="text1"/>
          <w:szCs w:val="24"/>
        </w:rPr>
        <w:t>w</w:t>
      </w:r>
      <w:r w:rsidRPr="00CA7E9B">
        <w:rPr>
          <w:color w:val="000000" w:themeColor="text1"/>
          <w:szCs w:val="24"/>
        </w:rPr>
        <w:t>ill be provided this school year. FISS promotes cultural and linguistically responsive two-way communication that elevates family voices to support systemic change.</w:t>
      </w:r>
    </w:p>
    <w:p w14:paraId="112D76B8" w14:textId="77777777" w:rsidR="00D94E9F" w:rsidRPr="00CA7E9B" w:rsidRDefault="00D94E9F" w:rsidP="00D94E9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Cs w:val="24"/>
        </w:rPr>
      </w:pPr>
      <w:r w:rsidRPr="00CA7E9B">
        <w:rPr>
          <w:b/>
          <w:color w:val="000000"/>
          <w:szCs w:val="24"/>
        </w:rPr>
        <w:t>Massachusetts Family School Partnership Initiative (FSPI)</w:t>
      </w:r>
      <w:r w:rsidRPr="00CA7E9B">
        <w:rPr>
          <w:color w:val="000000"/>
          <w:szCs w:val="24"/>
        </w:rPr>
        <w:t xml:space="preserve">: FSPI is a highly supported opportunity for district teams to use the </w:t>
      </w:r>
      <w:r w:rsidRPr="00CA7E9B">
        <w:rPr>
          <w:i/>
          <w:color w:val="000000"/>
          <w:szCs w:val="24"/>
        </w:rPr>
        <w:t>Massachusetts Family, School and Community Partnership Fundamentals</w:t>
      </w:r>
      <w:r w:rsidRPr="00CA7E9B">
        <w:rPr>
          <w:color w:val="000000"/>
          <w:szCs w:val="24"/>
        </w:rPr>
        <w:t xml:space="preserve"> and stakeholder feedback to reflect on family partnership strengths, opportunities, and priorities. </w:t>
      </w:r>
    </w:p>
    <w:p w14:paraId="183025E5" w14:textId="3C892598" w:rsidR="00D94E9F" w:rsidRPr="00CA7E9B" w:rsidRDefault="00D94E9F" w:rsidP="00D94E9F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Cs w:val="24"/>
        </w:rPr>
      </w:pPr>
      <w:r w:rsidRPr="00CA7E9B">
        <w:rPr>
          <w:b/>
          <w:color w:val="000000"/>
          <w:szCs w:val="24"/>
        </w:rPr>
        <w:t>Parent and Community Education and Involvement Advisory Council (PCEIAC):</w:t>
      </w:r>
      <w:r w:rsidRPr="00CA7E9B">
        <w:rPr>
          <w:color w:val="000000"/>
          <w:szCs w:val="24"/>
        </w:rPr>
        <w:t xml:space="preserve"> The PCEIAC provides family members and family engagement coordinators an opportunity to inform and advise the Department on policy issues related to student success. </w:t>
      </w:r>
    </w:p>
    <w:p w14:paraId="53957A41" w14:textId="4B55E795" w:rsidR="007A4F3B" w:rsidRPr="00CF3C41" w:rsidRDefault="00D94E9F" w:rsidP="00CF3C41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Cs w:val="24"/>
        </w:rPr>
      </w:pPr>
      <w:r w:rsidRPr="00CA7E9B">
        <w:rPr>
          <w:b/>
          <w:color w:val="000000"/>
          <w:szCs w:val="24"/>
        </w:rPr>
        <w:t>Massachusetts Statewide Family Engagement Center</w:t>
      </w:r>
      <w:r w:rsidRPr="00CA7E9B">
        <w:rPr>
          <w:color w:val="000000"/>
          <w:szCs w:val="24"/>
        </w:rPr>
        <w:t xml:space="preserve"> </w:t>
      </w:r>
      <w:r w:rsidRPr="00CA7E9B">
        <w:rPr>
          <w:b/>
          <w:color w:val="000000"/>
          <w:szCs w:val="24"/>
        </w:rPr>
        <w:t>Train the Trainers (</w:t>
      </w:r>
      <w:proofErr w:type="spellStart"/>
      <w:r w:rsidRPr="00CA7E9B">
        <w:rPr>
          <w:b/>
          <w:color w:val="000000"/>
          <w:szCs w:val="24"/>
        </w:rPr>
        <w:t>ToT</w:t>
      </w:r>
      <w:proofErr w:type="spellEnd"/>
      <w:r w:rsidRPr="00CA7E9B">
        <w:rPr>
          <w:b/>
          <w:color w:val="000000"/>
          <w:szCs w:val="24"/>
        </w:rPr>
        <w:t>):</w:t>
      </w:r>
      <w:r w:rsidRPr="00CA7E9B">
        <w:rPr>
          <w:color w:val="000000"/>
          <w:szCs w:val="24"/>
        </w:rPr>
        <w:t xml:space="preserve"> Through our Statewide Family Engagement Center (SFEC) grant,  training for educators, healthcare providers, child development professionals</w:t>
      </w:r>
      <w:r w:rsidR="00A00C6A">
        <w:rPr>
          <w:color w:val="000000"/>
          <w:szCs w:val="24"/>
        </w:rPr>
        <w:t>,</w:t>
      </w:r>
      <w:r w:rsidRPr="00CA7E9B">
        <w:rPr>
          <w:color w:val="000000"/>
          <w:szCs w:val="24"/>
        </w:rPr>
        <w:t xml:space="preserve"> and other youth-serving community organizations interested in developing a community-wide, cross-agency approach to family engagement is available to foster understanding of our state’s </w:t>
      </w:r>
      <w:hyperlink r:id="rId17" w:history="1">
        <w:r w:rsidRPr="00CA7E9B">
          <w:rPr>
            <w:rStyle w:val="Hyperlink"/>
            <w:szCs w:val="24"/>
          </w:rPr>
          <w:t>family engagement framework</w:t>
        </w:r>
      </w:hyperlink>
      <w:r w:rsidRPr="00CA7E9B">
        <w:rPr>
          <w:color w:val="000000"/>
          <w:szCs w:val="24"/>
        </w:rPr>
        <w:t xml:space="preserve"> and build meaningful school, family</w:t>
      </w:r>
      <w:r w:rsidR="00A00C6A">
        <w:rPr>
          <w:color w:val="000000"/>
          <w:szCs w:val="24"/>
        </w:rPr>
        <w:t>,</w:t>
      </w:r>
      <w:r w:rsidRPr="00CA7E9B">
        <w:rPr>
          <w:color w:val="000000"/>
          <w:szCs w:val="24"/>
        </w:rPr>
        <w:t xml:space="preserve"> and community partnerships.</w:t>
      </w:r>
    </w:p>
    <w:p w14:paraId="1DC15FF6" w14:textId="77777777" w:rsidR="0024409F" w:rsidRDefault="0024409F" w:rsidP="007A4F3B">
      <w:pPr>
        <w:tabs>
          <w:tab w:val="left" w:pos="5964"/>
        </w:tabs>
        <w:rPr>
          <w:b/>
          <w:szCs w:val="24"/>
        </w:rPr>
      </w:pPr>
    </w:p>
    <w:p w14:paraId="5A95FF58" w14:textId="77777777" w:rsidR="0024409F" w:rsidRDefault="0024409F" w:rsidP="007A4F3B">
      <w:pPr>
        <w:tabs>
          <w:tab w:val="left" w:pos="5964"/>
        </w:tabs>
        <w:rPr>
          <w:b/>
          <w:szCs w:val="24"/>
        </w:rPr>
      </w:pPr>
    </w:p>
    <w:p w14:paraId="70470420" w14:textId="77777777" w:rsidR="0024409F" w:rsidRDefault="0024409F" w:rsidP="007A4F3B">
      <w:pPr>
        <w:tabs>
          <w:tab w:val="left" w:pos="5964"/>
        </w:tabs>
        <w:rPr>
          <w:b/>
          <w:szCs w:val="24"/>
        </w:rPr>
      </w:pPr>
    </w:p>
    <w:p w14:paraId="2CB09E65" w14:textId="4771B559" w:rsidR="00D94E9F" w:rsidRPr="00AA23DA" w:rsidRDefault="00D94E9F" w:rsidP="007A4F3B">
      <w:pPr>
        <w:tabs>
          <w:tab w:val="left" w:pos="5964"/>
        </w:tabs>
        <w:rPr>
          <w:b/>
          <w:szCs w:val="24"/>
        </w:rPr>
      </w:pPr>
      <w:r w:rsidRPr="00AA23DA">
        <w:rPr>
          <w:b/>
          <w:szCs w:val="24"/>
        </w:rPr>
        <w:lastRenderedPageBreak/>
        <w:t>Featured Tools</w:t>
      </w:r>
    </w:p>
    <w:p w14:paraId="0EB949F5" w14:textId="77777777" w:rsidR="00D94E9F" w:rsidRPr="00CA7E9B" w:rsidRDefault="009663BA" w:rsidP="00D94E9F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hyperlink r:id="rId18">
        <w:r w:rsidR="00D94E9F" w:rsidRPr="00CA7E9B">
          <w:rPr>
            <w:color w:val="0563C1"/>
            <w:szCs w:val="24"/>
            <w:u w:val="single"/>
          </w:rPr>
          <w:t>The Prenatal through Young Adulthood Family Engagement Framework for Massachusetts</w:t>
        </w:r>
      </w:hyperlink>
      <w:r w:rsidR="00D94E9F" w:rsidRPr="00CA7E9B">
        <w:rPr>
          <w:color w:val="000000"/>
          <w:szCs w:val="24"/>
        </w:rPr>
        <w:t xml:space="preserve"> (a framework promoting family engagement that includes education, </w:t>
      </w:r>
      <w:proofErr w:type="gramStart"/>
      <w:r w:rsidR="00D94E9F" w:rsidRPr="00CA7E9B">
        <w:rPr>
          <w:color w:val="000000"/>
          <w:szCs w:val="24"/>
        </w:rPr>
        <w:t>health</w:t>
      </w:r>
      <w:proofErr w:type="gramEnd"/>
      <w:r w:rsidR="00D94E9F" w:rsidRPr="00CA7E9B">
        <w:rPr>
          <w:color w:val="000000"/>
          <w:szCs w:val="24"/>
        </w:rPr>
        <w:t xml:space="preserve"> and human service sectors)</w:t>
      </w:r>
    </w:p>
    <w:p w14:paraId="7556F77E" w14:textId="77777777" w:rsidR="00D94E9F" w:rsidRPr="00CA7E9B" w:rsidRDefault="009663BA" w:rsidP="00D94E9F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hyperlink r:id="rId19">
        <w:r w:rsidR="00D94E9F" w:rsidRPr="00CA7E9B">
          <w:rPr>
            <w:color w:val="0563C1"/>
            <w:szCs w:val="24"/>
            <w:u w:val="single"/>
          </w:rPr>
          <w:t>Family, School and Community Partnership Fundamentals Self-Assessment Version 2.0</w:t>
        </w:r>
      </w:hyperlink>
      <w:r w:rsidR="00D94E9F" w:rsidRPr="00CA7E9B">
        <w:rPr>
          <w:color w:val="000000"/>
          <w:szCs w:val="24"/>
        </w:rPr>
        <w:t xml:space="preserve"> (reflection tool for educators, </w:t>
      </w:r>
      <w:proofErr w:type="gramStart"/>
      <w:r w:rsidR="00D94E9F" w:rsidRPr="00CA7E9B">
        <w:rPr>
          <w:color w:val="000000"/>
          <w:szCs w:val="24"/>
        </w:rPr>
        <w:t>school</w:t>
      </w:r>
      <w:proofErr w:type="gramEnd"/>
      <w:r w:rsidR="00D94E9F" w:rsidRPr="00CA7E9B">
        <w:rPr>
          <w:color w:val="000000"/>
          <w:szCs w:val="24"/>
        </w:rPr>
        <w:t xml:space="preserve"> and district administrators)</w:t>
      </w:r>
    </w:p>
    <w:p w14:paraId="2461A585" w14:textId="77777777" w:rsidR="00D94E9F" w:rsidRPr="00CA7E9B" w:rsidRDefault="009663BA" w:rsidP="00D94E9F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hyperlink r:id="rId20">
        <w:r w:rsidR="00D94E9F" w:rsidRPr="00CA7E9B">
          <w:rPr>
            <w:color w:val="0563C1"/>
            <w:szCs w:val="24"/>
            <w:u w:val="single"/>
          </w:rPr>
          <w:t>DESE Family Portal</w:t>
        </w:r>
      </w:hyperlink>
      <w:r w:rsidR="00D94E9F" w:rsidRPr="00CA7E9B">
        <w:rPr>
          <w:color w:val="000000"/>
          <w:szCs w:val="24"/>
        </w:rPr>
        <w:t xml:space="preserve"> (School Finder, Grade Level Learning Guides for Families in different languages, etc.)</w:t>
      </w:r>
    </w:p>
    <w:p w14:paraId="5117A5D3" w14:textId="68854C1B" w:rsidR="00D94E9F" w:rsidRPr="00CA7E9B" w:rsidRDefault="00D94E9F" w:rsidP="00D94E9F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r w:rsidRPr="00CA7E9B">
        <w:rPr>
          <w:color w:val="000000"/>
          <w:szCs w:val="24"/>
        </w:rPr>
        <w:t xml:space="preserve">New tools </w:t>
      </w:r>
      <w:r w:rsidR="00C12FEB">
        <w:rPr>
          <w:color w:val="000000"/>
          <w:szCs w:val="24"/>
        </w:rPr>
        <w:t>in development</w:t>
      </w:r>
      <w:r w:rsidRPr="00CA7E9B">
        <w:rPr>
          <w:color w:val="000000"/>
          <w:szCs w:val="24"/>
        </w:rPr>
        <w:t xml:space="preserve">: </w:t>
      </w:r>
    </w:p>
    <w:p w14:paraId="13416692" w14:textId="77777777" w:rsidR="00D94E9F" w:rsidRPr="00CA7E9B" w:rsidRDefault="00D94E9F" w:rsidP="00D94E9F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r w:rsidRPr="00CA7E9B">
        <w:rPr>
          <w:color w:val="000000"/>
          <w:szCs w:val="24"/>
        </w:rPr>
        <w:t>Family-Friendly Communication Guide</w:t>
      </w:r>
    </w:p>
    <w:p w14:paraId="4F08BD7D" w14:textId="77777777" w:rsidR="00D94E9F" w:rsidRPr="00CA7E9B" w:rsidRDefault="00D94E9F" w:rsidP="00D94E9F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r w:rsidRPr="00CA7E9B">
        <w:rPr>
          <w:color w:val="000000"/>
          <w:szCs w:val="24"/>
        </w:rPr>
        <w:t>Social Media Toolkit for Family-Led Groups and District Staff</w:t>
      </w:r>
    </w:p>
    <w:p w14:paraId="1D5A4512" w14:textId="77777777" w:rsidR="00D94E9F" w:rsidRPr="00CA7E9B" w:rsidRDefault="00D94E9F" w:rsidP="00D94E9F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4"/>
        </w:tabs>
        <w:spacing w:before="120" w:after="120"/>
        <w:rPr>
          <w:szCs w:val="24"/>
        </w:rPr>
      </w:pPr>
      <w:r w:rsidRPr="00CA7E9B">
        <w:rPr>
          <w:i/>
          <w:color w:val="000000"/>
          <w:szCs w:val="24"/>
        </w:rPr>
        <w:t>Better Together: Massachusetts Family School Partnership Fundamentals</w:t>
      </w:r>
      <w:r w:rsidRPr="00CA7E9B">
        <w:rPr>
          <w:color w:val="000000"/>
          <w:szCs w:val="24"/>
        </w:rPr>
        <w:t xml:space="preserve"> Online Training Module for educators</w:t>
      </w:r>
    </w:p>
    <w:p w14:paraId="05D17826" w14:textId="5CC5888A" w:rsidR="00D94E9F" w:rsidRDefault="00D94E9F" w:rsidP="00DF2948"/>
    <w:p w14:paraId="21140315" w14:textId="3A823056" w:rsidR="00C12FEB" w:rsidRDefault="00912C69" w:rsidP="00DF2948">
      <w:r>
        <w:t xml:space="preserve">Department staff, including </w:t>
      </w:r>
      <w:r w:rsidR="00C12FEB">
        <w:t xml:space="preserve">Deputy Commissioner Regina Robinson </w:t>
      </w:r>
      <w:r w:rsidR="00AC2149">
        <w:t xml:space="preserve">and </w:t>
      </w:r>
      <w:r w:rsidR="00C12FEB">
        <w:t>Family Engagement Specialist Olga Lopez</w:t>
      </w:r>
      <w:r w:rsidR="00840A32">
        <w:t xml:space="preserve">, will be available to </w:t>
      </w:r>
      <w:r w:rsidR="00AC2149">
        <w:t xml:space="preserve">provide </w:t>
      </w:r>
      <w:r w:rsidR="00840A32">
        <w:t xml:space="preserve">more details and join the discussion at the November 15, 2022 Board meeting. </w:t>
      </w:r>
    </w:p>
    <w:sectPr w:rsidR="00C12FEB" w:rsidSect="007B3EE1">
      <w:footerReference w:type="default" r:id="rId21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65B2" w14:textId="77777777" w:rsidR="009663BA" w:rsidRDefault="009663BA">
      <w:r>
        <w:separator/>
      </w:r>
    </w:p>
  </w:endnote>
  <w:endnote w:type="continuationSeparator" w:id="0">
    <w:p w14:paraId="589F6C23" w14:textId="77777777" w:rsidR="009663BA" w:rsidRDefault="009663BA">
      <w:r>
        <w:continuationSeparator/>
      </w:r>
    </w:p>
  </w:endnote>
  <w:endnote w:type="continuationNotice" w:id="1">
    <w:p w14:paraId="00C1687F" w14:textId="77777777" w:rsidR="009663BA" w:rsidRDefault="00966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98022" w14:textId="77777777" w:rsidR="009663BA" w:rsidRDefault="009663BA">
      <w:r>
        <w:separator/>
      </w:r>
    </w:p>
  </w:footnote>
  <w:footnote w:type="continuationSeparator" w:id="0">
    <w:p w14:paraId="376ABEFC" w14:textId="77777777" w:rsidR="009663BA" w:rsidRDefault="009663BA">
      <w:r>
        <w:continuationSeparator/>
      </w:r>
    </w:p>
  </w:footnote>
  <w:footnote w:type="continuationNotice" w:id="1">
    <w:p w14:paraId="1049DC84" w14:textId="77777777" w:rsidR="009663BA" w:rsidRDefault="00966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B4F"/>
    <w:multiLevelType w:val="hybridMultilevel"/>
    <w:tmpl w:val="DE5A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FB96A15"/>
    <w:multiLevelType w:val="multilevel"/>
    <w:tmpl w:val="01BCF1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31CAD"/>
    <w:multiLevelType w:val="multilevel"/>
    <w:tmpl w:val="BCC8D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2D358E"/>
    <w:multiLevelType w:val="multilevel"/>
    <w:tmpl w:val="8D740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9"/>
  </w:num>
  <w:num w:numId="5">
    <w:abstractNumId w:val="9"/>
  </w:num>
  <w:num w:numId="6">
    <w:abstractNumId w:val="17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20"/>
  </w:num>
  <w:num w:numId="12">
    <w:abstractNumId w:val="13"/>
  </w:num>
  <w:num w:numId="13">
    <w:abstractNumId w:val="23"/>
  </w:num>
  <w:num w:numId="14">
    <w:abstractNumId w:val="16"/>
  </w:num>
  <w:num w:numId="15">
    <w:abstractNumId w:val="6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1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11"/>
  </w:num>
  <w:num w:numId="24">
    <w:abstractNumId w:val="7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C4382"/>
    <w:rsid w:val="000D06C1"/>
    <w:rsid w:val="000D0DB3"/>
    <w:rsid w:val="000D1D52"/>
    <w:rsid w:val="000D23B5"/>
    <w:rsid w:val="000E0994"/>
    <w:rsid w:val="000E49AC"/>
    <w:rsid w:val="000E5E95"/>
    <w:rsid w:val="000F4439"/>
    <w:rsid w:val="000F4D5B"/>
    <w:rsid w:val="0010052A"/>
    <w:rsid w:val="0010114E"/>
    <w:rsid w:val="00102369"/>
    <w:rsid w:val="0011409B"/>
    <w:rsid w:val="001144C3"/>
    <w:rsid w:val="001258EC"/>
    <w:rsid w:val="00131332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701B"/>
    <w:rsid w:val="00185E9E"/>
    <w:rsid w:val="00190AEB"/>
    <w:rsid w:val="00196311"/>
    <w:rsid w:val="001A3384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31C4D"/>
    <w:rsid w:val="002416E7"/>
    <w:rsid w:val="00241A1F"/>
    <w:rsid w:val="002439E0"/>
    <w:rsid w:val="00243A55"/>
    <w:rsid w:val="0024409F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A93"/>
    <w:rsid w:val="002A3E22"/>
    <w:rsid w:val="002A68B5"/>
    <w:rsid w:val="002B030B"/>
    <w:rsid w:val="002B09A2"/>
    <w:rsid w:val="002B1689"/>
    <w:rsid w:val="002B48F5"/>
    <w:rsid w:val="002B4B10"/>
    <w:rsid w:val="002C0CF9"/>
    <w:rsid w:val="002C0E7F"/>
    <w:rsid w:val="002C2CDF"/>
    <w:rsid w:val="002C56BD"/>
    <w:rsid w:val="002C622E"/>
    <w:rsid w:val="002D4EB8"/>
    <w:rsid w:val="002D6DA3"/>
    <w:rsid w:val="002F0CA0"/>
    <w:rsid w:val="002F3534"/>
    <w:rsid w:val="002F5424"/>
    <w:rsid w:val="00306095"/>
    <w:rsid w:val="00307FDD"/>
    <w:rsid w:val="003138D6"/>
    <w:rsid w:val="00315230"/>
    <w:rsid w:val="003166C8"/>
    <w:rsid w:val="00316F05"/>
    <w:rsid w:val="00329642"/>
    <w:rsid w:val="003300A8"/>
    <w:rsid w:val="00330D15"/>
    <w:rsid w:val="00341984"/>
    <w:rsid w:val="0035445A"/>
    <w:rsid w:val="00354C15"/>
    <w:rsid w:val="003550DC"/>
    <w:rsid w:val="00360559"/>
    <w:rsid w:val="00361467"/>
    <w:rsid w:val="00363A77"/>
    <w:rsid w:val="00363EC5"/>
    <w:rsid w:val="00365F2F"/>
    <w:rsid w:val="00374BB4"/>
    <w:rsid w:val="0039194F"/>
    <w:rsid w:val="00392D39"/>
    <w:rsid w:val="0039533A"/>
    <w:rsid w:val="003953C8"/>
    <w:rsid w:val="003A2F60"/>
    <w:rsid w:val="003B43E3"/>
    <w:rsid w:val="003C4139"/>
    <w:rsid w:val="003D0F91"/>
    <w:rsid w:val="003D25FA"/>
    <w:rsid w:val="003D335F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45945"/>
    <w:rsid w:val="004621DF"/>
    <w:rsid w:val="00466D00"/>
    <w:rsid w:val="004715B1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327E"/>
    <w:rsid w:val="004E5697"/>
    <w:rsid w:val="004F2ACF"/>
    <w:rsid w:val="004F2D0D"/>
    <w:rsid w:val="004F3E5A"/>
    <w:rsid w:val="005002A8"/>
    <w:rsid w:val="00501082"/>
    <w:rsid w:val="00507BF7"/>
    <w:rsid w:val="00511E41"/>
    <w:rsid w:val="005135B4"/>
    <w:rsid w:val="00516A0F"/>
    <w:rsid w:val="005217FC"/>
    <w:rsid w:val="00527C3A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C5210"/>
    <w:rsid w:val="005D013E"/>
    <w:rsid w:val="005D1011"/>
    <w:rsid w:val="005E3535"/>
    <w:rsid w:val="005E4C60"/>
    <w:rsid w:val="005E5031"/>
    <w:rsid w:val="005E5C82"/>
    <w:rsid w:val="005F2DD8"/>
    <w:rsid w:val="005F4333"/>
    <w:rsid w:val="005F7A8E"/>
    <w:rsid w:val="00603C4D"/>
    <w:rsid w:val="00603CA0"/>
    <w:rsid w:val="00607C24"/>
    <w:rsid w:val="00616E24"/>
    <w:rsid w:val="00620208"/>
    <w:rsid w:val="00622645"/>
    <w:rsid w:val="00630B70"/>
    <w:rsid w:val="00634EB6"/>
    <w:rsid w:val="00635070"/>
    <w:rsid w:val="006375F6"/>
    <w:rsid w:val="0064770F"/>
    <w:rsid w:val="00653DA3"/>
    <w:rsid w:val="006547F8"/>
    <w:rsid w:val="00656E10"/>
    <w:rsid w:val="0066458A"/>
    <w:rsid w:val="006646C8"/>
    <w:rsid w:val="00666136"/>
    <w:rsid w:val="006667C0"/>
    <w:rsid w:val="0066789B"/>
    <w:rsid w:val="00680CCF"/>
    <w:rsid w:val="00681C2D"/>
    <w:rsid w:val="0068723A"/>
    <w:rsid w:val="00691197"/>
    <w:rsid w:val="006925C9"/>
    <w:rsid w:val="006A0515"/>
    <w:rsid w:val="006A0F24"/>
    <w:rsid w:val="006A3D35"/>
    <w:rsid w:val="006A5EC7"/>
    <w:rsid w:val="006C0F45"/>
    <w:rsid w:val="006C32D4"/>
    <w:rsid w:val="006D4E62"/>
    <w:rsid w:val="006F339C"/>
    <w:rsid w:val="006F5210"/>
    <w:rsid w:val="006F57AE"/>
    <w:rsid w:val="0070548F"/>
    <w:rsid w:val="007072FB"/>
    <w:rsid w:val="00711AB6"/>
    <w:rsid w:val="00713DC9"/>
    <w:rsid w:val="00714801"/>
    <w:rsid w:val="007155C0"/>
    <w:rsid w:val="00722CFB"/>
    <w:rsid w:val="007256AB"/>
    <w:rsid w:val="0073643A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A4F3B"/>
    <w:rsid w:val="007B3EE1"/>
    <w:rsid w:val="007B5827"/>
    <w:rsid w:val="007C6735"/>
    <w:rsid w:val="007D2706"/>
    <w:rsid w:val="007D2CAF"/>
    <w:rsid w:val="007D7F32"/>
    <w:rsid w:val="007E2623"/>
    <w:rsid w:val="007E2E1E"/>
    <w:rsid w:val="007E5BD4"/>
    <w:rsid w:val="007E62A6"/>
    <w:rsid w:val="00803008"/>
    <w:rsid w:val="00807EBF"/>
    <w:rsid w:val="0081020E"/>
    <w:rsid w:val="008126E8"/>
    <w:rsid w:val="0081325A"/>
    <w:rsid w:val="008163FF"/>
    <w:rsid w:val="00824A61"/>
    <w:rsid w:val="0083108B"/>
    <w:rsid w:val="00831CE9"/>
    <w:rsid w:val="00832A24"/>
    <w:rsid w:val="0083611B"/>
    <w:rsid w:val="00840A32"/>
    <w:rsid w:val="00841589"/>
    <w:rsid w:val="00843308"/>
    <w:rsid w:val="00844114"/>
    <w:rsid w:val="00844D0E"/>
    <w:rsid w:val="008475E5"/>
    <w:rsid w:val="008551A3"/>
    <w:rsid w:val="00856EA1"/>
    <w:rsid w:val="00865C47"/>
    <w:rsid w:val="00867AB4"/>
    <w:rsid w:val="00867C54"/>
    <w:rsid w:val="00881F6A"/>
    <w:rsid w:val="008862AD"/>
    <w:rsid w:val="00886398"/>
    <w:rsid w:val="00893825"/>
    <w:rsid w:val="0089434C"/>
    <w:rsid w:val="0089580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2CB7"/>
    <w:rsid w:val="008F57DA"/>
    <w:rsid w:val="008FD222"/>
    <w:rsid w:val="009005EB"/>
    <w:rsid w:val="00901C88"/>
    <w:rsid w:val="009048AD"/>
    <w:rsid w:val="00912C69"/>
    <w:rsid w:val="00917F9D"/>
    <w:rsid w:val="00917FC7"/>
    <w:rsid w:val="00932810"/>
    <w:rsid w:val="00932C66"/>
    <w:rsid w:val="00936F13"/>
    <w:rsid w:val="00937BC3"/>
    <w:rsid w:val="009419A2"/>
    <w:rsid w:val="00946156"/>
    <w:rsid w:val="009468E4"/>
    <w:rsid w:val="00947C0C"/>
    <w:rsid w:val="00951EEF"/>
    <w:rsid w:val="00955888"/>
    <w:rsid w:val="0096377A"/>
    <w:rsid w:val="009663B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C1350"/>
    <w:rsid w:val="009C341C"/>
    <w:rsid w:val="009D096B"/>
    <w:rsid w:val="009D11E3"/>
    <w:rsid w:val="009D45E2"/>
    <w:rsid w:val="009D638D"/>
    <w:rsid w:val="009E2CFF"/>
    <w:rsid w:val="009E48AC"/>
    <w:rsid w:val="009E5DE8"/>
    <w:rsid w:val="009F5663"/>
    <w:rsid w:val="009F7A16"/>
    <w:rsid w:val="00A00C6A"/>
    <w:rsid w:val="00A02608"/>
    <w:rsid w:val="00A20194"/>
    <w:rsid w:val="00A327E4"/>
    <w:rsid w:val="00A37BA6"/>
    <w:rsid w:val="00A37CC3"/>
    <w:rsid w:val="00A4174A"/>
    <w:rsid w:val="00A4251A"/>
    <w:rsid w:val="00A4297E"/>
    <w:rsid w:val="00A464FB"/>
    <w:rsid w:val="00A555FD"/>
    <w:rsid w:val="00A64182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3DA"/>
    <w:rsid w:val="00AA2C45"/>
    <w:rsid w:val="00AA34DD"/>
    <w:rsid w:val="00AA46CF"/>
    <w:rsid w:val="00AA4D66"/>
    <w:rsid w:val="00AA53EA"/>
    <w:rsid w:val="00AB5330"/>
    <w:rsid w:val="00AC1A57"/>
    <w:rsid w:val="00AC1C82"/>
    <w:rsid w:val="00AC2149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27E57"/>
    <w:rsid w:val="00B30CD0"/>
    <w:rsid w:val="00B32AFF"/>
    <w:rsid w:val="00B34968"/>
    <w:rsid w:val="00B3741A"/>
    <w:rsid w:val="00B37922"/>
    <w:rsid w:val="00B406F4"/>
    <w:rsid w:val="00B46222"/>
    <w:rsid w:val="00B6230A"/>
    <w:rsid w:val="00B81971"/>
    <w:rsid w:val="00B836AF"/>
    <w:rsid w:val="00B83F08"/>
    <w:rsid w:val="00B84176"/>
    <w:rsid w:val="00B9714D"/>
    <w:rsid w:val="00BA03F7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4ECA"/>
    <w:rsid w:val="00BF5221"/>
    <w:rsid w:val="00BF65B8"/>
    <w:rsid w:val="00C003E1"/>
    <w:rsid w:val="00C12FEB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0660"/>
    <w:rsid w:val="00C7397D"/>
    <w:rsid w:val="00C750B5"/>
    <w:rsid w:val="00C7732C"/>
    <w:rsid w:val="00C81340"/>
    <w:rsid w:val="00C87116"/>
    <w:rsid w:val="00C8776E"/>
    <w:rsid w:val="00C974A6"/>
    <w:rsid w:val="00CA7E9B"/>
    <w:rsid w:val="00CB0D38"/>
    <w:rsid w:val="00CB3E17"/>
    <w:rsid w:val="00CB70FF"/>
    <w:rsid w:val="00CC0D5A"/>
    <w:rsid w:val="00CC62B2"/>
    <w:rsid w:val="00CC66FF"/>
    <w:rsid w:val="00CC6C12"/>
    <w:rsid w:val="00CC756F"/>
    <w:rsid w:val="00CD6BD9"/>
    <w:rsid w:val="00CE5315"/>
    <w:rsid w:val="00CF3C41"/>
    <w:rsid w:val="00CF66F0"/>
    <w:rsid w:val="00D00F0A"/>
    <w:rsid w:val="00D0526F"/>
    <w:rsid w:val="00D135F0"/>
    <w:rsid w:val="00D1782C"/>
    <w:rsid w:val="00D21283"/>
    <w:rsid w:val="00D21D82"/>
    <w:rsid w:val="00D2509D"/>
    <w:rsid w:val="00D456B8"/>
    <w:rsid w:val="00D54AED"/>
    <w:rsid w:val="00D6640D"/>
    <w:rsid w:val="00D73B50"/>
    <w:rsid w:val="00D73C51"/>
    <w:rsid w:val="00D744BC"/>
    <w:rsid w:val="00D80CA7"/>
    <w:rsid w:val="00D8145D"/>
    <w:rsid w:val="00D854CB"/>
    <w:rsid w:val="00D875E3"/>
    <w:rsid w:val="00D87AA2"/>
    <w:rsid w:val="00D93DB6"/>
    <w:rsid w:val="00D9488D"/>
    <w:rsid w:val="00D94E9F"/>
    <w:rsid w:val="00DA1886"/>
    <w:rsid w:val="00DA6385"/>
    <w:rsid w:val="00DB4613"/>
    <w:rsid w:val="00DB5DFB"/>
    <w:rsid w:val="00DC10F4"/>
    <w:rsid w:val="00DD1603"/>
    <w:rsid w:val="00DD1E7A"/>
    <w:rsid w:val="00DE73A8"/>
    <w:rsid w:val="00DF2948"/>
    <w:rsid w:val="00DF544F"/>
    <w:rsid w:val="00E00E93"/>
    <w:rsid w:val="00E01297"/>
    <w:rsid w:val="00E03D02"/>
    <w:rsid w:val="00E06DAC"/>
    <w:rsid w:val="00E11954"/>
    <w:rsid w:val="00E25398"/>
    <w:rsid w:val="00E3387C"/>
    <w:rsid w:val="00E429C8"/>
    <w:rsid w:val="00E42F9F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8723D"/>
    <w:rsid w:val="00E91B1E"/>
    <w:rsid w:val="00E93CFB"/>
    <w:rsid w:val="00E95E63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EF4B7E"/>
    <w:rsid w:val="00F01D55"/>
    <w:rsid w:val="00F04445"/>
    <w:rsid w:val="00F071C7"/>
    <w:rsid w:val="00F0768F"/>
    <w:rsid w:val="00F12B42"/>
    <w:rsid w:val="00F1469B"/>
    <w:rsid w:val="00F15A05"/>
    <w:rsid w:val="00F22FA0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640A"/>
    <w:rsid w:val="00FB7A44"/>
    <w:rsid w:val="00FC4C0A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F45EC836-3D73-4BD7-9D84-D28D5699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character" w:customStyle="1" w:styleId="contextualspellingandgrammarerror">
    <w:name w:val="contextualspellingandgrammarerror"/>
    <w:basedOn w:val="DefaultParagraphFont"/>
    <w:rsid w:val="00231C4D"/>
  </w:style>
  <w:style w:type="paragraph" w:styleId="Revision">
    <w:name w:val="Revision"/>
    <w:hidden/>
    <w:uiPriority w:val="99"/>
    <w:semiHidden/>
    <w:rsid w:val="00912C6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bvumWa9OsKKJCJa9lClUGfH1aS8pwJqutMd-OOjMCIg/edit?usp=share_link" TargetMode="External"/><Relationship Id="rId18" Type="http://schemas.openxmlformats.org/officeDocument/2006/relationships/hyperlink" Target="https://www.doe.mass.edu/sfs/family-engagement-framework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hashtag/SCHOOLFAMILYMA?src=hashtag_click" TargetMode="External"/><Relationship Id="rId17" Type="http://schemas.openxmlformats.org/officeDocument/2006/relationships/hyperlink" Target="https://www.doe.mass.edu/sfs/family-engagement-framework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fs/?section=family" TargetMode="External"/><Relationship Id="rId20" Type="http://schemas.openxmlformats.org/officeDocument/2006/relationships/hyperlink" Target="https://www.doe.mass.edu/famil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doe.mass.edu/turnaround/level4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doe.mass.edu/sfs/fscp-fundamental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federalgrants/titlei-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5EFF3BF2-1EB7-4EB2-8C84-0404603FE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2022 Regular Meeting Item 1: Family Engagement: Review of October 28, 2022 Summit and Next Steps</vt:lpstr>
    </vt:vector>
  </TitlesOfParts>
  <Company/>
  <LinksUpToDate>false</LinksUpToDate>
  <CharactersWithSpaces>7305</CharactersWithSpaces>
  <SharedDoc>false</SharedDoc>
  <HLinks>
    <vt:vector size="54" baseType="variant">
      <vt:variant>
        <vt:i4>2490408</vt:i4>
      </vt:variant>
      <vt:variant>
        <vt:i4>24</vt:i4>
      </vt:variant>
      <vt:variant>
        <vt:i4>0</vt:i4>
      </vt:variant>
      <vt:variant>
        <vt:i4>5</vt:i4>
      </vt:variant>
      <vt:variant>
        <vt:lpwstr>https://www.doe.mass.edu/families/</vt:lpwstr>
      </vt:variant>
      <vt:variant>
        <vt:lpwstr/>
      </vt:variant>
      <vt:variant>
        <vt:i4>2359333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https://www.doe.mass.edu/sfs/fscp-fundamentals.docx</vt:lpwstr>
      </vt:variant>
      <vt:variant>
        <vt:lpwstr/>
      </vt:variant>
      <vt:variant>
        <vt:i4>4849689</vt:i4>
      </vt:variant>
      <vt:variant>
        <vt:i4>18</vt:i4>
      </vt:variant>
      <vt:variant>
        <vt:i4>0</vt:i4>
      </vt:variant>
      <vt:variant>
        <vt:i4>5</vt:i4>
      </vt:variant>
      <vt:variant>
        <vt:lpwstr>https://www.doe.mass.edu/sfs/family-engagement-framework.pdf</vt:lpwstr>
      </vt:variant>
      <vt:variant>
        <vt:lpwstr/>
      </vt:variant>
      <vt:variant>
        <vt:i4>4849689</vt:i4>
      </vt:variant>
      <vt:variant>
        <vt:i4>15</vt:i4>
      </vt:variant>
      <vt:variant>
        <vt:i4>0</vt:i4>
      </vt:variant>
      <vt:variant>
        <vt:i4>5</vt:i4>
      </vt:variant>
      <vt:variant>
        <vt:lpwstr>https://www.doe.mass.edu/sfs/family-engagement-framework.pdf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https://www.doe.mass.edu/sfs/?section=family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https://www.doe.mass.edu/turnaround/level4/</vt:lpwstr>
      </vt:variant>
      <vt:variant>
        <vt:lpwstr/>
      </vt:variant>
      <vt:variant>
        <vt:i4>2031627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https://www.doe.mass.edu/federalgrants/titlei-a/</vt:lpwstr>
      </vt:variant>
      <vt:variant>
        <vt:lpwstr/>
      </vt:variant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https://docs.google.com/document/d/1bvumWa9OsKKJCJa9lClUGfH1aS8pwJqutMd-OOjMCIg/edit?usp=share_link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https://twitter.com/hashtag/SCHOOLFAMILYMA?src=hashtag_click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2022 Regular Meeting Item 1: Family Engagement: Review of October 28, 2022 Summit and Next Steps</dc:title>
  <dc:subject/>
  <dc:creator>DESE</dc:creator>
  <cp:keywords/>
  <cp:lastModifiedBy>Zou, Dong (EOE)</cp:lastModifiedBy>
  <cp:revision>6</cp:revision>
  <cp:lastPrinted>2008-03-05T18:17:00Z</cp:lastPrinted>
  <dcterms:created xsi:type="dcterms:W3CDTF">2022-11-04T18:05:00Z</dcterms:created>
  <dcterms:modified xsi:type="dcterms:W3CDTF">2022-11-07T22:37:00Z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2022 12:00AM</vt:lpwstr>
  </property>
</Properties>
</file>