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083C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F32C1DB" w14:textId="77777777" w:rsidR="006172EA" w:rsidRDefault="006172EA" w:rsidP="006172EA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172EA" w14:paraId="443F5284" w14:textId="77777777" w:rsidTr="006172EA">
        <w:tc>
          <w:tcPr>
            <w:tcW w:w="1184" w:type="dxa"/>
            <w:hideMark/>
          </w:tcPr>
          <w:p w14:paraId="29439E37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  <w:hideMark/>
          </w:tcPr>
          <w:p w14:paraId="22196B8A" w14:textId="77777777" w:rsidR="006172EA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6172EA" w14:paraId="7C9FE33E" w14:textId="77777777" w:rsidTr="006172EA">
        <w:tc>
          <w:tcPr>
            <w:tcW w:w="1184" w:type="dxa"/>
            <w:hideMark/>
          </w:tcPr>
          <w:p w14:paraId="4C4D736F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  <w:hideMark/>
          </w:tcPr>
          <w:p w14:paraId="3AB63F1C" w14:textId="604D581F" w:rsidR="00056821" w:rsidRPr="00C41D1E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C41D1E">
              <w:rPr>
                <w:bCs/>
                <w:snapToGrid w:val="0"/>
              </w:rPr>
              <w:t>Jeffrey C. Riley, Commissioner</w:t>
            </w:r>
          </w:p>
        </w:tc>
      </w:tr>
      <w:tr w:rsidR="006172EA" w14:paraId="55B5EEB2" w14:textId="77777777" w:rsidTr="006172EA">
        <w:tc>
          <w:tcPr>
            <w:tcW w:w="1184" w:type="dxa"/>
            <w:hideMark/>
          </w:tcPr>
          <w:p w14:paraId="1CDDCC11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  <w:hideMark/>
          </w:tcPr>
          <w:p w14:paraId="03EA7C79" w14:textId="1A93E033" w:rsidR="006172EA" w:rsidRPr="00C41D1E" w:rsidRDefault="00B60BFC">
            <w:pPr>
              <w:pStyle w:val="Footer"/>
              <w:widowControl w:val="0"/>
              <w:tabs>
                <w:tab w:val="left" w:pos="720"/>
              </w:tabs>
            </w:pPr>
            <w:r>
              <w:t>January 17</w:t>
            </w:r>
            <w:r w:rsidR="006172EA" w:rsidRPr="00C41D1E">
              <w:t>, 202</w:t>
            </w:r>
            <w:r>
              <w:t>3</w:t>
            </w:r>
          </w:p>
        </w:tc>
      </w:tr>
      <w:tr w:rsidR="006172EA" w14:paraId="6519CEA8" w14:textId="77777777" w:rsidTr="006172EA">
        <w:tc>
          <w:tcPr>
            <w:tcW w:w="1184" w:type="dxa"/>
            <w:hideMark/>
          </w:tcPr>
          <w:p w14:paraId="3F92FA1B" w14:textId="77777777" w:rsidR="006172EA" w:rsidRDefault="006172EA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  <w:hideMark/>
          </w:tcPr>
          <w:p w14:paraId="0491B6AD" w14:textId="054EB567" w:rsidR="006172EA" w:rsidRDefault="00EB3ECF">
            <w:pPr>
              <w:pStyle w:val="Footer"/>
              <w:widowControl w:val="0"/>
              <w:tabs>
                <w:tab w:val="left" w:pos="72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District and School </w:t>
            </w:r>
            <w:r w:rsidR="003B26DF">
              <w:rPr>
                <w:snapToGrid w:val="0"/>
              </w:rPr>
              <w:t xml:space="preserve">Accountability </w:t>
            </w:r>
            <w:r>
              <w:rPr>
                <w:snapToGrid w:val="0"/>
              </w:rPr>
              <w:t>Targets fo</w:t>
            </w:r>
            <w:r w:rsidR="002242E4">
              <w:rPr>
                <w:snapToGrid w:val="0"/>
              </w:rPr>
              <w:t xml:space="preserve">r </w:t>
            </w:r>
            <w:r w:rsidR="003B26DF">
              <w:rPr>
                <w:snapToGrid w:val="0"/>
              </w:rPr>
              <w:t>2023 and Beyond</w:t>
            </w:r>
            <w:r w:rsidR="00B60BFC">
              <w:rPr>
                <w:snapToGrid w:val="0"/>
              </w:rPr>
              <w:t xml:space="preserve"> – Continued Discussion</w:t>
            </w:r>
          </w:p>
        </w:tc>
      </w:tr>
    </w:tbl>
    <w:p w14:paraId="2A19EBA2" w14:textId="77777777" w:rsidR="006172EA" w:rsidRDefault="006172EA" w:rsidP="006172EA">
      <w:pPr>
        <w:pBdr>
          <w:bottom w:val="single" w:sz="4" w:space="1" w:color="auto"/>
        </w:pBdr>
        <w:rPr>
          <w:snapToGrid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F716F35" w14:textId="77777777" w:rsidR="006172EA" w:rsidRDefault="006172EA" w:rsidP="006172EA">
      <w:pPr>
        <w:widowControl/>
        <w:rPr>
          <w:sz w:val="16"/>
        </w:rPr>
        <w:sectPr w:rsidR="006172EA" w:rsidSect="006172E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4083E65A" w14:textId="629476EF" w:rsidR="00406DCC" w:rsidRPr="00A1579D" w:rsidRDefault="00406DCC" w:rsidP="00406DCC">
      <w:pPr>
        <w:pStyle w:val="NormalWeb"/>
      </w:pPr>
      <w:r w:rsidRPr="00A1579D">
        <w:t>At the meeting of the Board of Elementary and Secondary Education (Board) on</w:t>
      </w:r>
      <w:r w:rsidRPr="00A1579D" w:rsidDel="00E3738A">
        <w:t xml:space="preserve"> </w:t>
      </w:r>
      <w:r w:rsidR="00B60BFC">
        <w:t>January 24, 2023</w:t>
      </w:r>
      <w:r w:rsidRPr="00A1579D">
        <w:t xml:space="preserve">, </w:t>
      </w:r>
      <w:r w:rsidR="003325C5">
        <w:t xml:space="preserve">staff </w:t>
      </w:r>
      <w:r w:rsidR="00562BC0">
        <w:t xml:space="preserve">of the </w:t>
      </w:r>
      <w:r w:rsidR="000C30D5">
        <w:t xml:space="preserve">Department </w:t>
      </w:r>
      <w:r w:rsidR="000C30D5">
        <w:rPr>
          <w:bCs/>
          <w:snapToGrid w:val="0"/>
        </w:rPr>
        <w:t>of Elementary and Secondary Education</w:t>
      </w:r>
      <w:r w:rsidR="000C30D5">
        <w:t xml:space="preserve"> (DESE) </w:t>
      </w:r>
      <w:r w:rsidR="003325C5">
        <w:t xml:space="preserve">and the Board will </w:t>
      </w:r>
      <w:r w:rsidR="002273A4">
        <w:t xml:space="preserve">continue the discussion of </w:t>
      </w:r>
      <w:r w:rsidR="007D3C24">
        <w:t xml:space="preserve">DESE’s approach to setting district and school </w:t>
      </w:r>
      <w:r w:rsidR="00664980">
        <w:t xml:space="preserve">accountability </w:t>
      </w:r>
      <w:r w:rsidR="007D3C24">
        <w:t xml:space="preserve">targets </w:t>
      </w:r>
      <w:r w:rsidR="00664980">
        <w:t>for 2023 and beyond.</w:t>
      </w:r>
    </w:p>
    <w:p w14:paraId="0BD04DB7" w14:textId="77777777" w:rsidR="00406DCC" w:rsidRPr="00A1579D" w:rsidRDefault="00406DCC" w:rsidP="00406DCC">
      <w:pPr>
        <w:shd w:val="clear" w:color="auto" w:fill="FFFFFF"/>
        <w:spacing w:after="100" w:afterAutospacing="1"/>
        <w:rPr>
          <w:b/>
          <w:bCs/>
          <w:szCs w:val="24"/>
        </w:rPr>
      </w:pPr>
      <w:r w:rsidRPr="00A1579D">
        <w:rPr>
          <w:b/>
          <w:bCs/>
          <w:szCs w:val="24"/>
        </w:rPr>
        <w:t xml:space="preserve">Background </w:t>
      </w:r>
    </w:p>
    <w:p w14:paraId="3FD5B17D" w14:textId="58F51675" w:rsidR="00F72234" w:rsidRPr="00F72234" w:rsidRDefault="00CC3DF1" w:rsidP="000A130C">
      <w:pPr>
        <w:shd w:val="clear" w:color="auto" w:fill="FFFFFF" w:themeFill="background1"/>
        <w:spacing w:after="100" w:afterAutospacing="1"/>
      </w:pPr>
      <w:r>
        <w:t xml:space="preserve">As we discussed at the </w:t>
      </w:r>
      <w:hyperlink r:id="rId12" w:history="1">
        <w:r w:rsidRPr="002F443D">
          <w:rPr>
            <w:rStyle w:val="Hyperlink"/>
          </w:rPr>
          <w:t>special meeting of the Board</w:t>
        </w:r>
      </w:hyperlink>
      <w:r>
        <w:t xml:space="preserve"> on January 3, 2023, t</w:t>
      </w:r>
      <w:r w:rsidR="00225451">
        <w:t>he federal Every Student Succeeds Act</w:t>
      </w:r>
      <w:r w:rsidR="00956960">
        <w:t xml:space="preserve"> (ESSA)</w:t>
      </w:r>
      <w:r w:rsidR="00225451">
        <w:t xml:space="preserve"> requires states to set </w:t>
      </w:r>
      <w:r w:rsidR="00956960">
        <w:t>targets at the state, district, school, and student</w:t>
      </w:r>
      <w:r w:rsidR="0050527A">
        <w:t>-</w:t>
      </w:r>
      <w:r w:rsidR="00956960">
        <w:t>group</w:t>
      </w:r>
      <w:r w:rsidR="0050527A">
        <w:t xml:space="preserve"> </w:t>
      </w:r>
      <w:r w:rsidR="00956960">
        <w:t>level for the purposes of annual accountability reporting</w:t>
      </w:r>
      <w:r w:rsidR="006F7E64">
        <w:t xml:space="preserve">. </w:t>
      </w:r>
      <w:r w:rsidR="00532DD3">
        <w:t xml:space="preserve">Similarly, under </w:t>
      </w:r>
      <w:r w:rsidR="006F7E64">
        <w:t>state</w:t>
      </w:r>
      <w:r w:rsidR="00532DD3">
        <w:t xml:space="preserve"> law</w:t>
      </w:r>
      <w:r w:rsidR="006F7E64">
        <w:t>, the</w:t>
      </w:r>
      <w:r w:rsidR="0079426D">
        <w:t xml:space="preserve"> Student Opportunity Act (SOA) requires </w:t>
      </w:r>
      <w:r w:rsidR="00DF6358">
        <w:t xml:space="preserve">the </w:t>
      </w:r>
      <w:r w:rsidR="00293746">
        <w:t>C</w:t>
      </w:r>
      <w:r w:rsidR="00DF6358">
        <w:t>ommissioner</w:t>
      </w:r>
      <w:r w:rsidR="00B01919">
        <w:t xml:space="preserve"> to establish </w:t>
      </w:r>
      <w:r w:rsidR="00D354E1">
        <w:t xml:space="preserve">statewide targets </w:t>
      </w:r>
      <w:r w:rsidR="00527800">
        <w:t>to address</w:t>
      </w:r>
      <w:r w:rsidR="00687644">
        <w:t xml:space="preserve"> disparities in achievement among student </w:t>
      </w:r>
      <w:r w:rsidR="00E355A0">
        <w:t>subgroups and</w:t>
      </w:r>
      <w:r w:rsidR="00687644">
        <w:t xml:space="preserve"> requires districts to set </w:t>
      </w:r>
      <w:r w:rsidR="00527800">
        <w:t>district-level targets consistent with those established by the state.</w:t>
      </w:r>
    </w:p>
    <w:p w14:paraId="5AD38D94" w14:textId="5145AE7C" w:rsidR="001B0F20" w:rsidRDefault="0077273A" w:rsidP="20FBC73C">
      <w:pPr>
        <w:shd w:val="clear" w:color="auto" w:fill="FFFFFF" w:themeFill="background1"/>
        <w:spacing w:after="100" w:afterAutospacing="1"/>
      </w:pPr>
      <w:r>
        <w:t xml:space="preserve">After considering the feedback provided by Board members at the special meeting, </w:t>
      </w:r>
      <w:r w:rsidR="00E45444">
        <w:t xml:space="preserve">DESE staff </w:t>
      </w:r>
      <w:r w:rsidR="00C57448">
        <w:t>welcome</w:t>
      </w:r>
      <w:r w:rsidR="000D137D">
        <w:t xml:space="preserve"> the opportunity to continue the discussion with the Board. </w:t>
      </w:r>
      <w:r w:rsidR="00406DCC">
        <w:t>Rob Curtin, Chief Officer for Data, Assessment, and Accountability</w:t>
      </w:r>
      <w:r w:rsidR="00F23E81">
        <w:t xml:space="preserve"> and </w:t>
      </w:r>
      <w:r w:rsidR="00406DCC">
        <w:t xml:space="preserve">Associate Commissioner </w:t>
      </w:r>
      <w:r w:rsidR="00F23E81">
        <w:t>Erica Gonzales</w:t>
      </w:r>
      <w:r w:rsidR="00406DCC">
        <w:t xml:space="preserve"> will join us for the discussion.</w:t>
      </w:r>
    </w:p>
    <w:sectPr w:rsidR="001B0F20" w:rsidSect="006172EA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0FD4D" w14:textId="77777777" w:rsidR="001E34AC" w:rsidRDefault="001E34AC">
      <w:r>
        <w:separator/>
      </w:r>
    </w:p>
  </w:endnote>
  <w:endnote w:type="continuationSeparator" w:id="0">
    <w:p w14:paraId="774D318B" w14:textId="77777777" w:rsidR="001E34AC" w:rsidRDefault="001E34AC">
      <w:r>
        <w:continuationSeparator/>
      </w:r>
    </w:p>
  </w:endnote>
  <w:endnote w:type="continuationNotice" w:id="1">
    <w:p w14:paraId="34C6155C" w14:textId="77777777" w:rsidR="001E34AC" w:rsidRDefault="001E3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906F" w14:textId="77777777" w:rsidR="001E34AC" w:rsidRDefault="001E34AC">
      <w:r>
        <w:separator/>
      </w:r>
    </w:p>
  </w:footnote>
  <w:footnote w:type="continuationSeparator" w:id="0">
    <w:p w14:paraId="3F49FDF5" w14:textId="77777777" w:rsidR="001E34AC" w:rsidRDefault="001E34AC">
      <w:r>
        <w:continuationSeparator/>
      </w:r>
    </w:p>
  </w:footnote>
  <w:footnote w:type="continuationNotice" w:id="1">
    <w:p w14:paraId="6B74E4E1" w14:textId="77777777" w:rsidR="001E34AC" w:rsidRDefault="001E3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732C"/>
    <w:multiLevelType w:val="hybridMultilevel"/>
    <w:tmpl w:val="1686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16641"/>
    <w:multiLevelType w:val="hybridMultilevel"/>
    <w:tmpl w:val="316A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F2A7C"/>
    <w:multiLevelType w:val="hybridMultilevel"/>
    <w:tmpl w:val="79DC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6821"/>
    <w:rsid w:val="000576C5"/>
    <w:rsid w:val="00062FA8"/>
    <w:rsid w:val="00064857"/>
    <w:rsid w:val="00077D78"/>
    <w:rsid w:val="00077D92"/>
    <w:rsid w:val="00082B1E"/>
    <w:rsid w:val="00085950"/>
    <w:rsid w:val="00092491"/>
    <w:rsid w:val="000A065E"/>
    <w:rsid w:val="000A0D6A"/>
    <w:rsid w:val="000A0F1D"/>
    <w:rsid w:val="000A130C"/>
    <w:rsid w:val="000A59A0"/>
    <w:rsid w:val="000B1C0A"/>
    <w:rsid w:val="000B726B"/>
    <w:rsid w:val="000C0248"/>
    <w:rsid w:val="000C2726"/>
    <w:rsid w:val="000C2BCD"/>
    <w:rsid w:val="000C30D5"/>
    <w:rsid w:val="000D0DB3"/>
    <w:rsid w:val="000D137D"/>
    <w:rsid w:val="000D1D52"/>
    <w:rsid w:val="000D23B5"/>
    <w:rsid w:val="000D7518"/>
    <w:rsid w:val="000E0994"/>
    <w:rsid w:val="000E49AC"/>
    <w:rsid w:val="000E5E95"/>
    <w:rsid w:val="000F4D5B"/>
    <w:rsid w:val="0010052A"/>
    <w:rsid w:val="0010114E"/>
    <w:rsid w:val="00102369"/>
    <w:rsid w:val="0011001A"/>
    <w:rsid w:val="0011409B"/>
    <w:rsid w:val="001144C3"/>
    <w:rsid w:val="001258EC"/>
    <w:rsid w:val="001259B9"/>
    <w:rsid w:val="00134901"/>
    <w:rsid w:val="00136904"/>
    <w:rsid w:val="00140402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50AD"/>
    <w:rsid w:val="00176B60"/>
    <w:rsid w:val="001821BF"/>
    <w:rsid w:val="00185E9E"/>
    <w:rsid w:val="00190AEB"/>
    <w:rsid w:val="00196311"/>
    <w:rsid w:val="001A3384"/>
    <w:rsid w:val="001B0F20"/>
    <w:rsid w:val="001C0E08"/>
    <w:rsid w:val="001D2934"/>
    <w:rsid w:val="001D372B"/>
    <w:rsid w:val="001D4709"/>
    <w:rsid w:val="001D4F6E"/>
    <w:rsid w:val="001E34AC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42E4"/>
    <w:rsid w:val="00224447"/>
    <w:rsid w:val="00225451"/>
    <w:rsid w:val="002273A4"/>
    <w:rsid w:val="002308C1"/>
    <w:rsid w:val="002416E7"/>
    <w:rsid w:val="00241A1F"/>
    <w:rsid w:val="00243A55"/>
    <w:rsid w:val="00243CB1"/>
    <w:rsid w:val="002502CB"/>
    <w:rsid w:val="00261BFC"/>
    <w:rsid w:val="002654B4"/>
    <w:rsid w:val="00271228"/>
    <w:rsid w:val="002713FC"/>
    <w:rsid w:val="00273152"/>
    <w:rsid w:val="002813B0"/>
    <w:rsid w:val="00291F01"/>
    <w:rsid w:val="00293746"/>
    <w:rsid w:val="002978C5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3534"/>
    <w:rsid w:val="002F443D"/>
    <w:rsid w:val="002F5424"/>
    <w:rsid w:val="002F65ED"/>
    <w:rsid w:val="00306095"/>
    <w:rsid w:val="00307FDD"/>
    <w:rsid w:val="00315230"/>
    <w:rsid w:val="003166C8"/>
    <w:rsid w:val="00316F05"/>
    <w:rsid w:val="00329642"/>
    <w:rsid w:val="003300A8"/>
    <w:rsid w:val="00330D15"/>
    <w:rsid w:val="00331E4D"/>
    <w:rsid w:val="003325C5"/>
    <w:rsid w:val="00341984"/>
    <w:rsid w:val="00342ACD"/>
    <w:rsid w:val="0035445A"/>
    <w:rsid w:val="00354C15"/>
    <w:rsid w:val="003550DC"/>
    <w:rsid w:val="00360559"/>
    <w:rsid w:val="00361467"/>
    <w:rsid w:val="00363A77"/>
    <w:rsid w:val="00363EC5"/>
    <w:rsid w:val="00365F2F"/>
    <w:rsid w:val="003902AE"/>
    <w:rsid w:val="0039095F"/>
    <w:rsid w:val="0039194F"/>
    <w:rsid w:val="00394602"/>
    <w:rsid w:val="0039533A"/>
    <w:rsid w:val="003953C8"/>
    <w:rsid w:val="003A2F60"/>
    <w:rsid w:val="003B26DF"/>
    <w:rsid w:val="003B43E3"/>
    <w:rsid w:val="003C4139"/>
    <w:rsid w:val="003C6342"/>
    <w:rsid w:val="003D0F91"/>
    <w:rsid w:val="003D25FA"/>
    <w:rsid w:val="003D335F"/>
    <w:rsid w:val="00400B46"/>
    <w:rsid w:val="00404B36"/>
    <w:rsid w:val="00405677"/>
    <w:rsid w:val="0040659C"/>
    <w:rsid w:val="00406DC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57EE0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9618A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527A"/>
    <w:rsid w:val="00507BF7"/>
    <w:rsid w:val="00511E41"/>
    <w:rsid w:val="005135B4"/>
    <w:rsid w:val="00516A0F"/>
    <w:rsid w:val="005217FC"/>
    <w:rsid w:val="00526D45"/>
    <w:rsid w:val="00527800"/>
    <w:rsid w:val="00532DD3"/>
    <w:rsid w:val="00534FF2"/>
    <w:rsid w:val="00536648"/>
    <w:rsid w:val="005430E2"/>
    <w:rsid w:val="005463E4"/>
    <w:rsid w:val="0055308F"/>
    <w:rsid w:val="00554B85"/>
    <w:rsid w:val="00554F3B"/>
    <w:rsid w:val="00555019"/>
    <w:rsid w:val="00562BC0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B4A2F"/>
    <w:rsid w:val="005C1013"/>
    <w:rsid w:val="005C373C"/>
    <w:rsid w:val="005C3AF9"/>
    <w:rsid w:val="005D013E"/>
    <w:rsid w:val="005D1011"/>
    <w:rsid w:val="005E3535"/>
    <w:rsid w:val="005E4C60"/>
    <w:rsid w:val="005E5C82"/>
    <w:rsid w:val="005F2DD8"/>
    <w:rsid w:val="005F4333"/>
    <w:rsid w:val="00600DE4"/>
    <w:rsid w:val="00603C4D"/>
    <w:rsid w:val="00603CA0"/>
    <w:rsid w:val="00607C24"/>
    <w:rsid w:val="00616E24"/>
    <w:rsid w:val="006172EA"/>
    <w:rsid w:val="00620208"/>
    <w:rsid w:val="00622645"/>
    <w:rsid w:val="00624A21"/>
    <w:rsid w:val="00630B70"/>
    <w:rsid w:val="00630C00"/>
    <w:rsid w:val="00634EB6"/>
    <w:rsid w:val="00635070"/>
    <w:rsid w:val="006375F6"/>
    <w:rsid w:val="0064770F"/>
    <w:rsid w:val="00653DA3"/>
    <w:rsid w:val="00656E10"/>
    <w:rsid w:val="00662B79"/>
    <w:rsid w:val="0066458A"/>
    <w:rsid w:val="006646C8"/>
    <w:rsid w:val="00664980"/>
    <w:rsid w:val="00666136"/>
    <w:rsid w:val="006667C0"/>
    <w:rsid w:val="0066789B"/>
    <w:rsid w:val="00680CCF"/>
    <w:rsid w:val="00681C2D"/>
    <w:rsid w:val="00687644"/>
    <w:rsid w:val="00691197"/>
    <w:rsid w:val="006925C9"/>
    <w:rsid w:val="006A0F24"/>
    <w:rsid w:val="006A1F7F"/>
    <w:rsid w:val="006A3D35"/>
    <w:rsid w:val="006A5EC7"/>
    <w:rsid w:val="006C0F45"/>
    <w:rsid w:val="006C32D4"/>
    <w:rsid w:val="006D1E0E"/>
    <w:rsid w:val="006D1FC0"/>
    <w:rsid w:val="006D4E62"/>
    <w:rsid w:val="006E72A7"/>
    <w:rsid w:val="006F339C"/>
    <w:rsid w:val="006F5210"/>
    <w:rsid w:val="006F57AE"/>
    <w:rsid w:val="006F7E64"/>
    <w:rsid w:val="0070548F"/>
    <w:rsid w:val="00706489"/>
    <w:rsid w:val="007072FB"/>
    <w:rsid w:val="007116A2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17A"/>
    <w:rsid w:val="0077043F"/>
    <w:rsid w:val="0077273A"/>
    <w:rsid w:val="007732FB"/>
    <w:rsid w:val="00774BD3"/>
    <w:rsid w:val="00776BBC"/>
    <w:rsid w:val="00784ACC"/>
    <w:rsid w:val="00785F0D"/>
    <w:rsid w:val="00787E2D"/>
    <w:rsid w:val="00791578"/>
    <w:rsid w:val="00793595"/>
    <w:rsid w:val="0079426D"/>
    <w:rsid w:val="007B3EE1"/>
    <w:rsid w:val="007B5827"/>
    <w:rsid w:val="007C6735"/>
    <w:rsid w:val="007D2CAF"/>
    <w:rsid w:val="007D3C24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5F8F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3E10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2595"/>
    <w:rsid w:val="008E53BD"/>
    <w:rsid w:val="008E732C"/>
    <w:rsid w:val="008F18E7"/>
    <w:rsid w:val="008F57DA"/>
    <w:rsid w:val="008F5B64"/>
    <w:rsid w:val="008FD222"/>
    <w:rsid w:val="009005EB"/>
    <w:rsid w:val="00901C88"/>
    <w:rsid w:val="009048AD"/>
    <w:rsid w:val="009124CF"/>
    <w:rsid w:val="00917F9D"/>
    <w:rsid w:val="00917FC7"/>
    <w:rsid w:val="00931B18"/>
    <w:rsid w:val="00932810"/>
    <w:rsid w:val="00932C66"/>
    <w:rsid w:val="00936F13"/>
    <w:rsid w:val="00937BC3"/>
    <w:rsid w:val="00943A0C"/>
    <w:rsid w:val="00946156"/>
    <w:rsid w:val="009468E4"/>
    <w:rsid w:val="00947C0C"/>
    <w:rsid w:val="00955888"/>
    <w:rsid w:val="00956960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B6458"/>
    <w:rsid w:val="009C06B1"/>
    <w:rsid w:val="009C1350"/>
    <w:rsid w:val="009D11E3"/>
    <w:rsid w:val="009D638D"/>
    <w:rsid w:val="009E48AC"/>
    <w:rsid w:val="009E5DE8"/>
    <w:rsid w:val="009F5663"/>
    <w:rsid w:val="009F7A16"/>
    <w:rsid w:val="00A02608"/>
    <w:rsid w:val="00A10EB1"/>
    <w:rsid w:val="00A20194"/>
    <w:rsid w:val="00A2032C"/>
    <w:rsid w:val="00A26245"/>
    <w:rsid w:val="00A327E4"/>
    <w:rsid w:val="00A37BA6"/>
    <w:rsid w:val="00A37CC3"/>
    <w:rsid w:val="00A4251A"/>
    <w:rsid w:val="00A4297E"/>
    <w:rsid w:val="00A464FB"/>
    <w:rsid w:val="00A546F1"/>
    <w:rsid w:val="00A555FD"/>
    <w:rsid w:val="00A64182"/>
    <w:rsid w:val="00A669F1"/>
    <w:rsid w:val="00A70FE3"/>
    <w:rsid w:val="00A73C30"/>
    <w:rsid w:val="00A76105"/>
    <w:rsid w:val="00A7681B"/>
    <w:rsid w:val="00A83034"/>
    <w:rsid w:val="00A86A7D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A6DA9"/>
    <w:rsid w:val="00AB5330"/>
    <w:rsid w:val="00AC1A57"/>
    <w:rsid w:val="00AC1C82"/>
    <w:rsid w:val="00AC355B"/>
    <w:rsid w:val="00AD3989"/>
    <w:rsid w:val="00AD461E"/>
    <w:rsid w:val="00AD58F2"/>
    <w:rsid w:val="00AE2F3B"/>
    <w:rsid w:val="00AE40B7"/>
    <w:rsid w:val="00AF0A91"/>
    <w:rsid w:val="00AF2E1F"/>
    <w:rsid w:val="00AF406C"/>
    <w:rsid w:val="00AF6352"/>
    <w:rsid w:val="00B01919"/>
    <w:rsid w:val="00B0351F"/>
    <w:rsid w:val="00B10B56"/>
    <w:rsid w:val="00B114B8"/>
    <w:rsid w:val="00B13D27"/>
    <w:rsid w:val="00B15E7C"/>
    <w:rsid w:val="00B176EB"/>
    <w:rsid w:val="00B207A8"/>
    <w:rsid w:val="00B20D7F"/>
    <w:rsid w:val="00B23AD1"/>
    <w:rsid w:val="00B26E87"/>
    <w:rsid w:val="00B34968"/>
    <w:rsid w:val="00B3741A"/>
    <w:rsid w:val="00B37922"/>
    <w:rsid w:val="00B406F4"/>
    <w:rsid w:val="00B414BF"/>
    <w:rsid w:val="00B46222"/>
    <w:rsid w:val="00B60BFC"/>
    <w:rsid w:val="00B6230A"/>
    <w:rsid w:val="00B742BA"/>
    <w:rsid w:val="00B81971"/>
    <w:rsid w:val="00B836AF"/>
    <w:rsid w:val="00B83F08"/>
    <w:rsid w:val="00B84176"/>
    <w:rsid w:val="00B93574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1878"/>
    <w:rsid w:val="00BF4ECA"/>
    <w:rsid w:val="00BF65B8"/>
    <w:rsid w:val="00C003E1"/>
    <w:rsid w:val="00C0188E"/>
    <w:rsid w:val="00C07204"/>
    <w:rsid w:val="00C20A80"/>
    <w:rsid w:val="00C24857"/>
    <w:rsid w:val="00C34091"/>
    <w:rsid w:val="00C35831"/>
    <w:rsid w:val="00C37E40"/>
    <w:rsid w:val="00C41BE1"/>
    <w:rsid w:val="00C41D1E"/>
    <w:rsid w:val="00C46D5F"/>
    <w:rsid w:val="00C47D72"/>
    <w:rsid w:val="00C57023"/>
    <w:rsid w:val="00C57448"/>
    <w:rsid w:val="00C65880"/>
    <w:rsid w:val="00C67032"/>
    <w:rsid w:val="00C7397D"/>
    <w:rsid w:val="00C750B5"/>
    <w:rsid w:val="00C81340"/>
    <w:rsid w:val="00C87116"/>
    <w:rsid w:val="00C8776E"/>
    <w:rsid w:val="00C96420"/>
    <w:rsid w:val="00C974A6"/>
    <w:rsid w:val="00CB0D38"/>
    <w:rsid w:val="00CB3E17"/>
    <w:rsid w:val="00CB70FF"/>
    <w:rsid w:val="00CC0D5A"/>
    <w:rsid w:val="00CC23EE"/>
    <w:rsid w:val="00CC3DF1"/>
    <w:rsid w:val="00CC5D04"/>
    <w:rsid w:val="00CC62B2"/>
    <w:rsid w:val="00CC66FF"/>
    <w:rsid w:val="00CC6BF7"/>
    <w:rsid w:val="00CC6C12"/>
    <w:rsid w:val="00CC756F"/>
    <w:rsid w:val="00CD6BD9"/>
    <w:rsid w:val="00CE5315"/>
    <w:rsid w:val="00CF66F0"/>
    <w:rsid w:val="00D00F0A"/>
    <w:rsid w:val="00D0526F"/>
    <w:rsid w:val="00D135F0"/>
    <w:rsid w:val="00D13A96"/>
    <w:rsid w:val="00D1782C"/>
    <w:rsid w:val="00D21283"/>
    <w:rsid w:val="00D21D82"/>
    <w:rsid w:val="00D2444F"/>
    <w:rsid w:val="00D2509D"/>
    <w:rsid w:val="00D30BA2"/>
    <w:rsid w:val="00D354E1"/>
    <w:rsid w:val="00D456B8"/>
    <w:rsid w:val="00D52AF8"/>
    <w:rsid w:val="00D54AED"/>
    <w:rsid w:val="00D601E1"/>
    <w:rsid w:val="00D73B50"/>
    <w:rsid w:val="00D73C51"/>
    <w:rsid w:val="00D744BC"/>
    <w:rsid w:val="00D854CB"/>
    <w:rsid w:val="00D868A2"/>
    <w:rsid w:val="00D875E3"/>
    <w:rsid w:val="00D87AA2"/>
    <w:rsid w:val="00D93DB6"/>
    <w:rsid w:val="00D9488D"/>
    <w:rsid w:val="00DA1886"/>
    <w:rsid w:val="00DA6385"/>
    <w:rsid w:val="00DB3A86"/>
    <w:rsid w:val="00DB4613"/>
    <w:rsid w:val="00DB5DFB"/>
    <w:rsid w:val="00DC10F4"/>
    <w:rsid w:val="00DC14B1"/>
    <w:rsid w:val="00DD1603"/>
    <w:rsid w:val="00DD1E7A"/>
    <w:rsid w:val="00DE73A8"/>
    <w:rsid w:val="00DF544F"/>
    <w:rsid w:val="00DF6358"/>
    <w:rsid w:val="00E00E93"/>
    <w:rsid w:val="00E01297"/>
    <w:rsid w:val="00E03D02"/>
    <w:rsid w:val="00E06DAC"/>
    <w:rsid w:val="00E11954"/>
    <w:rsid w:val="00E16DD6"/>
    <w:rsid w:val="00E25398"/>
    <w:rsid w:val="00E3387C"/>
    <w:rsid w:val="00E355A0"/>
    <w:rsid w:val="00E429C8"/>
    <w:rsid w:val="00E43496"/>
    <w:rsid w:val="00E43720"/>
    <w:rsid w:val="00E45444"/>
    <w:rsid w:val="00E466AE"/>
    <w:rsid w:val="00E46AD6"/>
    <w:rsid w:val="00E47D6B"/>
    <w:rsid w:val="00E520CA"/>
    <w:rsid w:val="00E52395"/>
    <w:rsid w:val="00E555C3"/>
    <w:rsid w:val="00E564E4"/>
    <w:rsid w:val="00E609E5"/>
    <w:rsid w:val="00E730C5"/>
    <w:rsid w:val="00E76581"/>
    <w:rsid w:val="00E77FAD"/>
    <w:rsid w:val="00E85FCE"/>
    <w:rsid w:val="00E91B1E"/>
    <w:rsid w:val="00E93CFB"/>
    <w:rsid w:val="00E95F74"/>
    <w:rsid w:val="00E961C6"/>
    <w:rsid w:val="00E96490"/>
    <w:rsid w:val="00EA1367"/>
    <w:rsid w:val="00EB17D8"/>
    <w:rsid w:val="00EB3ECF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15EFC"/>
    <w:rsid w:val="00F17B7B"/>
    <w:rsid w:val="00F2396B"/>
    <w:rsid w:val="00F23E81"/>
    <w:rsid w:val="00F24E89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2234"/>
    <w:rsid w:val="00F74AEF"/>
    <w:rsid w:val="00F7557C"/>
    <w:rsid w:val="00F76E32"/>
    <w:rsid w:val="00F878C5"/>
    <w:rsid w:val="00FA4B46"/>
    <w:rsid w:val="00FB0D18"/>
    <w:rsid w:val="00FB1F4A"/>
    <w:rsid w:val="00FB46CC"/>
    <w:rsid w:val="00FB5EE9"/>
    <w:rsid w:val="00FB640A"/>
    <w:rsid w:val="00FB7A44"/>
    <w:rsid w:val="00FC179C"/>
    <w:rsid w:val="00FC4C0A"/>
    <w:rsid w:val="00FD5A0C"/>
    <w:rsid w:val="00FF111F"/>
    <w:rsid w:val="00FF543C"/>
    <w:rsid w:val="00FF6D9E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0FBC73C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F24E8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bese/docs/fy2023/2023-0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Sullivan, Courtney (DESE)</DisplayName>
        <AccountId>20</AccountId>
        <AccountType/>
      </UserInfo>
      <UserInfo>
        <DisplayName>Schneider, Rhoda E (DESE)</DisplayName>
        <AccountId>29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1FB2-10C8-4F6C-9163-71E1837E3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August 2022 Special Meeting Item 1: Amendment to Competency Determination Regulations, 603 CMR 30.00: Establishment of New CD Standard for the Classes of 2026–2029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2023 Regular Meeting Item 3: District and School Accountability Targets for 2023 and Beyond</dc:title>
  <dc:subject/>
  <dc:creator>DESE</dc:creator>
  <cp:keywords/>
  <cp:lastModifiedBy>Zou, Dong (EOE)</cp:lastModifiedBy>
  <cp:revision>6</cp:revision>
  <cp:lastPrinted>2008-03-05T18:17:00Z</cp:lastPrinted>
  <dcterms:created xsi:type="dcterms:W3CDTF">2023-01-17T15:40:00Z</dcterms:created>
  <dcterms:modified xsi:type="dcterms:W3CDTF">2023-01-19T17:17:00Z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2023 12:00AM</vt:lpwstr>
  </property>
</Properties>
</file>