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40CE7" w14:textId="350B6AFA" w:rsidR="00155831" w:rsidRPr="00D40BA6" w:rsidRDefault="009F7F2A" w:rsidP="00D40BA6">
      <w:pPr>
        <w:pStyle w:val="Heading3"/>
        <w:rPr>
          <w:b/>
          <w:bCs/>
          <w:sz w:val="40"/>
          <w:szCs w:val="40"/>
        </w:rPr>
      </w:pPr>
      <w:r w:rsidRPr="00D40BA6">
        <w:rPr>
          <w:b/>
          <w:bCs/>
          <w:noProof/>
          <w:sz w:val="40"/>
          <w:szCs w:val="40"/>
        </w:rPr>
        <w:drawing>
          <wp:anchor distT="0" distB="0" distL="114300" distR="274320" simplePos="0" relativeHeight="251658240" behindDoc="0" locked="0" layoutInCell="1" hidden="0" allowOverlap="1" wp14:anchorId="1DDFD2FE" wp14:editId="6CC20797">
            <wp:simplePos x="0" y="0"/>
            <wp:positionH relativeFrom="column">
              <wp:posOffset>-440690</wp:posOffset>
            </wp:positionH>
            <wp:positionV relativeFrom="paragraph">
              <wp:posOffset>0</wp:posOffset>
            </wp:positionV>
            <wp:extent cx="1090930" cy="1371600"/>
            <wp:effectExtent l="0" t="0" r="0" b="0"/>
            <wp:wrapSquare wrapText="bothSides" distT="0" distB="0" distL="114300" distR="274320"/>
            <wp:docPr id="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090930" cy="1371600"/>
                    </a:xfrm>
                    <a:prstGeom prst="rect">
                      <a:avLst/>
                    </a:prstGeom>
                    <a:ln/>
                  </pic:spPr>
                </pic:pic>
              </a:graphicData>
            </a:graphic>
          </wp:anchor>
        </w:drawing>
      </w:r>
      <w:r w:rsidR="00904DE0" w:rsidRPr="00D40BA6">
        <w:rPr>
          <w:b/>
          <w:bCs/>
          <w:sz w:val="40"/>
          <w:szCs w:val="40"/>
        </w:rPr>
        <w:t>Massachusetts Department of</w:t>
      </w:r>
    </w:p>
    <w:p w14:paraId="2ADFB424" w14:textId="77777777" w:rsidR="00155831" w:rsidRDefault="00904DE0">
      <w:pPr>
        <w:ind w:left="-180"/>
        <w:rPr>
          <w:rFonts w:ascii="Arial" w:eastAsia="Arial" w:hAnsi="Arial" w:cs="Arial"/>
          <w:b/>
          <w:i/>
          <w:sz w:val="50"/>
          <w:szCs w:val="50"/>
        </w:rPr>
      </w:pPr>
      <w:r>
        <w:rPr>
          <w:rFonts w:ascii="Arial" w:eastAsia="Arial" w:hAnsi="Arial" w:cs="Arial"/>
          <w:b/>
          <w:i/>
          <w:sz w:val="40"/>
          <w:szCs w:val="40"/>
        </w:rPr>
        <w:t>Elementary and Secondary Education</w:t>
      </w:r>
    </w:p>
    <w:p w14:paraId="630E81B9" w14:textId="77777777" w:rsidR="00155831" w:rsidRDefault="00904DE0">
      <w:pPr>
        <w:rPr>
          <w:rFonts w:ascii="Arial" w:eastAsia="Arial" w:hAnsi="Arial" w:cs="Arial"/>
          <w:i/>
        </w:rPr>
      </w:pPr>
      <w:r>
        <w:rPr>
          <w:noProof/>
        </w:rPr>
        <mc:AlternateContent>
          <mc:Choice Requires="wps">
            <w:drawing>
              <wp:anchor distT="4294967295" distB="4294967295" distL="114300" distR="114300" simplePos="0" relativeHeight="251658241" behindDoc="0" locked="0" layoutInCell="1" hidden="0" allowOverlap="1" wp14:anchorId="6926AFD4" wp14:editId="6AAA1667">
                <wp:simplePos x="0" y="0"/>
                <wp:positionH relativeFrom="column">
                  <wp:posOffset>914400</wp:posOffset>
                </wp:positionH>
                <wp:positionV relativeFrom="paragraph">
                  <wp:posOffset>68596</wp:posOffset>
                </wp:positionV>
                <wp:extent cx="4800600" cy="12700"/>
                <wp:effectExtent l="0" t="0" r="0" b="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2945700" y="3780000"/>
                          <a:ext cx="4800600" cy="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244E4312" id="_x0000_t32" coordsize="21600,21600" o:spt="32" o:oned="t" path="m,l21600,21600e" filled="f">
                <v:path arrowok="t" fillok="f" o:connecttype="none"/>
                <o:lock v:ext="edit" shapetype="t"/>
              </v:shapetype>
              <v:shape id="Straight Arrow Connector 1" o:spid="_x0000_s1026" type="#_x0000_t32" style="position:absolute;margin-left:1in;margin-top:5.4pt;width:378pt;height:1pt;z-index:251658241;visibility:visible;mso-wrap-style:square;mso-wrap-distance-left:9pt;mso-wrap-distance-top:-3e-5mm;mso-wrap-distance-right:9pt;mso-wrap-distance-bottom:-3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" strokeweight="1pt"/>
            </w:pict>
          </mc:Fallback>
        </mc:AlternateContent>
      </w:r>
    </w:p>
    <w:p w14:paraId="3E937C56" w14:textId="1213BDD5" w:rsidR="00155831" w:rsidRDefault="00904DE0" w:rsidP="009F7F2A">
      <w:pPr>
        <w:pStyle w:val="Heading3"/>
        <w:tabs>
          <w:tab w:val="right" w:pos="9000"/>
        </w:tabs>
        <w:ind w:left="6480" w:right="360" w:hanging="4990"/>
        <w:rPr>
          <w:sz w:val="16"/>
          <w:szCs w:val="16"/>
        </w:rPr>
      </w:pPr>
      <w:r>
        <w:rPr>
          <w:sz w:val="16"/>
          <w:szCs w:val="16"/>
        </w:rPr>
        <w:t xml:space="preserve">75 Pleasant Street, Malden, Massachusetts 02148-4906 </w:t>
      </w:r>
      <w:r>
        <w:rPr>
          <w:sz w:val="16"/>
          <w:szCs w:val="16"/>
        </w:rPr>
        <w:tab/>
        <w:t xml:space="preserve">      </w:t>
      </w:r>
      <w:r w:rsidR="009F7F2A">
        <w:rPr>
          <w:sz w:val="16"/>
          <w:szCs w:val="16"/>
        </w:rPr>
        <w:tab/>
      </w:r>
      <w:r>
        <w:rPr>
          <w:sz w:val="16"/>
          <w:szCs w:val="16"/>
        </w:rPr>
        <w:t xml:space="preserve"> Telephone: (781) 338-3000                                                                                                                 TTY: N.E.T. Relay 1-800-439-2370</w:t>
      </w:r>
    </w:p>
    <w:p w14:paraId="3B15B8D3" w14:textId="77777777" w:rsidR="00155831" w:rsidRDefault="00155831">
      <w:pPr>
        <w:ind w:left="720"/>
        <w:rPr>
          <w:rFonts w:ascii="Arial" w:eastAsia="Arial" w:hAnsi="Arial" w:cs="Arial"/>
          <w:i/>
          <w:sz w:val="16"/>
          <w:szCs w:val="16"/>
        </w:rPr>
        <w:sectPr w:rsidR="00155831">
          <w:footerReference w:type="default" r:id="rId10"/>
          <w:pgSz w:w="12240" w:h="15840"/>
          <w:pgMar w:top="864" w:right="1080" w:bottom="1440" w:left="1800" w:header="1440" w:footer="1440" w:gutter="0"/>
          <w:pgNumType w:start="1"/>
          <w:cols w:space="720"/>
          <w:titlePg/>
        </w:sectPr>
      </w:pPr>
    </w:p>
    <w:p w14:paraId="4B60385D" w14:textId="77777777" w:rsidR="00155831" w:rsidRDefault="00155831">
      <w:pPr>
        <w:ind w:left="720"/>
        <w:jc w:val="center"/>
        <w:rPr>
          <w:rFonts w:ascii="Arial" w:eastAsia="Arial" w:hAnsi="Arial" w:cs="Arial"/>
          <w:i/>
          <w:sz w:val="16"/>
          <w:szCs w:val="16"/>
        </w:rPr>
      </w:pPr>
    </w:p>
    <w:tbl>
      <w:tblPr>
        <w:tblW w:w="11376"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2951"/>
        <w:gridCol w:w="8425"/>
      </w:tblGrid>
      <w:tr w:rsidR="00155831" w14:paraId="32C9D2E6" w14:textId="77777777">
        <w:tc>
          <w:tcPr>
            <w:tcW w:w="2951" w:type="dxa"/>
          </w:tcPr>
          <w:p w14:paraId="455F2D17" w14:textId="77777777" w:rsidR="00155831" w:rsidRDefault="00904DE0">
            <w:pPr>
              <w:jc w:val="center"/>
              <w:rPr>
                <w:rFonts w:ascii="Arial" w:eastAsia="Arial" w:hAnsi="Arial" w:cs="Arial"/>
                <w:sz w:val="16"/>
                <w:szCs w:val="16"/>
              </w:rPr>
            </w:pPr>
            <w:r>
              <w:rPr>
                <w:rFonts w:ascii="Arial" w:eastAsia="Arial" w:hAnsi="Arial" w:cs="Arial"/>
                <w:sz w:val="16"/>
                <w:szCs w:val="16"/>
              </w:rPr>
              <w:t>Jeffrey C. Riley</w:t>
            </w:r>
          </w:p>
          <w:p w14:paraId="6F519502" w14:textId="77777777" w:rsidR="00155831" w:rsidRDefault="00904DE0">
            <w:pPr>
              <w:jc w:val="center"/>
              <w:rPr>
                <w:rFonts w:ascii="Arial" w:eastAsia="Arial" w:hAnsi="Arial" w:cs="Arial"/>
                <w:i/>
                <w:sz w:val="16"/>
                <w:szCs w:val="16"/>
              </w:rPr>
            </w:pPr>
            <w:r>
              <w:rPr>
                <w:rFonts w:ascii="Arial" w:eastAsia="Arial" w:hAnsi="Arial" w:cs="Arial"/>
                <w:i/>
                <w:sz w:val="16"/>
                <w:szCs w:val="16"/>
              </w:rPr>
              <w:t>Commissioner</w:t>
            </w:r>
          </w:p>
        </w:tc>
        <w:tc>
          <w:tcPr>
            <w:tcW w:w="8425" w:type="dxa"/>
          </w:tcPr>
          <w:p w14:paraId="27CE5CC6" w14:textId="77777777" w:rsidR="00155831" w:rsidRDefault="00155831">
            <w:pPr>
              <w:jc w:val="center"/>
              <w:rPr>
                <w:rFonts w:ascii="Arial" w:eastAsia="Arial" w:hAnsi="Arial" w:cs="Arial"/>
                <w:i/>
                <w:sz w:val="16"/>
                <w:szCs w:val="16"/>
              </w:rPr>
            </w:pPr>
          </w:p>
        </w:tc>
      </w:tr>
    </w:tbl>
    <w:p w14:paraId="03AC9986" w14:textId="77777777" w:rsidR="00155831" w:rsidRDefault="00155831">
      <w:pPr>
        <w:rPr>
          <w:rFonts w:ascii="Arial" w:eastAsia="Arial" w:hAnsi="Arial" w:cs="Arial"/>
          <w:i/>
          <w:sz w:val="18"/>
          <w:szCs w:val="18"/>
        </w:rPr>
        <w:sectPr w:rsidR="00155831">
          <w:type w:val="continuous"/>
          <w:pgSz w:w="12240" w:h="15840"/>
          <w:pgMar w:top="864" w:right="432" w:bottom="1440" w:left="432" w:header="1440" w:footer="1440" w:gutter="0"/>
          <w:cols w:space="720"/>
        </w:sectPr>
      </w:pPr>
    </w:p>
    <w:p w14:paraId="0F8A669A" w14:textId="77777777" w:rsidR="00155831" w:rsidRDefault="00904DE0">
      <w:pPr>
        <w:pStyle w:val="Heading1"/>
      </w:pPr>
      <w:r>
        <w:t>MEMORANDUM</w:t>
      </w:r>
    </w:p>
    <w:p w14:paraId="3FBE5781" w14:textId="77777777" w:rsidR="00155831" w:rsidRDefault="00155831">
      <w:pPr>
        <w:pBdr>
          <w:top w:val="nil"/>
          <w:left w:val="nil"/>
          <w:bottom w:val="nil"/>
          <w:right w:val="nil"/>
          <w:between w:val="nil"/>
        </w:pBdr>
        <w:tabs>
          <w:tab w:val="center" w:pos="4320"/>
          <w:tab w:val="right" w:pos="8640"/>
        </w:tabs>
        <w:rPr>
          <w:color w:val="000000"/>
        </w:rPr>
      </w:pPr>
    </w:p>
    <w:tbl>
      <w:tblPr>
        <w:tblW w:w="9360" w:type="dxa"/>
        <w:tblInd w:w="-115" w:type="dxa"/>
        <w:tblLayout w:type="fixed"/>
        <w:tblCellMar>
          <w:left w:w="115" w:type="dxa"/>
          <w:right w:w="115" w:type="dxa"/>
        </w:tblCellMar>
        <w:tblLook w:val="0000" w:firstRow="0" w:lastRow="0" w:firstColumn="0" w:lastColumn="0" w:noHBand="0" w:noVBand="0"/>
      </w:tblPr>
      <w:tblGrid>
        <w:gridCol w:w="1184"/>
        <w:gridCol w:w="8176"/>
      </w:tblGrid>
      <w:tr w:rsidR="00155831" w14:paraId="7862813F" w14:textId="77777777">
        <w:tc>
          <w:tcPr>
            <w:tcW w:w="1184" w:type="dxa"/>
          </w:tcPr>
          <w:p w14:paraId="042FC6EF" w14:textId="77777777" w:rsidR="00155831" w:rsidRDefault="00904DE0">
            <w:pPr>
              <w:rPr>
                <w:b/>
              </w:rPr>
            </w:pPr>
            <w:r>
              <w:rPr>
                <w:b/>
              </w:rPr>
              <w:t>To:</w:t>
            </w:r>
          </w:p>
        </w:tc>
        <w:tc>
          <w:tcPr>
            <w:tcW w:w="8176" w:type="dxa"/>
          </w:tcPr>
          <w:p w14:paraId="37EF74D9" w14:textId="77777777" w:rsidR="00155831" w:rsidRDefault="00904DE0">
            <w:pPr>
              <w:pBdr>
                <w:top w:val="nil"/>
                <w:left w:val="nil"/>
                <w:bottom w:val="nil"/>
                <w:right w:val="nil"/>
                <w:between w:val="nil"/>
              </w:pBdr>
              <w:tabs>
                <w:tab w:val="center" w:pos="4320"/>
                <w:tab w:val="right" w:pos="8640"/>
              </w:tabs>
              <w:rPr>
                <w:color w:val="000000"/>
              </w:rPr>
            </w:pPr>
            <w:r>
              <w:rPr>
                <w:color w:val="000000"/>
              </w:rPr>
              <w:t>Members of the Board of Elementary and Secondary Education</w:t>
            </w:r>
          </w:p>
        </w:tc>
      </w:tr>
      <w:tr w:rsidR="00155831" w14:paraId="2B4D150E" w14:textId="77777777">
        <w:tc>
          <w:tcPr>
            <w:tcW w:w="1184" w:type="dxa"/>
          </w:tcPr>
          <w:p w14:paraId="7605349C" w14:textId="77777777" w:rsidR="00155831" w:rsidRDefault="00904DE0">
            <w:pPr>
              <w:rPr>
                <w:b/>
              </w:rPr>
            </w:pPr>
            <w:r>
              <w:rPr>
                <w:b/>
              </w:rPr>
              <w:t>From:</w:t>
            </w:r>
            <w:r>
              <w:tab/>
            </w:r>
          </w:p>
        </w:tc>
        <w:tc>
          <w:tcPr>
            <w:tcW w:w="8176" w:type="dxa"/>
          </w:tcPr>
          <w:p w14:paraId="40C04613" w14:textId="56208527" w:rsidR="009F7F2A" w:rsidRDefault="00904DE0">
            <w:pPr>
              <w:pBdr>
                <w:top w:val="nil"/>
                <w:left w:val="nil"/>
                <w:bottom w:val="nil"/>
                <w:right w:val="nil"/>
                <w:between w:val="nil"/>
              </w:pBdr>
              <w:tabs>
                <w:tab w:val="center" w:pos="4320"/>
                <w:tab w:val="right" w:pos="8640"/>
              </w:tabs>
              <w:rPr>
                <w:color w:val="000000"/>
              </w:rPr>
            </w:pPr>
            <w:r>
              <w:rPr>
                <w:color w:val="000000"/>
              </w:rPr>
              <w:t>Jeffrey C. Riley, Commissioner</w:t>
            </w:r>
          </w:p>
        </w:tc>
      </w:tr>
      <w:tr w:rsidR="00155831" w14:paraId="525C6FAE" w14:textId="77777777">
        <w:tc>
          <w:tcPr>
            <w:tcW w:w="1184" w:type="dxa"/>
          </w:tcPr>
          <w:p w14:paraId="472D7EDF" w14:textId="77777777" w:rsidR="00155831" w:rsidRDefault="00904DE0">
            <w:pPr>
              <w:rPr>
                <w:b/>
              </w:rPr>
            </w:pPr>
            <w:r>
              <w:rPr>
                <w:b/>
              </w:rPr>
              <w:t>Date:</w:t>
            </w:r>
            <w:r>
              <w:tab/>
            </w:r>
          </w:p>
        </w:tc>
        <w:tc>
          <w:tcPr>
            <w:tcW w:w="8176" w:type="dxa"/>
          </w:tcPr>
          <w:p w14:paraId="3769011C" w14:textId="238CF39F" w:rsidR="00155831" w:rsidRDefault="00904DE0">
            <w:pPr>
              <w:pBdr>
                <w:top w:val="nil"/>
                <w:left w:val="nil"/>
                <w:bottom w:val="nil"/>
                <w:right w:val="nil"/>
                <w:between w:val="nil"/>
              </w:pBdr>
              <w:tabs>
                <w:tab w:val="center" w:pos="4320"/>
                <w:tab w:val="right" w:pos="8640"/>
              </w:tabs>
              <w:rPr>
                <w:color w:val="000000"/>
              </w:rPr>
            </w:pPr>
            <w:r w:rsidRPr="00F01452">
              <w:t xml:space="preserve">January </w:t>
            </w:r>
            <w:r w:rsidR="00F01452">
              <w:t>17</w:t>
            </w:r>
            <w:r>
              <w:t>, 202</w:t>
            </w:r>
            <w:r w:rsidR="00B86BD9">
              <w:t>3</w:t>
            </w:r>
          </w:p>
        </w:tc>
      </w:tr>
      <w:tr w:rsidR="00155831" w14:paraId="7B0682B4" w14:textId="77777777">
        <w:tc>
          <w:tcPr>
            <w:tcW w:w="1184" w:type="dxa"/>
          </w:tcPr>
          <w:p w14:paraId="3F353E41" w14:textId="77777777" w:rsidR="00155831" w:rsidRDefault="00904DE0">
            <w:pPr>
              <w:rPr>
                <w:b/>
              </w:rPr>
            </w:pPr>
            <w:r>
              <w:rPr>
                <w:b/>
              </w:rPr>
              <w:t>Subject:</w:t>
            </w:r>
          </w:p>
        </w:tc>
        <w:tc>
          <w:tcPr>
            <w:tcW w:w="8176" w:type="dxa"/>
          </w:tcPr>
          <w:p w14:paraId="78A2077F" w14:textId="77777777" w:rsidR="00155831" w:rsidRDefault="00904DE0">
            <w:pPr>
              <w:pBdr>
                <w:top w:val="nil"/>
                <w:left w:val="nil"/>
                <w:bottom w:val="nil"/>
                <w:right w:val="nil"/>
                <w:between w:val="nil"/>
              </w:pBdr>
              <w:tabs>
                <w:tab w:val="center" w:pos="4320"/>
                <w:tab w:val="right" w:pos="8640"/>
              </w:tabs>
              <w:rPr>
                <w:color w:val="000000"/>
              </w:rPr>
            </w:pPr>
            <w:r>
              <w:rPr>
                <w:color w:val="000000"/>
              </w:rPr>
              <w:t>Update on Chronically Underperforming Schools: SY202</w:t>
            </w:r>
            <w:r>
              <w:t>2</w:t>
            </w:r>
            <w:r>
              <w:rPr>
                <w:color w:val="000000"/>
              </w:rPr>
              <w:t>-202</w:t>
            </w:r>
            <w:r>
              <w:t>3</w:t>
            </w:r>
            <w:r>
              <w:rPr>
                <w:color w:val="000000"/>
              </w:rPr>
              <w:t xml:space="preserve"> Quarter </w:t>
            </w:r>
            <w:r>
              <w:t>2</w:t>
            </w:r>
            <w:r>
              <w:rPr>
                <w:color w:val="000000"/>
              </w:rPr>
              <w:t xml:space="preserve"> Reports</w:t>
            </w:r>
          </w:p>
        </w:tc>
      </w:tr>
    </w:tbl>
    <w:p w14:paraId="43D11F10" w14:textId="77777777" w:rsidR="00155831" w:rsidRDefault="00155831">
      <w:pPr>
        <w:pBdr>
          <w:bottom w:val="single" w:sz="4" w:space="1" w:color="000000"/>
        </w:pBdr>
        <w:sectPr w:rsidR="00155831">
          <w:type w:val="continuous"/>
          <w:pgSz w:w="12240" w:h="15840"/>
          <w:pgMar w:top="1440" w:right="1440" w:bottom="1440" w:left="1440" w:header="1440" w:footer="1440" w:gutter="0"/>
          <w:cols w:space="720"/>
        </w:sectPr>
      </w:pPr>
      <w:bookmarkStart w:id="0" w:name="30j0zll" w:colFirst="0" w:colLast="0"/>
      <w:bookmarkStart w:id="1" w:name="1fob9te" w:colFirst="0" w:colLast="0"/>
      <w:bookmarkStart w:id="2" w:name="3znysh7" w:colFirst="0" w:colLast="0"/>
      <w:bookmarkStart w:id="3" w:name="gjdgxs" w:colFirst="0" w:colLast="0"/>
      <w:bookmarkEnd w:id="0"/>
      <w:bookmarkEnd w:id="1"/>
      <w:bookmarkEnd w:id="2"/>
      <w:bookmarkEnd w:id="3"/>
    </w:p>
    <w:p w14:paraId="48A18367" w14:textId="77777777" w:rsidR="00155831" w:rsidRDefault="00155831">
      <w:pPr>
        <w:widowControl/>
      </w:pPr>
    </w:p>
    <w:p w14:paraId="773AD10B" w14:textId="43A9E813" w:rsidR="00155831" w:rsidRDefault="00904DE0">
      <w:pPr>
        <w:widowControl/>
      </w:pPr>
      <w:r>
        <w:t>This month, I am presenting the second</w:t>
      </w:r>
      <w:r w:rsidR="00385F5B">
        <w:rPr>
          <w:rStyle w:val="FootnoteReference"/>
        </w:rPr>
        <w:footnoteReference w:id="2"/>
      </w:r>
      <w:r>
        <w:t xml:space="preserve"> of four SY2022-2023 quarterly progress updates to the Board of Elementary and Secondary Education (Board) on the three chronically underperforming schools’ implementation</w:t>
      </w:r>
      <w:r w:rsidR="00703F88">
        <w:t>s</w:t>
      </w:r>
      <w:r>
        <w:t xml:space="preserve"> of their school turnaround plans, focusing on activities from </w:t>
      </w:r>
      <w:r w:rsidRPr="00135C24">
        <w:t>October to December 2022.</w:t>
      </w:r>
      <w:r>
        <w:t xml:space="preserve"> The narrative for this progress update has been provided by the School Empowerment Network, based on classroom observations led by that group during that timeframe. The third quarterly update will be presented in April and a final annual review will come in June. </w:t>
      </w:r>
    </w:p>
    <w:p w14:paraId="26728FE7" w14:textId="77777777" w:rsidR="00155831" w:rsidRDefault="00155831"/>
    <w:p w14:paraId="140762F8" w14:textId="77777777" w:rsidR="00155831" w:rsidRDefault="00904DE0">
      <w:pPr>
        <w:widowControl/>
        <w:rPr>
          <w:b/>
          <w:u w:val="single"/>
        </w:rPr>
      </w:pPr>
      <w:r>
        <w:rPr>
          <w:b/>
          <w:u w:val="single"/>
        </w:rPr>
        <w:t>Chronically Underperforming Schools</w:t>
      </w:r>
    </w:p>
    <w:p w14:paraId="7A6C7398" w14:textId="77777777" w:rsidR="00155831" w:rsidRDefault="00155831">
      <w:pPr>
        <w:widowControl/>
      </w:pPr>
    </w:p>
    <w:p w14:paraId="2D9B9491" w14:textId="2EA97E32" w:rsidR="00155831" w:rsidRDefault="00CB2A7B">
      <w:pPr>
        <w:widowControl/>
      </w:pPr>
      <w:r>
        <w:t>There are currently three schools</w:t>
      </w:r>
      <w:r w:rsidR="00904DE0">
        <w:t xml:space="preserve"> designated as chronically underperforming in response to their low performance and lack of improvement while in underperforming status: John P. Holland Elementary School (UP Academy Holland) and Paul A. </w:t>
      </w:r>
      <w:proofErr w:type="spellStart"/>
      <w:r w:rsidR="00904DE0">
        <w:t>Dever</w:t>
      </w:r>
      <w:proofErr w:type="spellEnd"/>
      <w:r w:rsidR="00904DE0">
        <w:t xml:space="preserve"> Elementary School (</w:t>
      </w:r>
      <w:proofErr w:type="spellStart"/>
      <w:r w:rsidR="00904DE0">
        <w:t>Dever</w:t>
      </w:r>
      <w:proofErr w:type="spellEnd"/>
      <w:r w:rsidR="00904DE0">
        <w:t xml:space="preserve">) in Boston, and John Avery Parker Elementary School (Parker) in New Bedford. </w:t>
      </w:r>
      <w:r w:rsidR="002F442E">
        <w:t xml:space="preserve">As of fall 2022, </w:t>
      </w:r>
      <w:r w:rsidR="0029033B">
        <w:t>t</w:t>
      </w:r>
      <w:r w:rsidR="001F4E6A">
        <w:t xml:space="preserve">he Morgan </w:t>
      </w:r>
      <w:proofErr w:type="gramStart"/>
      <w:r w:rsidR="001F4E6A">
        <w:t>Full Service</w:t>
      </w:r>
      <w:proofErr w:type="gramEnd"/>
      <w:r w:rsidR="001F4E6A">
        <w:t xml:space="preserve"> Community School in Holyoke </w:t>
      </w:r>
      <w:r w:rsidR="002F442E">
        <w:t>is no longer designated as a chronically underperforming school.</w:t>
      </w:r>
      <w:r w:rsidR="002F442E">
        <w:rPr>
          <w:rStyle w:val="FootnoteReference"/>
        </w:rPr>
        <w:footnoteReference w:id="3"/>
      </w:r>
    </w:p>
    <w:p w14:paraId="2E41E694" w14:textId="77777777" w:rsidR="00155831" w:rsidRDefault="00155831">
      <w:pPr>
        <w:rPr>
          <w:b/>
          <w:sz w:val="28"/>
          <w:szCs w:val="28"/>
        </w:rPr>
      </w:pPr>
    </w:p>
    <w:p w14:paraId="31377E3A" w14:textId="77777777" w:rsidR="00155831" w:rsidRDefault="00904DE0">
      <w:pPr>
        <w:rPr>
          <w:b/>
          <w:sz w:val="28"/>
          <w:szCs w:val="28"/>
        </w:rPr>
      </w:pPr>
      <w:r>
        <w:rPr>
          <w:b/>
          <w:sz w:val="28"/>
          <w:szCs w:val="28"/>
        </w:rPr>
        <w:t xml:space="preserve">Paul A. </w:t>
      </w:r>
      <w:proofErr w:type="spellStart"/>
      <w:r>
        <w:rPr>
          <w:b/>
          <w:sz w:val="28"/>
          <w:szCs w:val="28"/>
        </w:rPr>
        <w:t>Dever</w:t>
      </w:r>
      <w:proofErr w:type="spellEnd"/>
      <w:r>
        <w:rPr>
          <w:b/>
          <w:sz w:val="28"/>
          <w:szCs w:val="28"/>
        </w:rPr>
        <w:t xml:space="preserve"> Elementary School, Boston</w:t>
      </w:r>
    </w:p>
    <w:p w14:paraId="38F25555" w14:textId="77777777" w:rsidR="00155831" w:rsidRDefault="00155831"/>
    <w:p w14:paraId="43C064B0" w14:textId="77777777" w:rsidR="00155831" w:rsidRDefault="00904DE0">
      <w:pPr>
        <w:rPr>
          <w:b/>
        </w:rPr>
      </w:pPr>
      <w:r>
        <w:rPr>
          <w:b/>
        </w:rPr>
        <w:t>School Strengths</w:t>
      </w:r>
    </w:p>
    <w:p w14:paraId="46E3805D" w14:textId="77777777" w:rsidR="00155831" w:rsidRDefault="00155831"/>
    <w:p w14:paraId="20C0541E" w14:textId="77777777" w:rsidR="00155831" w:rsidRDefault="00904DE0">
      <w:r>
        <w:t>Area of Strength #1</w:t>
      </w:r>
    </w:p>
    <w:p w14:paraId="0D67BEB2" w14:textId="77777777" w:rsidR="00155831" w:rsidRDefault="00904DE0">
      <w:r>
        <w:t>Positive Learning Environment</w:t>
      </w:r>
    </w:p>
    <w:p w14:paraId="300F881D" w14:textId="77777777" w:rsidR="00155831" w:rsidRDefault="00904DE0">
      <w:pPr>
        <w:rPr>
          <w:i/>
        </w:rPr>
      </w:pPr>
      <w:r>
        <w:rPr>
          <w:i/>
        </w:rPr>
        <w:t>Description:</w:t>
      </w:r>
    </w:p>
    <w:p w14:paraId="5EE591FB" w14:textId="1A3346F1" w:rsidR="00155831" w:rsidRDefault="00904DE0">
      <w:r>
        <w:t xml:space="preserve">Paul A. </w:t>
      </w:r>
      <w:proofErr w:type="spellStart"/>
      <w:r>
        <w:t>Dever</w:t>
      </w:r>
      <w:proofErr w:type="spellEnd"/>
      <w:r>
        <w:t xml:space="preserve"> Elementary School administrators and teachers alike have taken steps toward </w:t>
      </w:r>
      <w:r>
        <w:lastRenderedPageBreak/>
        <w:t xml:space="preserve">practices that support </w:t>
      </w:r>
      <w:r w:rsidR="36B2A830">
        <w:t>nurturing</w:t>
      </w:r>
      <w:r>
        <w:t xml:space="preserve"> school and classroom cultures. School leaders and teachers have prioritized building a more restorative school culture. Ongoing professional development related to responsive classroom techniques, collaborative problem solving, and </w:t>
      </w:r>
      <w:r w:rsidR="002F442E">
        <w:t>culturally responsive</w:t>
      </w:r>
      <w:r>
        <w:t xml:space="preserve"> teaching has resulted in a positive learning environment </w:t>
      </w:r>
      <w:r w:rsidR="00EA2DC4">
        <w:t xml:space="preserve">in which </w:t>
      </w:r>
      <w:r>
        <w:t xml:space="preserve">students feel supported and engaged. </w:t>
      </w:r>
    </w:p>
    <w:p w14:paraId="281E3508" w14:textId="77777777" w:rsidR="00155831" w:rsidRDefault="00155831"/>
    <w:p w14:paraId="29E54E7F" w14:textId="0839789E" w:rsidR="00155831" w:rsidRDefault="00904DE0">
      <w:r>
        <w:t>All classrooms observed during the School Quality Review (SQR) site vis</w:t>
      </w:r>
      <w:r w:rsidR="002F442E">
        <w:t>it</w:t>
      </w:r>
      <w:r>
        <w:t xml:space="preserve"> were warm and focused learning environments. Teachers</w:t>
      </w:r>
      <w:r w:rsidR="001C16CE">
        <w:t xml:space="preserve"> consistently </w:t>
      </w:r>
      <w:r w:rsidR="00656CFB">
        <w:t>used</w:t>
      </w:r>
      <w:r>
        <w:t xml:space="preserve"> language and tone </w:t>
      </w:r>
      <w:r w:rsidR="00CA1E3F">
        <w:t>that</w:t>
      </w:r>
      <w:r>
        <w:t xml:space="preserve"> w</w:t>
      </w:r>
      <w:r w:rsidR="00D266CF">
        <w:t>ere</w:t>
      </w:r>
      <w:r>
        <w:t xml:space="preserve"> encouraging, gentle, and positive. Teachers also spoke of work they have engaged in to build staff culture. Teachers noted that</w:t>
      </w:r>
      <w:r w:rsidR="00F30F42">
        <w:t xml:space="preserve"> </w:t>
      </w:r>
      <w:r w:rsidR="009A7225">
        <w:t>school leaders</w:t>
      </w:r>
      <w:r w:rsidR="004A4A80">
        <w:t xml:space="preserve"> have</w:t>
      </w:r>
      <w:r w:rsidR="009A7225">
        <w:t xml:space="preserve"> elicited</w:t>
      </w:r>
      <w:r>
        <w:t xml:space="preserve"> their f</w:t>
      </w:r>
      <w:r w:rsidR="009A7225">
        <w:t xml:space="preserve">eedback </w:t>
      </w:r>
      <w:r>
        <w:t xml:space="preserve">and </w:t>
      </w:r>
      <w:r w:rsidR="009A7225">
        <w:t xml:space="preserve">considered </w:t>
      </w:r>
      <w:r>
        <w:t xml:space="preserve">their opinions. </w:t>
      </w:r>
      <w:r w:rsidR="00D0217B">
        <w:t xml:space="preserve">School leaders have </w:t>
      </w:r>
      <w:r w:rsidR="004B55CD">
        <w:t>elevated</w:t>
      </w:r>
      <w:r>
        <w:t xml:space="preserve"> divers</w:t>
      </w:r>
      <w:r w:rsidR="004B55CD">
        <w:t>e</w:t>
      </w:r>
      <w:r>
        <w:t xml:space="preserve"> voices </w:t>
      </w:r>
      <w:r w:rsidR="007A4F02">
        <w:t xml:space="preserve">among the staff </w:t>
      </w:r>
      <w:r w:rsidR="00E85B19">
        <w:t>through</w:t>
      </w:r>
      <w:r>
        <w:t xml:space="preserve"> opportunities to lead </w:t>
      </w:r>
      <w:r w:rsidR="00B924ED">
        <w:t>professional development</w:t>
      </w:r>
      <w:r>
        <w:t xml:space="preserve"> and join the school’s instructional leadership team. Teachers shared that they see a connection between </w:t>
      </w:r>
      <w:r w:rsidR="00937874">
        <w:t>their work</w:t>
      </w:r>
      <w:r>
        <w:t xml:space="preserve"> to build a stronger staff culture and work that has been done to establish a safe, supportive culture for students.</w:t>
      </w:r>
    </w:p>
    <w:p w14:paraId="1085BDC0" w14:textId="77777777" w:rsidR="00155831" w:rsidRDefault="00155831"/>
    <w:p w14:paraId="75CD1A5B" w14:textId="77777777" w:rsidR="00155831" w:rsidRDefault="00904DE0">
      <w:r>
        <w:t>Area of Strength #2</w:t>
      </w:r>
    </w:p>
    <w:p w14:paraId="58790A52" w14:textId="77777777" w:rsidR="00155831" w:rsidRDefault="00904DE0">
      <w:r>
        <w:t>Teacher Teams and Distributed Leadership</w:t>
      </w:r>
    </w:p>
    <w:p w14:paraId="368DCFF8" w14:textId="01D9F1A7" w:rsidR="00155831" w:rsidRDefault="00155831"/>
    <w:p w14:paraId="7970314F" w14:textId="77777777" w:rsidR="00155831" w:rsidRDefault="00904DE0">
      <w:pPr>
        <w:rPr>
          <w:i/>
        </w:rPr>
      </w:pPr>
      <w:r>
        <w:rPr>
          <w:i/>
        </w:rPr>
        <w:t>Description:</w:t>
      </w:r>
    </w:p>
    <w:p w14:paraId="6020AA32" w14:textId="75A82E9B" w:rsidR="00155831" w:rsidRDefault="00904DE0">
      <w:r>
        <w:t xml:space="preserve">Each teacher participates in a grade-level team </w:t>
      </w:r>
      <w:r w:rsidR="00CE18C3">
        <w:t>meeting</w:t>
      </w:r>
      <w:r>
        <w:t xml:space="preserve"> twice weekly for common planning. On each grade-level team there is one content lead for </w:t>
      </w:r>
      <w:r w:rsidR="00F32062">
        <w:t>English language arts (</w:t>
      </w:r>
      <w:r>
        <w:t>ELA</w:t>
      </w:r>
      <w:r w:rsidR="00F32062">
        <w:t>)</w:t>
      </w:r>
      <w:r>
        <w:t xml:space="preserve"> and one for math. The content leads are responsible for weekly lesson plans</w:t>
      </w:r>
      <w:r w:rsidR="009E27A5">
        <w:t xml:space="preserve"> </w:t>
      </w:r>
      <w:r>
        <w:t xml:space="preserve">and meet </w:t>
      </w:r>
      <w:r w:rsidR="009E27A5">
        <w:t>separately</w:t>
      </w:r>
      <w:r>
        <w:t xml:space="preserve"> with either the corresponding ELA or math coach. </w:t>
      </w:r>
      <w:r w:rsidR="0095084E">
        <w:t>The</w:t>
      </w:r>
      <w:r w:rsidR="00137550">
        <w:t xml:space="preserve"> school has </w:t>
      </w:r>
      <w:r w:rsidR="00384C6A">
        <w:t>implemented t</w:t>
      </w:r>
      <w:r>
        <w:t>eam structures</w:t>
      </w:r>
      <w:r w:rsidR="00E866F7">
        <w:t xml:space="preserve"> supporting</w:t>
      </w:r>
      <w:r>
        <w:t xml:space="preserve"> educators to effectively engage in data-driven </w:t>
      </w:r>
      <w:r w:rsidR="000D4505">
        <w:t>discussions</w:t>
      </w:r>
      <w:r>
        <w:t xml:space="preserve">. This is a major shift since the last SQR site visit conducted in the </w:t>
      </w:r>
      <w:r w:rsidR="4920A963">
        <w:t>s</w:t>
      </w:r>
      <w:r>
        <w:t xml:space="preserve">pring of 2022, when data </w:t>
      </w:r>
      <w:r w:rsidR="008C63AA">
        <w:t xml:space="preserve">were </w:t>
      </w:r>
      <w:r>
        <w:t>not referenced</w:t>
      </w:r>
      <w:r w:rsidR="00381A1A">
        <w:t xml:space="preserve"> during </w:t>
      </w:r>
      <w:r w:rsidR="00F536FC">
        <w:t>observed teacher collaboration</w:t>
      </w:r>
      <w:r w:rsidR="00486D48">
        <w:t xml:space="preserve"> time</w:t>
      </w:r>
      <w:r>
        <w:t xml:space="preserve">. </w:t>
      </w:r>
      <w:r w:rsidR="1192B879">
        <w:t>As a next step in</w:t>
      </w:r>
      <w:r w:rsidR="00CC1509">
        <w:t xml:space="preserve"> </w:t>
      </w:r>
      <w:r w:rsidR="00025F49">
        <w:t>advanc</w:t>
      </w:r>
      <w:r w:rsidR="659D6451">
        <w:t>ing</w:t>
      </w:r>
      <w:r w:rsidR="00CC1509">
        <w:t xml:space="preserve"> </w:t>
      </w:r>
      <w:r w:rsidR="00F16463">
        <w:t>teacher</w:t>
      </w:r>
      <w:r w:rsidR="00920A12">
        <w:t xml:space="preserve">s’ </w:t>
      </w:r>
      <w:r w:rsidR="00EA114B">
        <w:t>data-driven discussions</w:t>
      </w:r>
      <w:r w:rsidR="00C65882">
        <w:t>, s</w:t>
      </w:r>
      <w:r>
        <w:t xml:space="preserve">chool leaders </w:t>
      </w:r>
      <w:r w:rsidR="13C65EFE">
        <w:t>should support</w:t>
      </w:r>
      <w:r>
        <w:t xml:space="preserve"> </w:t>
      </w:r>
      <w:r w:rsidR="52EDD347">
        <w:t>the development of</w:t>
      </w:r>
      <w:r w:rsidR="00D70351">
        <w:t xml:space="preserve"> </w:t>
      </w:r>
      <w:r w:rsidR="00054982">
        <w:t xml:space="preserve">processes to </w:t>
      </w:r>
      <w:r w:rsidR="00322345">
        <w:t>calibrate expectations</w:t>
      </w:r>
      <w:r w:rsidR="00054982">
        <w:t xml:space="preserve"> around rubrics, assessments, and grading.</w:t>
      </w:r>
    </w:p>
    <w:p w14:paraId="602E1BCD" w14:textId="77777777" w:rsidR="00155831" w:rsidRDefault="00155831"/>
    <w:p w14:paraId="055F0A7D" w14:textId="33B3C32D" w:rsidR="00155831" w:rsidRDefault="00904DE0">
      <w:r>
        <w:t>The</w:t>
      </w:r>
      <w:r w:rsidR="005503F7">
        <w:t xml:space="preserve"> school</w:t>
      </w:r>
      <w:r w:rsidR="002D0217">
        <w:t xml:space="preserve"> has</w:t>
      </w:r>
      <w:r w:rsidR="005503F7">
        <w:t xml:space="preserve"> continue</w:t>
      </w:r>
      <w:r w:rsidR="002D0217">
        <w:t>d</w:t>
      </w:r>
      <w:r w:rsidR="005503F7">
        <w:t xml:space="preserve"> to </w:t>
      </w:r>
      <w:r w:rsidR="004F496C">
        <w:t xml:space="preserve">develop </w:t>
      </w:r>
      <w:r>
        <w:t>teacher</w:t>
      </w:r>
      <w:r w:rsidR="004F496C">
        <w:t xml:space="preserve"> </w:t>
      </w:r>
      <w:r>
        <w:t>leadership structures</w:t>
      </w:r>
      <w:r w:rsidR="004F496C">
        <w:t xml:space="preserve"> that</w:t>
      </w:r>
      <w:r>
        <w:t xml:space="preserve"> give teachers </w:t>
      </w:r>
      <w:r w:rsidR="00DF4DF7">
        <w:t xml:space="preserve">a </w:t>
      </w:r>
      <w:r>
        <w:t xml:space="preserve">voice in key decisions. School leaders and coaches shared that the instructional leadership team is </w:t>
      </w:r>
      <w:r w:rsidR="00280BD9">
        <w:t>focusing on</w:t>
      </w:r>
      <w:r>
        <w:t xml:space="preserve"> hear</w:t>
      </w:r>
      <w:r w:rsidR="00280BD9">
        <w:t>ing</w:t>
      </w:r>
      <w:r>
        <w:t xml:space="preserve"> from teachers about their professional development needs. Teachers report</w:t>
      </w:r>
      <w:r w:rsidR="005A7373">
        <w:t>ed</w:t>
      </w:r>
      <w:r>
        <w:t xml:space="preserve"> that</w:t>
      </w:r>
      <w:r w:rsidR="004346E1">
        <w:t xml:space="preserve"> this </w:t>
      </w:r>
      <w:r w:rsidR="00DB3EC2">
        <w:t>effort has elevated</w:t>
      </w:r>
      <w:r w:rsidR="004346E1">
        <w:t xml:space="preserve"> </w:t>
      </w:r>
      <w:r>
        <w:t xml:space="preserve">historically marginalized voices, </w:t>
      </w:r>
      <w:r w:rsidR="0094496E">
        <w:t>citing an</w:t>
      </w:r>
      <w:r>
        <w:t xml:space="preserve"> example </w:t>
      </w:r>
      <w:r w:rsidR="005769E3">
        <w:t xml:space="preserve">where staff </w:t>
      </w:r>
      <w:r w:rsidR="009458CD">
        <w:t>examined</w:t>
      </w:r>
      <w:r w:rsidR="004258BB">
        <w:t xml:space="preserve"> </w:t>
      </w:r>
      <w:r w:rsidR="005769E3">
        <w:t xml:space="preserve">and discussed school practices as </w:t>
      </w:r>
      <w:r w:rsidR="000763BF">
        <w:t xml:space="preserve">equitable or inequitable. </w:t>
      </w:r>
      <w:r w:rsidR="00D9281B">
        <w:t>Teachers’ experiences of f</w:t>
      </w:r>
      <w:r>
        <w:t xml:space="preserve">eeling heard, valued, and included in key decisions </w:t>
      </w:r>
      <w:r w:rsidR="005A7373">
        <w:t>have produced</w:t>
      </w:r>
      <w:r>
        <w:t xml:space="preserve"> a strong sense of buy-in, ownership, and support for schoolwide success.</w:t>
      </w:r>
    </w:p>
    <w:p w14:paraId="2A22215F" w14:textId="77777777" w:rsidR="00155831" w:rsidRDefault="00155831"/>
    <w:p w14:paraId="7A6709AF" w14:textId="77777777" w:rsidR="00155831" w:rsidRDefault="00904DE0">
      <w:pPr>
        <w:rPr>
          <w:b/>
        </w:rPr>
      </w:pPr>
      <w:r>
        <w:rPr>
          <w:b/>
        </w:rPr>
        <w:t>Areas of Focus</w:t>
      </w:r>
    </w:p>
    <w:p w14:paraId="5DEB660C" w14:textId="77777777" w:rsidR="00155831" w:rsidRDefault="00904DE0">
      <w:r>
        <w:t>Area of Focus #1</w:t>
      </w:r>
    </w:p>
    <w:p w14:paraId="2AB6D4B8" w14:textId="77777777" w:rsidR="00155831" w:rsidRDefault="00904DE0">
      <w:r>
        <w:t>Curriculum</w:t>
      </w:r>
    </w:p>
    <w:p w14:paraId="430B6212" w14:textId="77777777" w:rsidR="00155831" w:rsidRDefault="00155831"/>
    <w:p w14:paraId="5A82B86E" w14:textId="77777777" w:rsidR="001F2130" w:rsidRDefault="001F2130">
      <w:pPr>
        <w:rPr>
          <w:i/>
        </w:rPr>
      </w:pPr>
    </w:p>
    <w:p w14:paraId="26BE3477" w14:textId="53C57E14" w:rsidR="00155831" w:rsidRDefault="00904DE0">
      <w:pPr>
        <w:rPr>
          <w:i/>
        </w:rPr>
      </w:pPr>
      <w:r>
        <w:rPr>
          <w:i/>
        </w:rPr>
        <w:t xml:space="preserve">Description: </w:t>
      </w:r>
    </w:p>
    <w:p w14:paraId="2AE22767" w14:textId="54E74986" w:rsidR="00055FED" w:rsidRDefault="00904DE0">
      <w:r>
        <w:t xml:space="preserve">The school has adopted </w:t>
      </w:r>
      <w:proofErr w:type="spellStart"/>
      <w:r>
        <w:t>Zaretta</w:t>
      </w:r>
      <w:proofErr w:type="spellEnd"/>
      <w:r>
        <w:t xml:space="preserve"> Hammond’s framework</w:t>
      </w:r>
      <w:r w:rsidR="00B26622">
        <w:t xml:space="preserve"> for culturally responsive instruction,</w:t>
      </w:r>
      <w:r>
        <w:t xml:space="preserve"> and </w:t>
      </w:r>
      <w:r>
        <w:lastRenderedPageBreak/>
        <w:t xml:space="preserve">teachers are working diligently to </w:t>
      </w:r>
      <w:r w:rsidR="00C35685">
        <w:t>apply</w:t>
      </w:r>
      <w:r>
        <w:t xml:space="preserve"> this framework </w:t>
      </w:r>
      <w:r w:rsidR="00C35685">
        <w:t>using</w:t>
      </w:r>
      <w:r w:rsidR="0045311C">
        <w:t xml:space="preserve"> the school’s</w:t>
      </w:r>
      <w:r>
        <w:t xml:space="preserve"> curricula</w:t>
      </w:r>
      <w:r w:rsidR="0045311C">
        <w:t>r resources</w:t>
      </w:r>
      <w:r>
        <w:t xml:space="preserve">. </w:t>
      </w:r>
      <w:r w:rsidR="002C21D0">
        <w:t xml:space="preserve">School leaders have </w:t>
      </w:r>
      <w:r w:rsidR="00D54B89">
        <w:t xml:space="preserve">introduced </w:t>
      </w:r>
      <w:r>
        <w:t xml:space="preserve">Systemic Functional Linguistics (SFL) as a supplemental framework this year to ensure that all learners have access to the ELA curriculum. Coaches, school leaders, and teachers alike reported that the “ignite” and “chew” components of Hammond’s framework are a major focus for teaching and learning. </w:t>
      </w:r>
    </w:p>
    <w:p w14:paraId="5FDFD88E" w14:textId="77777777" w:rsidR="00055FED" w:rsidRDefault="00055FED"/>
    <w:p w14:paraId="3FDDA99D" w14:textId="1B7E8BAE" w:rsidR="00155831" w:rsidRDefault="00904DE0">
      <w:r>
        <w:t>However, in classrooms, there was inconsistent evidence of efforts to activate curiosity or engage students.</w:t>
      </w:r>
      <w:r w:rsidR="00055FED">
        <w:t xml:space="preserve"> </w:t>
      </w:r>
      <w:r>
        <w:t xml:space="preserve">While student discourse is essential to the </w:t>
      </w:r>
      <w:proofErr w:type="spellStart"/>
      <w:r>
        <w:t>Dever</w:t>
      </w:r>
      <w:proofErr w:type="spellEnd"/>
      <w:r>
        <w:t xml:space="preserve"> instructional vision, there was little evidence of student discourse in </w:t>
      </w:r>
      <w:r w:rsidR="000763BF">
        <w:t>classrooms</w:t>
      </w:r>
      <w:r>
        <w:t>. In many classrooms observed, while teachers were facilitating small groups or circulating</w:t>
      </w:r>
      <w:r w:rsidR="005844D2">
        <w:t xml:space="preserve"> among</w:t>
      </w:r>
      <w:r>
        <w:t xml:space="preserve"> students, students responded to teacher questions but did not speak to one another.</w:t>
      </w:r>
      <w:r w:rsidR="003B70D9">
        <w:t xml:space="preserve"> Additionally, </w:t>
      </w:r>
      <w:r w:rsidR="00CE4BBE">
        <w:t>students</w:t>
      </w:r>
      <w:r w:rsidR="009831C1">
        <w:t xml:space="preserve"> were mostly engaged in isolated skills work </w:t>
      </w:r>
      <w:r w:rsidR="00867050">
        <w:t>within their small groups</w:t>
      </w:r>
      <w:r w:rsidR="00324CC9">
        <w:t xml:space="preserve">, rather than </w:t>
      </w:r>
      <w:r w:rsidR="008033C8">
        <w:t xml:space="preserve">collaborating </w:t>
      </w:r>
      <w:r w:rsidR="00C2194D">
        <w:t xml:space="preserve">on complex tasks. </w:t>
      </w:r>
      <w:r>
        <w:t xml:space="preserve">Moving forward, leaders and teachers must analyze how much time students are spending engaged in complex tasks and how much time they are spending on isolated skills work. It is essential to make sure that skills work is tied directly to complex tasks in order to improve the quality of teachers’ </w:t>
      </w:r>
      <w:r w:rsidR="2A8C4611">
        <w:t>implementation</w:t>
      </w:r>
      <w:r>
        <w:t xml:space="preserve"> of core curricula.</w:t>
      </w:r>
    </w:p>
    <w:p w14:paraId="0E643FE9" w14:textId="77777777" w:rsidR="00155831" w:rsidRDefault="00155831">
      <w:pPr>
        <w:rPr>
          <w:i/>
        </w:rPr>
      </w:pPr>
    </w:p>
    <w:p w14:paraId="36F4816C" w14:textId="77777777" w:rsidR="00155831" w:rsidRDefault="00904DE0">
      <w:r>
        <w:t>Area of Focus #2</w:t>
      </w:r>
    </w:p>
    <w:p w14:paraId="5D15D36A" w14:textId="77777777" w:rsidR="00155831" w:rsidRDefault="00904DE0">
      <w:r>
        <w:t>Pedagogy</w:t>
      </w:r>
    </w:p>
    <w:p w14:paraId="295C78C7" w14:textId="77777777" w:rsidR="00155831" w:rsidRDefault="00155831"/>
    <w:p w14:paraId="5B923A04" w14:textId="77777777" w:rsidR="00155831" w:rsidRDefault="00904DE0">
      <w:pPr>
        <w:rPr>
          <w:i/>
        </w:rPr>
      </w:pPr>
      <w:r>
        <w:rPr>
          <w:i/>
        </w:rPr>
        <w:t xml:space="preserve">Description: </w:t>
      </w:r>
    </w:p>
    <w:p w14:paraId="13C88F7C" w14:textId="33B470E1" w:rsidR="00155831" w:rsidRDefault="00904DE0">
      <w:proofErr w:type="spellStart"/>
      <w:r>
        <w:t>Dever’s</w:t>
      </w:r>
      <w:proofErr w:type="spellEnd"/>
      <w:r>
        <w:t xml:space="preserve"> principal and coaches demonstrate understanding that teacher pedagogy must be driven by a coherent set of beliefs about how students learn best</w:t>
      </w:r>
      <w:r w:rsidR="00191726">
        <w:t>,</w:t>
      </w:r>
      <w:r>
        <w:t xml:space="preserve"> informed by a research-based teaching framework grounded in culturally</w:t>
      </w:r>
      <w:r w:rsidR="00F35F3D">
        <w:t xml:space="preserve"> </w:t>
      </w:r>
      <w:r>
        <w:t xml:space="preserve">responsive practices. The school continues to remain steadfast in its vision of building student independence. Teachers spoke of the importance of the </w:t>
      </w:r>
      <w:r w:rsidR="00597D79">
        <w:t xml:space="preserve">schoolwide instructional </w:t>
      </w:r>
      <w:r>
        <w:t xml:space="preserve">model as a focus for </w:t>
      </w:r>
      <w:r w:rsidR="00F01FBC">
        <w:t>professional development</w:t>
      </w:r>
      <w:r>
        <w:t xml:space="preserve">, sharing that they receive feedback on implementation of Hammond’s “ignite, chunk, chew, review” framework in their classrooms. </w:t>
      </w:r>
    </w:p>
    <w:p w14:paraId="10354E55" w14:textId="77777777" w:rsidR="00155831" w:rsidRDefault="00155831"/>
    <w:p w14:paraId="680AD4E3" w14:textId="7BA8386F" w:rsidR="00155831" w:rsidRDefault="00904DE0">
      <w:r>
        <w:t xml:space="preserve">There is a disconnect, however, between how teachers and leaders say they believe students learn best and the instructional practices observed in classrooms. During classroom visits, student work products and discussions reflected uneven levels of student thought and participation. Students were </w:t>
      </w:r>
      <w:r w:rsidR="59BC01F7">
        <w:t xml:space="preserve">generally </w:t>
      </w:r>
      <w:r>
        <w:t>neither engaged in meaningful group work nor in discussions with one another. Instead, students were responding to skills-based questions posed by teachers even when they sat in small groups.</w:t>
      </w:r>
      <w:r w:rsidR="1895D3B6">
        <w:t xml:space="preserve"> In most classrooms</w:t>
      </w:r>
      <w:r w:rsidR="7A698F5E">
        <w:t xml:space="preserve"> visited</w:t>
      </w:r>
      <w:r w:rsidR="1895D3B6">
        <w:t>,</w:t>
      </w:r>
      <w:r>
        <w:t xml:space="preserve"> </w:t>
      </w:r>
      <w:r w:rsidR="40921FA1">
        <w:t>s</w:t>
      </w:r>
      <w:r>
        <w:t>tudents were not asked to grapple with big ideas, show their thinking, apply skills in new contexts, or work with peers to construct new understandings.</w:t>
      </w:r>
    </w:p>
    <w:p w14:paraId="029609A5" w14:textId="77777777" w:rsidR="00155831" w:rsidRDefault="00155831"/>
    <w:p w14:paraId="66CB9765" w14:textId="77777777" w:rsidR="00155831" w:rsidRDefault="00904DE0">
      <w:r>
        <w:t>Area of Focus #3</w:t>
      </w:r>
    </w:p>
    <w:p w14:paraId="2B7BF19B" w14:textId="77777777" w:rsidR="00155831" w:rsidRDefault="00904DE0">
      <w:r>
        <w:t>Assessment</w:t>
      </w:r>
    </w:p>
    <w:p w14:paraId="4CF0A112" w14:textId="77777777" w:rsidR="00155831" w:rsidRDefault="00155831"/>
    <w:p w14:paraId="4C386B76" w14:textId="77777777" w:rsidR="001F2130" w:rsidRDefault="001F2130">
      <w:pPr>
        <w:rPr>
          <w:i/>
        </w:rPr>
      </w:pPr>
    </w:p>
    <w:p w14:paraId="4660209B" w14:textId="690A53A9" w:rsidR="00155831" w:rsidRDefault="00904DE0">
      <w:pPr>
        <w:rPr>
          <w:i/>
        </w:rPr>
      </w:pPr>
      <w:r>
        <w:rPr>
          <w:i/>
        </w:rPr>
        <w:t xml:space="preserve">Description: </w:t>
      </w:r>
    </w:p>
    <w:p w14:paraId="70CFB7D1" w14:textId="08ED981C" w:rsidR="00155831" w:rsidRDefault="00904DE0">
      <w:r>
        <w:t xml:space="preserve">Currently, </w:t>
      </w:r>
      <w:r w:rsidR="00855EB8">
        <w:t xml:space="preserve">teachers are </w:t>
      </w:r>
      <w:r w:rsidR="00242C0B">
        <w:t xml:space="preserve">implementing </w:t>
      </w:r>
      <w:r>
        <w:t xml:space="preserve">common </w:t>
      </w:r>
      <w:r w:rsidR="00242C0B">
        <w:t xml:space="preserve">grade-level </w:t>
      </w:r>
      <w:r>
        <w:t>assessments a</w:t>
      </w:r>
      <w:r w:rsidR="00855E1C">
        <w:t>nd using</w:t>
      </w:r>
      <w:r>
        <w:t xml:space="preserve"> data from </w:t>
      </w:r>
      <w:r>
        <w:lastRenderedPageBreak/>
        <w:t xml:space="preserve">those </w:t>
      </w:r>
      <w:r w:rsidR="005877BD">
        <w:t xml:space="preserve">assessments </w:t>
      </w:r>
      <w:r>
        <w:t xml:space="preserve">to inform student groupings. The school’s leader and coaches </w:t>
      </w:r>
      <w:r w:rsidR="001351F0">
        <w:t>utilize</w:t>
      </w:r>
      <w:r>
        <w:t xml:space="preserve"> assessments to identify students who may be at</w:t>
      </w:r>
      <w:r w:rsidR="009169B9">
        <w:t xml:space="preserve"> </w:t>
      </w:r>
      <w:r>
        <w:t>risk of not meeting grade</w:t>
      </w:r>
      <w:r w:rsidR="004744F5">
        <w:t>-</w:t>
      </w:r>
      <w:r>
        <w:t xml:space="preserve">level benchmarks. Teachers utilize screeners to gain additional insight into skills gaps and to design Tier 2 scaffolds and instructional foci. Collectively, this information is being uploaded to a data hub </w:t>
      </w:r>
      <w:r w:rsidR="004744F5">
        <w:t xml:space="preserve">that is accessible to all </w:t>
      </w:r>
      <w:r>
        <w:t xml:space="preserve">teachers, school leaders, and coaches. </w:t>
      </w:r>
    </w:p>
    <w:p w14:paraId="6BCBC123" w14:textId="77777777" w:rsidR="00155831" w:rsidRDefault="00155831"/>
    <w:p w14:paraId="02BD516E" w14:textId="31934271" w:rsidR="00155831" w:rsidRDefault="00904DE0">
      <w:r>
        <w:t xml:space="preserve">Now that </w:t>
      </w:r>
      <w:r w:rsidR="004744F5">
        <w:t>the school has implemented</w:t>
      </w:r>
      <w:r>
        <w:t xml:space="preserve"> common assessments</w:t>
      </w:r>
      <w:r w:rsidR="004744F5">
        <w:t xml:space="preserve"> schoolwide,</w:t>
      </w:r>
      <w:r>
        <w:t xml:space="preserve"> coupled with expectations for entering assessment data into a shared data hub, a next step is to focus on supporting teachers in using that data to inform instruction.</w:t>
      </w:r>
      <w:r w:rsidR="05B91831">
        <w:t xml:space="preserve"> In common planning time, teachers are beginning to use data to guide their discussions and additional protocols and practice wi</w:t>
      </w:r>
      <w:r w:rsidR="1A1DAAF2">
        <w:t xml:space="preserve">ll support teachers in effectively and consistently using data to inform their instruction. </w:t>
      </w:r>
    </w:p>
    <w:p w14:paraId="26342E91" w14:textId="77777777" w:rsidR="00155831" w:rsidRDefault="00155831">
      <w:pPr>
        <w:rPr>
          <w:i/>
        </w:rPr>
      </w:pPr>
    </w:p>
    <w:p w14:paraId="3AEB43B2" w14:textId="77777777" w:rsidR="00155831" w:rsidRDefault="00904DE0">
      <w:pPr>
        <w:rPr>
          <w:b/>
          <w:sz w:val="28"/>
          <w:szCs w:val="28"/>
        </w:rPr>
      </w:pPr>
      <w:r>
        <w:rPr>
          <w:b/>
          <w:sz w:val="28"/>
          <w:szCs w:val="28"/>
        </w:rPr>
        <w:t>UP Academy Holland, Boston</w:t>
      </w:r>
    </w:p>
    <w:p w14:paraId="6E90E764" w14:textId="77777777" w:rsidR="00155831" w:rsidRDefault="00155831"/>
    <w:p w14:paraId="4809DE77" w14:textId="77777777" w:rsidR="00155831" w:rsidRDefault="00904DE0">
      <w:pPr>
        <w:rPr>
          <w:b/>
        </w:rPr>
      </w:pPr>
      <w:r>
        <w:rPr>
          <w:b/>
        </w:rPr>
        <w:t>School Strengths</w:t>
      </w:r>
    </w:p>
    <w:p w14:paraId="3DA84DE0" w14:textId="77777777" w:rsidR="00155831" w:rsidRDefault="00155831"/>
    <w:p w14:paraId="7CC0719F" w14:textId="77777777" w:rsidR="00155831" w:rsidRDefault="00904DE0">
      <w:r>
        <w:t>Area of Strength #1</w:t>
      </w:r>
    </w:p>
    <w:p w14:paraId="7DD3EC80" w14:textId="77777777" w:rsidR="00155831" w:rsidRDefault="00904DE0">
      <w:r>
        <w:t>Positive Learning Environment</w:t>
      </w:r>
    </w:p>
    <w:p w14:paraId="4624E190" w14:textId="77777777" w:rsidR="00155831" w:rsidRDefault="00155831"/>
    <w:p w14:paraId="0FEE1CEB" w14:textId="77777777" w:rsidR="00155831" w:rsidRDefault="00904DE0">
      <w:pPr>
        <w:rPr>
          <w:i/>
        </w:rPr>
      </w:pPr>
      <w:r>
        <w:rPr>
          <w:i/>
        </w:rPr>
        <w:t xml:space="preserve">Description: </w:t>
      </w:r>
    </w:p>
    <w:p w14:paraId="3CD8216A" w14:textId="13159188" w:rsidR="00155831" w:rsidRDefault="00904DE0">
      <w:r>
        <w:t>UP Academy Holland leaders envision a school culture characterized by warm, safe, and focused classroom learning environments. Reviewers observed this vision being enacted in all classrooms visited. Students follow</w:t>
      </w:r>
      <w:r w:rsidR="007B20B8">
        <w:t>ed</w:t>
      </w:r>
      <w:r>
        <w:t xml:space="preserve"> expected rules and routines with few reminders. All teachers communicate</w:t>
      </w:r>
      <w:r w:rsidR="007B20B8">
        <w:t>d</w:t>
      </w:r>
      <w:r>
        <w:t xml:space="preserve"> in warm tones while using respectful and encouraging language. Students report</w:t>
      </w:r>
      <w:r w:rsidR="00C64AB3">
        <w:t>ed</w:t>
      </w:r>
      <w:r>
        <w:t xml:space="preserve"> feeling supported and feeling that their teachers care about them. Parents shared a strong belief that all children are treated equitably and respected in school and that their children are well known and cared for by their teachers.</w:t>
      </w:r>
    </w:p>
    <w:p w14:paraId="4A86A245" w14:textId="77777777" w:rsidR="00155831" w:rsidRDefault="00155831"/>
    <w:p w14:paraId="2A0C04D7" w14:textId="643693AE" w:rsidR="00155831" w:rsidRDefault="00904DE0">
      <w:r>
        <w:t>School leaders</w:t>
      </w:r>
      <w:r w:rsidR="00C64AB3">
        <w:t xml:space="preserve"> have</w:t>
      </w:r>
      <w:r>
        <w:t xml:space="preserve"> continue</w:t>
      </w:r>
      <w:r w:rsidR="00C64AB3">
        <w:t>d</w:t>
      </w:r>
      <w:r>
        <w:t xml:space="preserve"> to develop the school’s restorative approach to culture building. They have ensured that there is dedicated time for repair and restoration in all classrooms.</w:t>
      </w:r>
      <w:r w:rsidR="00C459AB">
        <w:t xml:space="preserve"> In the classrooms visited,</w:t>
      </w:r>
      <w:r>
        <w:t xml:space="preserve"> </w:t>
      </w:r>
      <w:r w:rsidR="00C459AB">
        <w:t>s</w:t>
      </w:r>
      <w:r>
        <w:t>tudents actively engage</w:t>
      </w:r>
      <w:r w:rsidR="00C459AB">
        <w:t>d</w:t>
      </w:r>
      <w:r>
        <w:t xml:space="preserve"> in lessons, attempt</w:t>
      </w:r>
      <w:r w:rsidR="00C459AB">
        <w:t>ed</w:t>
      </w:r>
      <w:r>
        <w:t xml:space="preserve"> academic tasks put before them, and me</w:t>
      </w:r>
      <w:r w:rsidR="00393F9B">
        <w:t>t their teachers’</w:t>
      </w:r>
      <w:r>
        <w:t xml:space="preserve"> behavioral expectations.</w:t>
      </w:r>
    </w:p>
    <w:p w14:paraId="0426E3E4" w14:textId="77777777" w:rsidR="00155831" w:rsidRDefault="00155831"/>
    <w:p w14:paraId="630151B5" w14:textId="77777777" w:rsidR="00155831" w:rsidRDefault="00904DE0">
      <w:r>
        <w:t>Area of Strength #2</w:t>
      </w:r>
    </w:p>
    <w:p w14:paraId="44A86937" w14:textId="77777777" w:rsidR="00155831" w:rsidRDefault="00904DE0">
      <w:r>
        <w:t>Assessment</w:t>
      </w:r>
    </w:p>
    <w:p w14:paraId="0BD9425E" w14:textId="77777777" w:rsidR="00155831" w:rsidRDefault="00155831"/>
    <w:p w14:paraId="28D3CC64" w14:textId="77777777" w:rsidR="00155831" w:rsidRDefault="00904DE0">
      <w:pPr>
        <w:rPr>
          <w:i/>
        </w:rPr>
      </w:pPr>
      <w:r>
        <w:rPr>
          <w:i/>
        </w:rPr>
        <w:t xml:space="preserve">Description: </w:t>
      </w:r>
    </w:p>
    <w:p w14:paraId="6054F3AA" w14:textId="69E11344" w:rsidR="00155831" w:rsidRDefault="00904DE0">
      <w:r>
        <w:t xml:space="preserve">Teachers and teams continue to utilize common assessments to determine student progress toward goals across grades and subject areas. The results are used to </w:t>
      </w:r>
      <w:proofErr w:type="gramStart"/>
      <w:r>
        <w:t>make adjustments to</w:t>
      </w:r>
      <w:proofErr w:type="gramEnd"/>
      <w:r>
        <w:t xml:space="preserve"> curricula and instruction. </w:t>
      </w:r>
      <w:r w:rsidR="00FF6EC2">
        <w:t>A school-wide assessment calendar</w:t>
      </w:r>
      <w:r>
        <w:t xml:space="preserve"> </w:t>
      </w:r>
      <w:r w:rsidR="00FF6EC2">
        <w:t xml:space="preserve">includes time for </w:t>
      </w:r>
      <w:r>
        <w:t xml:space="preserve">data meetings between administrators and individual teachers to help </w:t>
      </w:r>
      <w:r w:rsidR="00715A13">
        <w:t>teachers</w:t>
      </w:r>
      <w:r w:rsidR="00146B94">
        <w:t xml:space="preserve"> use their classroom-level data to identify their</w:t>
      </w:r>
      <w:r>
        <w:t xml:space="preserve"> next steps for</w:t>
      </w:r>
      <w:r w:rsidR="00146B94">
        <w:t xml:space="preserve"> supporting</w:t>
      </w:r>
      <w:r>
        <w:t xml:space="preserve"> </w:t>
      </w:r>
      <w:r w:rsidR="009C082E">
        <w:t xml:space="preserve">individual </w:t>
      </w:r>
      <w:r>
        <w:t>students in their classrooms.</w:t>
      </w:r>
    </w:p>
    <w:p w14:paraId="51E5B573" w14:textId="3FE38BA6" w:rsidR="00155831" w:rsidRDefault="00904DE0">
      <w:r>
        <w:t xml:space="preserve">Across classrooms, teachers </w:t>
      </w:r>
      <w:r w:rsidR="00AA6788">
        <w:t>use</w:t>
      </w:r>
      <w:r>
        <w:t xml:space="preserve"> formal and informal assessments to provide feedback to students regarding their progress and achievements. This feedback is specific, targeted for each individual </w:t>
      </w:r>
      <w:r>
        <w:lastRenderedPageBreak/>
        <w:t xml:space="preserve">student, and </w:t>
      </w:r>
      <w:r w:rsidR="00FF6EC2">
        <w:t>is expected to</w:t>
      </w:r>
      <w:r>
        <w:t xml:space="preserve"> be provided during classroom instruction while students are working as a way to observe what students have understood and provide immediate feedback.</w:t>
      </w:r>
    </w:p>
    <w:p w14:paraId="5A8E242F" w14:textId="77777777" w:rsidR="00155831" w:rsidRDefault="00155831"/>
    <w:p w14:paraId="1A0EF505" w14:textId="77777777" w:rsidR="00155831" w:rsidRDefault="00904DE0">
      <w:pPr>
        <w:rPr>
          <w:b/>
        </w:rPr>
      </w:pPr>
      <w:r>
        <w:rPr>
          <w:b/>
        </w:rPr>
        <w:t>Areas of Focus</w:t>
      </w:r>
    </w:p>
    <w:p w14:paraId="4ADA8167" w14:textId="77777777" w:rsidR="00155831" w:rsidRDefault="00904DE0">
      <w:r>
        <w:t>Area of Focus #1</w:t>
      </w:r>
    </w:p>
    <w:p w14:paraId="3BA33C49" w14:textId="77777777" w:rsidR="00155831" w:rsidRDefault="00904DE0">
      <w:r>
        <w:t>Pedagogy</w:t>
      </w:r>
    </w:p>
    <w:p w14:paraId="004C9DA1" w14:textId="77777777" w:rsidR="00155831" w:rsidRDefault="00155831"/>
    <w:p w14:paraId="1647EC8D" w14:textId="77777777" w:rsidR="00155831" w:rsidRDefault="00904DE0">
      <w:pPr>
        <w:rPr>
          <w:i/>
        </w:rPr>
      </w:pPr>
      <w:r>
        <w:rPr>
          <w:i/>
        </w:rPr>
        <w:t xml:space="preserve">Description: </w:t>
      </w:r>
    </w:p>
    <w:p w14:paraId="2AE27D6F" w14:textId="5707C699" w:rsidR="00155831" w:rsidRDefault="00904DE0">
      <w:r>
        <w:t>Leaders and coaches articulate a clear, concrete vision for common practices across classrooms</w:t>
      </w:r>
      <w:r w:rsidR="1CD3E08F">
        <w:t xml:space="preserve"> and are </w:t>
      </w:r>
      <w:r w:rsidR="19A7B1EA">
        <w:t>identifying and implementing</w:t>
      </w:r>
      <w:r w:rsidR="1CD3E08F">
        <w:t xml:space="preserve"> classroom materials and practices that are aligned to that </w:t>
      </w:r>
      <w:r w:rsidR="51E600B7">
        <w:t>vision</w:t>
      </w:r>
      <w:r>
        <w:t>. Th</w:t>
      </w:r>
      <w:r w:rsidR="6551CC50">
        <w:t>ese practices</w:t>
      </w:r>
      <w:r>
        <w:t xml:space="preserve"> include implementing Expeditionary Learning (EL) and Illustrative Mathematics (IM) curricula with fidelity; creating meaningful space for student thinking and discourse; moving cognitive lift away from teachers and onto students; ensuring that students are engaged in meaningful and complex tasks; and, leveraging student work time so that teachers circulate and give meaningful feedback. However, reviewers </w:t>
      </w:r>
      <w:r w:rsidR="001003AD">
        <w:t xml:space="preserve">did not </w:t>
      </w:r>
      <w:r>
        <w:t xml:space="preserve">observe the vision realized and evidenced in action in </w:t>
      </w:r>
      <w:r w:rsidR="001003AD">
        <w:t>most classrooms visited</w:t>
      </w:r>
      <w:r>
        <w:t xml:space="preserve">. </w:t>
      </w:r>
      <w:r w:rsidR="00934325">
        <w:t>Instead, t</w:t>
      </w:r>
      <w:r w:rsidR="004A58DC">
        <w:t>eachers consistently over-scaffold</w:t>
      </w:r>
      <w:r w:rsidR="00934325">
        <w:t>ed</w:t>
      </w:r>
      <w:r w:rsidR="004A58DC">
        <w:t xml:space="preserve"> learning for students</w:t>
      </w:r>
      <w:r w:rsidR="005D7C87">
        <w:t xml:space="preserve"> or </w:t>
      </w:r>
      <w:r w:rsidR="00564BD9">
        <w:t>did not</w:t>
      </w:r>
      <w:r w:rsidR="005D7C87">
        <w:t xml:space="preserve"> connect tasks to larger conceptual understandings.</w:t>
      </w:r>
      <w:r>
        <w:t xml:space="preserve"> There is a </w:t>
      </w:r>
      <w:r w:rsidR="004A58DC">
        <w:t>significant</w:t>
      </w:r>
      <w:r>
        <w:t xml:space="preserve"> disconnect between how administrators, coaches, and teachers express their beliefs about how students learn best and what is happening—in the</w:t>
      </w:r>
      <w:r w:rsidR="00564BD9">
        <w:t xml:space="preserve"> </w:t>
      </w:r>
      <w:r>
        <w:t xml:space="preserve">way of instructional moves—across a majority of classrooms. To align instructional vision and pedagogy, leaders must communicate </w:t>
      </w:r>
      <w:r w:rsidR="004A3F2D">
        <w:t xml:space="preserve">concrete </w:t>
      </w:r>
      <w:r>
        <w:t>expectations connected to</w:t>
      </w:r>
      <w:r w:rsidR="004A3F2D">
        <w:t xml:space="preserve"> specific instructional practices. </w:t>
      </w:r>
      <w:r>
        <w:t xml:space="preserve"> </w:t>
      </w:r>
    </w:p>
    <w:p w14:paraId="79349A9A" w14:textId="77777777" w:rsidR="00155831" w:rsidRDefault="00155831">
      <w:pPr>
        <w:rPr>
          <w:i/>
        </w:rPr>
      </w:pPr>
    </w:p>
    <w:p w14:paraId="721BF390" w14:textId="77777777" w:rsidR="00155831" w:rsidRDefault="00904DE0">
      <w:r>
        <w:t>Area of Focus #2</w:t>
      </w:r>
    </w:p>
    <w:p w14:paraId="355BD1A0" w14:textId="77777777" w:rsidR="00155831" w:rsidRDefault="00904DE0">
      <w:r>
        <w:t>Teacher Support and Supervision</w:t>
      </w:r>
    </w:p>
    <w:p w14:paraId="1E85B9C6" w14:textId="77777777" w:rsidR="00155831" w:rsidRDefault="00155831"/>
    <w:p w14:paraId="0B34A1D2" w14:textId="77777777" w:rsidR="00155831" w:rsidRDefault="00904DE0">
      <w:pPr>
        <w:rPr>
          <w:i/>
        </w:rPr>
      </w:pPr>
      <w:r>
        <w:rPr>
          <w:i/>
        </w:rPr>
        <w:t xml:space="preserve">Description: </w:t>
      </w:r>
    </w:p>
    <w:p w14:paraId="7D30B44D" w14:textId="0D22C9AC" w:rsidR="00155831" w:rsidRDefault="00847593">
      <w:r>
        <w:t>The school possesses well-established s</w:t>
      </w:r>
      <w:r w:rsidR="00904DE0">
        <w:t>ystems and structures for teacher support and supervision. Leadership team members are expected to observe and provide feedback to teachers once per week. Leaders have established a process for reviewing observation and coaching data as an academic team</w:t>
      </w:r>
      <w:r w:rsidR="00F430D8">
        <w:t xml:space="preserve">, </w:t>
      </w:r>
      <w:r w:rsidR="008E6A9F">
        <w:t>to maintain alignment with</w:t>
      </w:r>
      <w:r w:rsidR="00904DE0">
        <w:t xml:space="preserve"> </w:t>
      </w:r>
      <w:r w:rsidR="00275A5A">
        <w:t xml:space="preserve">professional development </w:t>
      </w:r>
      <w:r w:rsidR="00904DE0">
        <w:t xml:space="preserve">expectations </w:t>
      </w:r>
      <w:r w:rsidR="00275A5A">
        <w:t>throughout</w:t>
      </w:r>
      <w:r w:rsidR="00904DE0">
        <w:t xml:space="preserve"> the school year. </w:t>
      </w:r>
    </w:p>
    <w:p w14:paraId="5081E4F5" w14:textId="77777777" w:rsidR="00155831" w:rsidRDefault="00155831"/>
    <w:p w14:paraId="223975EE" w14:textId="5FCC4798" w:rsidR="00155831" w:rsidRDefault="00904DE0">
      <w:r>
        <w:t xml:space="preserve">While all of the above speaks to important structures for feedback and coaching, there is a need to adjust aspects of the feedback system to ensure that all feedback to teachers </w:t>
      </w:r>
      <w:r w:rsidR="007D03A8">
        <w:t>effectively moves teachers</w:t>
      </w:r>
      <w:r>
        <w:t xml:space="preserve"> and classroom practice</w:t>
      </w:r>
      <w:r w:rsidR="007D03A8">
        <w:t>s</w:t>
      </w:r>
      <w:r>
        <w:t xml:space="preserve"> toward fulfilling the school’s instructional vision. </w:t>
      </w:r>
      <w:r w:rsidR="00FF3A77">
        <w:t>The</w:t>
      </w:r>
      <w:r w:rsidR="00637E34">
        <w:t xml:space="preserve"> evidence from classroom observations and teacher reports suggests that f</w:t>
      </w:r>
      <w:r>
        <w:t xml:space="preserve">eedback </w:t>
      </w:r>
      <w:r w:rsidR="00637E34">
        <w:t>has been</w:t>
      </w:r>
      <w:r>
        <w:t xml:space="preserve"> inconsistently effective and </w:t>
      </w:r>
      <w:r w:rsidR="00122C2A">
        <w:t>has</w:t>
      </w:r>
      <w:r>
        <w:t xml:space="preserve"> not yet led teachers to deeper understanding</w:t>
      </w:r>
      <w:r w:rsidR="00122C2A">
        <w:t>s</w:t>
      </w:r>
      <w:r>
        <w:t xml:space="preserve"> of how to </w:t>
      </w:r>
      <w:r w:rsidR="30884457">
        <w:t>implement</w:t>
      </w:r>
      <w:r>
        <w:t xml:space="preserve"> the instructional vision within a given curriculum.</w:t>
      </w:r>
    </w:p>
    <w:p w14:paraId="57025B2C" w14:textId="77777777" w:rsidR="00155831" w:rsidRDefault="00155831">
      <w:pPr>
        <w:rPr>
          <w:i/>
        </w:rPr>
      </w:pPr>
    </w:p>
    <w:p w14:paraId="107087A5" w14:textId="77777777" w:rsidR="00155831" w:rsidRDefault="00904DE0">
      <w:r>
        <w:t>Area of Focus #3</w:t>
      </w:r>
    </w:p>
    <w:p w14:paraId="4810848E" w14:textId="77777777" w:rsidR="00155831" w:rsidRDefault="00904DE0">
      <w:r>
        <w:t>Teacher Teams and Distributed Leadership</w:t>
      </w:r>
    </w:p>
    <w:p w14:paraId="3CBA1D98" w14:textId="77777777" w:rsidR="00155831" w:rsidRDefault="00155831"/>
    <w:p w14:paraId="4B0E1A2C" w14:textId="77777777" w:rsidR="00155831" w:rsidRDefault="00904DE0">
      <w:pPr>
        <w:rPr>
          <w:i/>
        </w:rPr>
      </w:pPr>
      <w:r>
        <w:rPr>
          <w:i/>
        </w:rPr>
        <w:t xml:space="preserve">Description: </w:t>
      </w:r>
    </w:p>
    <w:p w14:paraId="770EEE89" w14:textId="2C0C05B8" w:rsidR="00155831" w:rsidRDefault="00904DE0">
      <w:pPr>
        <w:widowControl/>
      </w:pPr>
      <w:r>
        <w:lastRenderedPageBreak/>
        <w:t>Leaders have shifted one weekly</w:t>
      </w:r>
      <w:r w:rsidR="000B0F20">
        <w:t xml:space="preserve"> common planning</w:t>
      </w:r>
      <w:r>
        <w:t xml:space="preserve"> meeting to after school hours as a way to allow teachers to be more focused, on time, and able to participate. However, the impact of this shift </w:t>
      </w:r>
      <w:r w:rsidR="00112BAD">
        <w:t>has</w:t>
      </w:r>
      <w:r>
        <w:t xml:space="preserve"> not yet be</w:t>
      </w:r>
      <w:r w:rsidR="00112BAD">
        <w:t>en</w:t>
      </w:r>
      <w:r>
        <w:t xml:space="preserve"> observed in classroom instruction. </w:t>
      </w:r>
      <w:r w:rsidR="63769A1E">
        <w:t>Most t</w:t>
      </w:r>
      <w:r>
        <w:t xml:space="preserve">eachers are neither </w:t>
      </w:r>
      <w:r w:rsidR="792EF260">
        <w:t>implementing</w:t>
      </w:r>
      <w:r>
        <w:t xml:space="preserve"> curricula as designed nor shifting cognitive lift onto their students. While reviewers did see potential for multiple ways to engage students (i.e., hand signals, Turn and Talks), increased student thinking was not evident in classes visited.</w:t>
      </w:r>
    </w:p>
    <w:p w14:paraId="4E013396" w14:textId="77777777" w:rsidR="00155831" w:rsidRDefault="00155831">
      <w:pPr>
        <w:rPr>
          <w:i/>
        </w:rPr>
      </w:pPr>
    </w:p>
    <w:p w14:paraId="1F24EA9F" w14:textId="77777777" w:rsidR="00155831" w:rsidRDefault="00904DE0">
      <w:pPr>
        <w:rPr>
          <w:b/>
          <w:sz w:val="28"/>
          <w:szCs w:val="28"/>
        </w:rPr>
      </w:pPr>
      <w:r>
        <w:rPr>
          <w:b/>
          <w:sz w:val="28"/>
          <w:szCs w:val="28"/>
        </w:rPr>
        <w:t>John Avery Parker Elementary School, New Bedford</w:t>
      </w:r>
    </w:p>
    <w:p w14:paraId="66498EA1" w14:textId="77777777" w:rsidR="00155831" w:rsidRDefault="00155831"/>
    <w:p w14:paraId="2EF1B186" w14:textId="77777777" w:rsidR="00155831" w:rsidRDefault="00904DE0">
      <w:pPr>
        <w:rPr>
          <w:b/>
        </w:rPr>
      </w:pPr>
      <w:r>
        <w:rPr>
          <w:b/>
        </w:rPr>
        <w:t>School Strengths</w:t>
      </w:r>
    </w:p>
    <w:p w14:paraId="09341EE6" w14:textId="77777777" w:rsidR="00155831" w:rsidRDefault="00155831"/>
    <w:p w14:paraId="2F922064" w14:textId="77777777" w:rsidR="00155831" w:rsidRDefault="00904DE0">
      <w:r>
        <w:t>Area of Strength #1</w:t>
      </w:r>
    </w:p>
    <w:p w14:paraId="13F17712" w14:textId="77777777" w:rsidR="00155831" w:rsidRDefault="00904DE0">
      <w:r>
        <w:t>Leveraging Resources</w:t>
      </w:r>
    </w:p>
    <w:p w14:paraId="31719FBE" w14:textId="77777777" w:rsidR="00155831" w:rsidRDefault="00155831"/>
    <w:p w14:paraId="6F0A0A52" w14:textId="77777777" w:rsidR="00155831" w:rsidRDefault="00904DE0">
      <w:pPr>
        <w:rPr>
          <w:i/>
        </w:rPr>
      </w:pPr>
      <w:r>
        <w:rPr>
          <w:i/>
        </w:rPr>
        <w:t>Description:</w:t>
      </w:r>
    </w:p>
    <w:p w14:paraId="6F3AE4DF" w14:textId="5308A857" w:rsidR="00155831" w:rsidRDefault="00904DE0">
      <w:r>
        <w:t xml:space="preserve">School administrators have made strategic decisions to utilize resources </w:t>
      </w:r>
      <w:r w:rsidR="00F122F1">
        <w:t>that</w:t>
      </w:r>
      <w:r>
        <w:t xml:space="preserve"> promote student</w:t>
      </w:r>
    </w:p>
    <w:p w14:paraId="416B2D3B" w14:textId="4DA494BA" w:rsidR="00155831" w:rsidRDefault="00904DE0">
      <w:r>
        <w:t xml:space="preserve">learning and positive outcomes for students. Many Parker teachers are new to the school this year. School administrators anticipated their needs and leveraged experienced faculty members to provide new teachers with push-in support regularly throughout the first three weeks of the school year. Leaders also adjusted the </w:t>
      </w:r>
      <w:r w:rsidR="5AD6CFE1">
        <w:t xml:space="preserve">school-wide </w:t>
      </w:r>
      <w:r>
        <w:t xml:space="preserve">schedule to provide additional planning time for educators. In addition, Parker leaders hired another </w:t>
      </w:r>
      <w:r w:rsidR="0050594D">
        <w:t>instructional coach</w:t>
      </w:r>
      <w:r>
        <w:t xml:space="preserve"> to allow for more instructional support of teachers and students alike.  </w:t>
      </w:r>
    </w:p>
    <w:p w14:paraId="47B311C4" w14:textId="77777777" w:rsidR="00155831" w:rsidRDefault="00155831"/>
    <w:p w14:paraId="3BBD642B" w14:textId="77777777" w:rsidR="00155831" w:rsidRDefault="00904DE0">
      <w:r>
        <w:t xml:space="preserve">The “Leveraging Resources” indicator has moved from Proficient to Well Developed at Parker. This is a result of leaders’ strategic decision-making which centers student outcomes and continues to prioritize building the instructional capacity of the teaching staff. </w:t>
      </w:r>
    </w:p>
    <w:p w14:paraId="2634733F" w14:textId="77777777" w:rsidR="00155831" w:rsidRDefault="00155831"/>
    <w:p w14:paraId="4535FCBF" w14:textId="77777777" w:rsidR="00155831" w:rsidRDefault="00904DE0">
      <w:r>
        <w:t>Area of Strength #2</w:t>
      </w:r>
    </w:p>
    <w:p w14:paraId="432E0274" w14:textId="77777777" w:rsidR="00155831" w:rsidRDefault="00904DE0">
      <w:r>
        <w:t>Teacher Support and Supervision</w:t>
      </w:r>
    </w:p>
    <w:p w14:paraId="5720F887" w14:textId="77777777" w:rsidR="00155831" w:rsidRDefault="00155831"/>
    <w:p w14:paraId="26EB2B76" w14:textId="77777777" w:rsidR="00155831" w:rsidRDefault="00904DE0">
      <w:pPr>
        <w:rPr>
          <w:i/>
        </w:rPr>
      </w:pPr>
      <w:r>
        <w:rPr>
          <w:i/>
        </w:rPr>
        <w:t>Description:</w:t>
      </w:r>
    </w:p>
    <w:p w14:paraId="26EF0E3C" w14:textId="6DDB17D9" w:rsidR="00155831" w:rsidRDefault="00904DE0">
      <w:r>
        <w:t xml:space="preserve">All elements of this indicator are in place and well-leveraged at Parker. This indicator was rated as Proficient in the </w:t>
      </w:r>
      <w:r w:rsidR="10C05925">
        <w:t>s</w:t>
      </w:r>
      <w:r>
        <w:t>pring of 2022</w:t>
      </w:r>
      <w:r w:rsidR="00F42748">
        <w:t xml:space="preserve"> and</w:t>
      </w:r>
      <w:r>
        <w:t xml:space="preserve"> is now rated Well Developed.</w:t>
      </w:r>
    </w:p>
    <w:p w14:paraId="3C01C866" w14:textId="77777777" w:rsidR="00155831" w:rsidRDefault="00155831"/>
    <w:p w14:paraId="2B71B82A" w14:textId="41BDCD0E" w:rsidR="00155831" w:rsidRDefault="008B5BD3">
      <w:r>
        <w:t>In alignment with the school’s instructional framework, s</w:t>
      </w:r>
      <w:r w:rsidR="00904DE0">
        <w:t xml:space="preserve">chool leaders have </w:t>
      </w:r>
      <w:r w:rsidR="00251A63">
        <w:t xml:space="preserve">developed a continuum of </w:t>
      </w:r>
      <w:r w:rsidR="009111D1">
        <w:t>teacher practices document</w:t>
      </w:r>
      <w:r>
        <w:t xml:space="preserve"> that</w:t>
      </w:r>
      <w:r w:rsidR="00E020E7">
        <w:t xml:space="preserve"> </w:t>
      </w:r>
      <w:r w:rsidR="00904DE0">
        <w:t xml:space="preserve">serves as the foundation for creating differentiated </w:t>
      </w:r>
      <w:r w:rsidR="00B72E4E">
        <w:t>professional development for teachers</w:t>
      </w:r>
      <w:r w:rsidR="00904DE0">
        <w:t>. Teachers report</w:t>
      </w:r>
      <w:r w:rsidR="0089615F">
        <w:t>ed</w:t>
      </w:r>
      <w:r w:rsidR="00904DE0">
        <w:t xml:space="preserve"> that school leaders visit their classrooms weekly and provide in-the-moment feedback framed as “glows” and “grows.” Teachers also report</w:t>
      </w:r>
      <w:r w:rsidR="0089615F">
        <w:t>ed</w:t>
      </w:r>
      <w:r w:rsidR="00904DE0">
        <w:t xml:space="preserve"> that weekly learning walks conducted by leaders are aligned to the focus of the given week’s </w:t>
      </w:r>
      <w:r w:rsidR="005E4369">
        <w:t>professional development</w:t>
      </w:r>
      <w:r w:rsidR="00904DE0">
        <w:t xml:space="preserve">. </w:t>
      </w:r>
      <w:r w:rsidR="0089615F">
        <w:t>School leaders distribute a</w:t>
      </w:r>
      <w:r w:rsidR="00904DE0">
        <w:t xml:space="preserve"> weekly email </w:t>
      </w:r>
      <w:r w:rsidR="0089615F">
        <w:t>to staff that</w:t>
      </w:r>
      <w:r w:rsidR="00904DE0">
        <w:t xml:space="preserve"> includes schoolwide instructional trends aligned to the instructional vision, identified during walkthroughs. </w:t>
      </w:r>
    </w:p>
    <w:p w14:paraId="44B2E532" w14:textId="77777777" w:rsidR="00155831" w:rsidRDefault="00155831"/>
    <w:p w14:paraId="1E0F8303" w14:textId="77777777" w:rsidR="00155831" w:rsidRDefault="00904DE0">
      <w:pPr>
        <w:rPr>
          <w:b/>
        </w:rPr>
      </w:pPr>
      <w:r>
        <w:rPr>
          <w:b/>
        </w:rPr>
        <w:t>Areas of Focus</w:t>
      </w:r>
    </w:p>
    <w:p w14:paraId="5421C761" w14:textId="77777777" w:rsidR="00155831" w:rsidRDefault="00904DE0">
      <w:r>
        <w:lastRenderedPageBreak/>
        <w:t>Area of Focus #1</w:t>
      </w:r>
    </w:p>
    <w:p w14:paraId="2EEAC468" w14:textId="77777777" w:rsidR="00155831" w:rsidRDefault="00904DE0">
      <w:r>
        <w:t>Curriculum</w:t>
      </w:r>
    </w:p>
    <w:p w14:paraId="7F7DA065" w14:textId="77777777" w:rsidR="00155831" w:rsidRDefault="00155831"/>
    <w:p w14:paraId="117F41FF" w14:textId="77777777" w:rsidR="00155831" w:rsidRDefault="00904DE0">
      <w:pPr>
        <w:rPr>
          <w:i/>
        </w:rPr>
      </w:pPr>
      <w:r>
        <w:rPr>
          <w:i/>
        </w:rPr>
        <w:t xml:space="preserve">Description: </w:t>
      </w:r>
    </w:p>
    <w:p w14:paraId="53B665C2" w14:textId="312D895C" w:rsidR="00DD0E78" w:rsidRDefault="00DD0E78"/>
    <w:p w14:paraId="5A139E7D" w14:textId="42244127" w:rsidR="00155831" w:rsidRDefault="00BE1ED6">
      <w:r>
        <w:t>The “Curriculum” Indicator is currently rated as Proficient</w:t>
      </w:r>
      <w:r w:rsidR="0096323E">
        <w:t xml:space="preserve"> at </w:t>
      </w:r>
      <w:r w:rsidR="00904DE0">
        <w:t>John A. Parker Elementary School</w:t>
      </w:r>
      <w:r w:rsidR="0096323E">
        <w:t xml:space="preserve">. </w:t>
      </w:r>
      <w:r w:rsidR="00F427B0">
        <w:t xml:space="preserve">The schoolwide </w:t>
      </w:r>
      <w:r w:rsidR="00021C42">
        <w:t xml:space="preserve">instructional planning model centers complex tasks and questions and requires all educators to </w:t>
      </w:r>
      <w:r w:rsidR="00904DE0">
        <w:t xml:space="preserve">develop a deep understanding of the standards </w:t>
      </w:r>
      <w:r w:rsidR="00FE09D7">
        <w:t xml:space="preserve">to which </w:t>
      </w:r>
      <w:r w:rsidR="00904DE0">
        <w:t xml:space="preserve">these tasks must be aligned. In addition, </w:t>
      </w:r>
      <w:r w:rsidR="00D41E81">
        <w:t xml:space="preserve">the school’s workshop model of instruction </w:t>
      </w:r>
      <w:r w:rsidR="005F2539">
        <w:t>pushes</w:t>
      </w:r>
      <w:r w:rsidR="00904DE0">
        <w:t xml:space="preserve"> educators to think about </w:t>
      </w:r>
      <w:r w:rsidR="00761997">
        <w:t>each individual</w:t>
      </w:r>
      <w:r w:rsidR="00904DE0">
        <w:t xml:space="preserve"> learner</w:t>
      </w:r>
      <w:r w:rsidR="00761997">
        <w:t>’</w:t>
      </w:r>
      <w:r w:rsidR="00904DE0">
        <w:t xml:space="preserve">s </w:t>
      </w:r>
      <w:r w:rsidR="00761997">
        <w:t>current level of mastery</w:t>
      </w:r>
      <w:r w:rsidR="00904DE0">
        <w:t xml:space="preserve"> and how </w:t>
      </w:r>
      <w:r w:rsidR="00761997">
        <w:t>it</w:t>
      </w:r>
      <w:r w:rsidR="00904DE0">
        <w:t xml:space="preserve"> can be pushed to the next level in a given curriculum.</w:t>
      </w:r>
      <w:r w:rsidR="00314D28">
        <w:t xml:space="preserve"> </w:t>
      </w:r>
      <w:r w:rsidR="00193DDC">
        <w:t xml:space="preserve">The school’s </w:t>
      </w:r>
      <w:r w:rsidR="00832530">
        <w:t>recent focus on increasing student di</w:t>
      </w:r>
      <w:r w:rsidR="000F3BCE">
        <w:t>scourse</w:t>
      </w:r>
      <w:r w:rsidR="00832530">
        <w:t xml:space="preserve"> </w:t>
      </w:r>
      <w:r w:rsidR="007348F7">
        <w:t xml:space="preserve">has resulted in many observed examples of </w:t>
      </w:r>
      <w:r w:rsidR="00904DE0">
        <w:t>increased dialogue between students through Turn and Talks and small-group work in both ELA and Math lessons. In mathematics, teachers use “mini math</w:t>
      </w:r>
      <w:r w:rsidR="000F3BCE">
        <w:t xml:space="preserve"> </w:t>
      </w:r>
      <w:r w:rsidR="00904DE0">
        <w:t xml:space="preserve">congresses” </w:t>
      </w:r>
      <w:r w:rsidR="005723F7">
        <w:t xml:space="preserve">to </w:t>
      </w:r>
      <w:r w:rsidR="00904DE0">
        <w:t>allow students to support each other in undoing misconceptions and provide time for students to revise their thinking. Reviewers observed students internalizing revised thinking and applying it to their work.</w:t>
      </w:r>
    </w:p>
    <w:p w14:paraId="3DB40CDC" w14:textId="77777777" w:rsidR="00155831" w:rsidRDefault="00155831"/>
    <w:p w14:paraId="3F5E1988" w14:textId="49E19F40" w:rsidR="00155831" w:rsidRDefault="00904DE0">
      <w:r>
        <w:t>To move from a rating of Proficient to Well Developed</w:t>
      </w:r>
      <w:r w:rsidR="005723F7">
        <w:t xml:space="preserve"> in this indicator,</w:t>
      </w:r>
      <w:r>
        <w:t xml:space="preserve"> the school team must </w:t>
      </w:r>
      <w:r w:rsidR="00FA0910">
        <w:t>develop a process</w:t>
      </w:r>
      <w:r>
        <w:t xml:space="preserve"> for assessing the impact of selected curricula on outcomes for all students. The team needs to closely monitor student</w:t>
      </w:r>
      <w:r w:rsidR="00FA0910">
        <w:t xml:space="preserve"> </w:t>
      </w:r>
      <w:r>
        <w:t xml:space="preserve">achievement data throughout implementation, make shifts where the impact is not as positive as expected, and keep doubling down where impact is proven positive. </w:t>
      </w:r>
    </w:p>
    <w:p w14:paraId="0E164CFC" w14:textId="77777777" w:rsidR="00D40BA6" w:rsidRDefault="00D40BA6">
      <w:pPr>
        <w:rPr>
          <w:i/>
        </w:rPr>
      </w:pPr>
    </w:p>
    <w:p w14:paraId="43C8C380" w14:textId="77777777" w:rsidR="00155831" w:rsidRDefault="00904DE0">
      <w:r>
        <w:t>Area of Focus #2</w:t>
      </w:r>
    </w:p>
    <w:p w14:paraId="0800E1AA" w14:textId="77777777" w:rsidR="00155831" w:rsidRDefault="00904DE0">
      <w:r>
        <w:t>Teacher Teams and Distributed Leadership</w:t>
      </w:r>
    </w:p>
    <w:p w14:paraId="24DDFA45" w14:textId="77777777" w:rsidR="00155831" w:rsidRDefault="00155831"/>
    <w:p w14:paraId="72D6F5CA" w14:textId="77777777" w:rsidR="00155831" w:rsidRDefault="00904DE0">
      <w:pPr>
        <w:rPr>
          <w:i/>
        </w:rPr>
      </w:pPr>
      <w:r>
        <w:rPr>
          <w:i/>
        </w:rPr>
        <w:t xml:space="preserve">Description: </w:t>
      </w:r>
    </w:p>
    <w:p w14:paraId="3BA04696" w14:textId="1B8EA74E" w:rsidR="00155831" w:rsidRDefault="00904DE0">
      <w:r>
        <w:t>During the observation</w:t>
      </w:r>
      <w:r w:rsidR="001D7F7B">
        <w:t xml:space="preserve"> of teacher collaboration time</w:t>
      </w:r>
      <w:r>
        <w:t xml:space="preserve">, all participants were highly engaged. There were multiple times in which team members shared ideas specific to their areas of expertise with their peers. The </w:t>
      </w:r>
      <w:r w:rsidR="009E5FBD">
        <w:t>administration’s move</w:t>
      </w:r>
      <w:r>
        <w:t xml:space="preserve"> to include both </w:t>
      </w:r>
      <w:r w:rsidR="00D629AA">
        <w:t>English as a Second Language</w:t>
      </w:r>
      <w:r>
        <w:t xml:space="preserve"> and Special Education teachers in </w:t>
      </w:r>
      <w:r w:rsidR="009E5FBD">
        <w:t xml:space="preserve">common </w:t>
      </w:r>
      <w:r>
        <w:t>planning</w:t>
      </w:r>
      <w:r w:rsidR="009E5FBD">
        <w:t xml:space="preserve"> time</w:t>
      </w:r>
      <w:r>
        <w:t xml:space="preserve"> is now </w:t>
      </w:r>
      <w:r w:rsidR="000B7E1D">
        <w:t xml:space="preserve">supporting </w:t>
      </w:r>
      <w:r>
        <w:t xml:space="preserve">seamless integration of those teachers within the classroom instructional model. Further, the </w:t>
      </w:r>
      <w:r w:rsidR="000B7E1D">
        <w:t>schoolwide model of instructional planning</w:t>
      </w:r>
      <w:r>
        <w:t xml:space="preserve"> is becoming internalized by teachers</w:t>
      </w:r>
      <w:r w:rsidR="00A86C42">
        <w:t xml:space="preserve">, with the instructional coach providing embedded coaching </w:t>
      </w:r>
      <w:r>
        <w:t>during</w:t>
      </w:r>
      <w:r w:rsidR="00A86C42">
        <w:t xml:space="preserve"> team</w:t>
      </w:r>
      <w:r>
        <w:t xml:space="preserve"> meetings to develop the capacit</w:t>
      </w:r>
      <w:r w:rsidR="00260924">
        <w:t>ies</w:t>
      </w:r>
      <w:r>
        <w:t xml:space="preserve"> of the teacher leaders. However, there was evidence of the teacher leader over-scaffolding </w:t>
      </w:r>
      <w:r w:rsidR="0083163C">
        <w:t>the planning process for the team,</w:t>
      </w:r>
      <w:r>
        <w:t xml:space="preserve"> which resulted in a loss </w:t>
      </w:r>
      <w:r w:rsidR="0083163C">
        <w:t>of</w:t>
      </w:r>
      <w:r>
        <w:t xml:space="preserve"> critical learning for </w:t>
      </w:r>
      <w:r w:rsidR="0083163C">
        <w:t>less experienced team members</w:t>
      </w:r>
      <w:r>
        <w:t xml:space="preserve">. </w:t>
      </w:r>
    </w:p>
    <w:p w14:paraId="130DC76A" w14:textId="77777777" w:rsidR="00933035" w:rsidRDefault="00933035"/>
    <w:p w14:paraId="34A4CED6" w14:textId="14416DFE" w:rsidR="00155831" w:rsidRDefault="00E746AF" w:rsidP="00D40BA6">
      <w:pPr>
        <w:sectPr w:rsidR="00155831">
          <w:type w:val="continuous"/>
          <w:pgSz w:w="12240" w:h="15840"/>
          <w:pgMar w:top="1440" w:right="1440" w:bottom="1440" w:left="1440" w:header="1440" w:footer="1440" w:gutter="0"/>
          <w:cols w:space="720"/>
        </w:sectPr>
      </w:pPr>
      <w:r>
        <w:t>To move from Proficient to Well Developed</w:t>
      </w:r>
      <w:r w:rsidR="0083163C">
        <w:t xml:space="preserve"> in this indicator</w:t>
      </w:r>
      <w:r>
        <w:t xml:space="preserve">, teachers at Parker will need to fully </w:t>
      </w:r>
      <w:r w:rsidR="0083163C">
        <w:t>assume</w:t>
      </w:r>
      <w:r w:rsidR="00EB6F20">
        <w:t xml:space="preserve"> responsibility for critical planning processes, including </w:t>
      </w:r>
      <w:r w:rsidR="00385F5B">
        <w:t>unit planning and weekly team meetings, and devolve some responsibility from the school leaders</w:t>
      </w:r>
      <w:r w:rsidR="00277971">
        <w:t>.</w:t>
      </w:r>
    </w:p>
    <w:p w14:paraId="3789005D" w14:textId="77777777" w:rsidR="00155831" w:rsidRDefault="00155831">
      <w:pPr>
        <w:widowControl/>
        <w:spacing w:after="160" w:line="259" w:lineRule="auto"/>
        <w:jc w:val="both"/>
      </w:pPr>
    </w:p>
    <w:sectPr w:rsidR="00155831">
      <w:type w:val="continuous"/>
      <w:pgSz w:w="12240" w:h="15840"/>
      <w:pgMar w:top="720" w:right="720" w:bottom="720" w:left="72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F8F4AA" w14:textId="77777777" w:rsidR="00435067" w:rsidRDefault="00435067">
      <w:r>
        <w:separator/>
      </w:r>
    </w:p>
  </w:endnote>
  <w:endnote w:type="continuationSeparator" w:id="0">
    <w:p w14:paraId="728DB651" w14:textId="77777777" w:rsidR="00435067" w:rsidRDefault="00435067">
      <w:r>
        <w:continuationSeparator/>
      </w:r>
    </w:p>
  </w:endnote>
  <w:endnote w:type="continuationNotice" w:id="1">
    <w:p w14:paraId="05129D98" w14:textId="77777777" w:rsidR="00435067" w:rsidRDefault="00435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15D2" w14:textId="77777777" w:rsidR="00155831" w:rsidRDefault="00904DE0">
    <w:pPr>
      <w:widowControl/>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53275F">
      <w:rPr>
        <w:noProof/>
        <w:color w:val="000000"/>
      </w:rPr>
      <w:t>2</w:t>
    </w:r>
    <w:r>
      <w:rPr>
        <w:color w:val="000000"/>
      </w:rPr>
      <w:fldChar w:fldCharType="end"/>
    </w:r>
  </w:p>
  <w:p w14:paraId="30451393" w14:textId="77777777" w:rsidR="00155831" w:rsidRDefault="00155831">
    <w:pPr>
      <w:widowControl/>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5B52B" w14:textId="77777777" w:rsidR="00435067" w:rsidRDefault="00435067">
      <w:r>
        <w:separator/>
      </w:r>
    </w:p>
  </w:footnote>
  <w:footnote w:type="continuationSeparator" w:id="0">
    <w:p w14:paraId="49DBB634" w14:textId="77777777" w:rsidR="00435067" w:rsidRDefault="00435067">
      <w:r>
        <w:continuationSeparator/>
      </w:r>
    </w:p>
  </w:footnote>
  <w:footnote w:type="continuationNotice" w:id="1">
    <w:p w14:paraId="7D4B03D6" w14:textId="77777777" w:rsidR="00435067" w:rsidRDefault="00435067"/>
  </w:footnote>
  <w:footnote w:id="2">
    <w:p w14:paraId="37052931" w14:textId="16B03027" w:rsidR="00385F5B" w:rsidRDefault="00385F5B">
      <w:pPr>
        <w:pStyle w:val="FootnoteText"/>
      </w:pPr>
      <w:r>
        <w:rPr>
          <w:rStyle w:val="FootnoteReference"/>
        </w:rPr>
        <w:footnoteRef/>
      </w:r>
      <w:r>
        <w:t xml:space="preserve"> The quarter one board memo can be found here:</w:t>
      </w:r>
      <w:r w:rsidR="00904DE0">
        <w:t xml:space="preserve"> </w:t>
      </w:r>
      <w:hyperlink r:id="rId1" w:history="1">
        <w:r w:rsidR="00904DE0">
          <w:rPr>
            <w:rStyle w:val="Hyperlink"/>
          </w:rPr>
          <w:t>Board Documents: October 2022 - Massachusetts Board of Elementary and Secondary Education (BESE)</w:t>
        </w:r>
      </w:hyperlink>
    </w:p>
  </w:footnote>
  <w:footnote w:id="3">
    <w:p w14:paraId="0476D3AD" w14:textId="7EC2E33B" w:rsidR="002F442E" w:rsidRDefault="002F442E">
      <w:pPr>
        <w:pStyle w:val="FootnoteText"/>
      </w:pPr>
      <w:r>
        <w:rPr>
          <w:rStyle w:val="FootnoteReference"/>
        </w:rPr>
        <w:footnoteRef/>
      </w:r>
      <w:r>
        <w:t xml:space="preserve"> The September 26, 2022 letter announcing the change in designation for Morgan may be found here: </w:t>
      </w:r>
      <w:hyperlink r:id="rId2" w:history="1">
        <w:r w:rsidRPr="00BE53A7">
          <w:rPr>
            <w:rStyle w:val="Hyperlink"/>
          </w:rPr>
          <w:t>https://www.doe.mass.edu/level5/schools/morgan.html</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31"/>
    <w:rsid w:val="00005F56"/>
    <w:rsid w:val="00011AD3"/>
    <w:rsid w:val="00011C18"/>
    <w:rsid w:val="000161BE"/>
    <w:rsid w:val="00021C42"/>
    <w:rsid w:val="00025F49"/>
    <w:rsid w:val="00037D03"/>
    <w:rsid w:val="00045F75"/>
    <w:rsid w:val="00054982"/>
    <w:rsid w:val="00055FED"/>
    <w:rsid w:val="000763BF"/>
    <w:rsid w:val="0008556A"/>
    <w:rsid w:val="00093B18"/>
    <w:rsid w:val="00093B51"/>
    <w:rsid w:val="000A2D3A"/>
    <w:rsid w:val="000A73DA"/>
    <w:rsid w:val="000B0F20"/>
    <w:rsid w:val="000B7E1D"/>
    <w:rsid w:val="000D4505"/>
    <w:rsid w:val="000E66C2"/>
    <w:rsid w:val="000F3BCE"/>
    <w:rsid w:val="001003AD"/>
    <w:rsid w:val="00110EF7"/>
    <w:rsid w:val="00112BAD"/>
    <w:rsid w:val="001204EB"/>
    <w:rsid w:val="00122884"/>
    <w:rsid w:val="00122C2A"/>
    <w:rsid w:val="001351F0"/>
    <w:rsid w:val="00135C24"/>
    <w:rsid w:val="00137550"/>
    <w:rsid w:val="00146B94"/>
    <w:rsid w:val="00151CA8"/>
    <w:rsid w:val="00155831"/>
    <w:rsid w:val="00191726"/>
    <w:rsid w:val="00193DDC"/>
    <w:rsid w:val="001C16CE"/>
    <w:rsid w:val="001D7F7B"/>
    <w:rsid w:val="001F2130"/>
    <w:rsid w:val="001F3827"/>
    <w:rsid w:val="001F4E6A"/>
    <w:rsid w:val="00206A96"/>
    <w:rsid w:val="00242C0B"/>
    <w:rsid w:val="00251A63"/>
    <w:rsid w:val="00260924"/>
    <w:rsid w:val="00275A5A"/>
    <w:rsid w:val="0027617B"/>
    <w:rsid w:val="00277971"/>
    <w:rsid w:val="00280BD9"/>
    <w:rsid w:val="0029033B"/>
    <w:rsid w:val="002C21D0"/>
    <w:rsid w:val="002D0217"/>
    <w:rsid w:val="002F442E"/>
    <w:rsid w:val="00314D28"/>
    <w:rsid w:val="00322345"/>
    <w:rsid w:val="00324CC9"/>
    <w:rsid w:val="00330407"/>
    <w:rsid w:val="00330A3D"/>
    <w:rsid w:val="00360FE5"/>
    <w:rsid w:val="00380405"/>
    <w:rsid w:val="00381A1A"/>
    <w:rsid w:val="00384C6A"/>
    <w:rsid w:val="00385F5B"/>
    <w:rsid w:val="00393F9B"/>
    <w:rsid w:val="003A1D31"/>
    <w:rsid w:val="003B70D9"/>
    <w:rsid w:val="003D0FD3"/>
    <w:rsid w:val="004258BB"/>
    <w:rsid w:val="00431EE9"/>
    <w:rsid w:val="004346E1"/>
    <w:rsid w:val="00435067"/>
    <w:rsid w:val="0045311C"/>
    <w:rsid w:val="00466EA8"/>
    <w:rsid w:val="00471C98"/>
    <w:rsid w:val="004744F5"/>
    <w:rsid w:val="00486D48"/>
    <w:rsid w:val="004A3F2D"/>
    <w:rsid w:val="004A4A80"/>
    <w:rsid w:val="004A58DC"/>
    <w:rsid w:val="004B55CD"/>
    <w:rsid w:val="004D3DFA"/>
    <w:rsid w:val="004F3FDB"/>
    <w:rsid w:val="004F496C"/>
    <w:rsid w:val="00503604"/>
    <w:rsid w:val="0050594D"/>
    <w:rsid w:val="0053275F"/>
    <w:rsid w:val="005503F7"/>
    <w:rsid w:val="005531C5"/>
    <w:rsid w:val="00564BD9"/>
    <w:rsid w:val="005723F7"/>
    <w:rsid w:val="005769E3"/>
    <w:rsid w:val="005844D2"/>
    <w:rsid w:val="00585AAD"/>
    <w:rsid w:val="005877BD"/>
    <w:rsid w:val="00597D79"/>
    <w:rsid w:val="005A1C56"/>
    <w:rsid w:val="005A7373"/>
    <w:rsid w:val="005D7C87"/>
    <w:rsid w:val="005E4369"/>
    <w:rsid w:val="005F2539"/>
    <w:rsid w:val="005F6DD5"/>
    <w:rsid w:val="0061740C"/>
    <w:rsid w:val="00637E34"/>
    <w:rsid w:val="00640AF8"/>
    <w:rsid w:val="00646DD1"/>
    <w:rsid w:val="00656CFB"/>
    <w:rsid w:val="00685991"/>
    <w:rsid w:val="00695183"/>
    <w:rsid w:val="006A3055"/>
    <w:rsid w:val="006C6B29"/>
    <w:rsid w:val="006F7B19"/>
    <w:rsid w:val="00703F88"/>
    <w:rsid w:val="00715A13"/>
    <w:rsid w:val="007348F7"/>
    <w:rsid w:val="00743CC3"/>
    <w:rsid w:val="00753140"/>
    <w:rsid w:val="00761997"/>
    <w:rsid w:val="0077230F"/>
    <w:rsid w:val="00797C27"/>
    <w:rsid w:val="007A4F02"/>
    <w:rsid w:val="007B20B8"/>
    <w:rsid w:val="007D03A8"/>
    <w:rsid w:val="007E4AD5"/>
    <w:rsid w:val="007E72FB"/>
    <w:rsid w:val="007F17A1"/>
    <w:rsid w:val="007F34FA"/>
    <w:rsid w:val="007F6DA1"/>
    <w:rsid w:val="008033C8"/>
    <w:rsid w:val="00804CE0"/>
    <w:rsid w:val="00826292"/>
    <w:rsid w:val="0083163C"/>
    <w:rsid w:val="00832530"/>
    <w:rsid w:val="008330A0"/>
    <w:rsid w:val="00847593"/>
    <w:rsid w:val="00855E1C"/>
    <w:rsid w:val="00855EB8"/>
    <w:rsid w:val="00867050"/>
    <w:rsid w:val="00870320"/>
    <w:rsid w:val="0089248E"/>
    <w:rsid w:val="008927AE"/>
    <w:rsid w:val="0089615F"/>
    <w:rsid w:val="008B5BD3"/>
    <w:rsid w:val="008C63AA"/>
    <w:rsid w:val="008C66BF"/>
    <w:rsid w:val="008E6A9F"/>
    <w:rsid w:val="00904DE0"/>
    <w:rsid w:val="009111D1"/>
    <w:rsid w:val="009169B9"/>
    <w:rsid w:val="00920A12"/>
    <w:rsid w:val="0093297E"/>
    <w:rsid w:val="00933035"/>
    <w:rsid w:val="00934325"/>
    <w:rsid w:val="00937874"/>
    <w:rsid w:val="0094496E"/>
    <w:rsid w:val="009458CD"/>
    <w:rsid w:val="0095084E"/>
    <w:rsid w:val="0096323E"/>
    <w:rsid w:val="009831C1"/>
    <w:rsid w:val="009A7225"/>
    <w:rsid w:val="009C082E"/>
    <w:rsid w:val="009E27A5"/>
    <w:rsid w:val="009E5FBD"/>
    <w:rsid w:val="009F0CD7"/>
    <w:rsid w:val="009F7F2A"/>
    <w:rsid w:val="00A86C42"/>
    <w:rsid w:val="00AA6788"/>
    <w:rsid w:val="00AD7350"/>
    <w:rsid w:val="00B04F78"/>
    <w:rsid w:val="00B21ADE"/>
    <w:rsid w:val="00B26622"/>
    <w:rsid w:val="00B32CA5"/>
    <w:rsid w:val="00B53FF1"/>
    <w:rsid w:val="00B57FB9"/>
    <w:rsid w:val="00B60018"/>
    <w:rsid w:val="00B72E4E"/>
    <w:rsid w:val="00B86BD9"/>
    <w:rsid w:val="00B907DA"/>
    <w:rsid w:val="00B924ED"/>
    <w:rsid w:val="00BB2C85"/>
    <w:rsid w:val="00BB3E51"/>
    <w:rsid w:val="00BB53FA"/>
    <w:rsid w:val="00BD3085"/>
    <w:rsid w:val="00BE1ED6"/>
    <w:rsid w:val="00BF53DE"/>
    <w:rsid w:val="00C2194D"/>
    <w:rsid w:val="00C31CB0"/>
    <w:rsid w:val="00C35685"/>
    <w:rsid w:val="00C459AB"/>
    <w:rsid w:val="00C5553E"/>
    <w:rsid w:val="00C64AB3"/>
    <w:rsid w:val="00C65882"/>
    <w:rsid w:val="00CA1E3F"/>
    <w:rsid w:val="00CB2A7B"/>
    <w:rsid w:val="00CC0BB9"/>
    <w:rsid w:val="00CC1509"/>
    <w:rsid w:val="00CC7679"/>
    <w:rsid w:val="00CE18C3"/>
    <w:rsid w:val="00CE4BBE"/>
    <w:rsid w:val="00CF0B56"/>
    <w:rsid w:val="00D0217B"/>
    <w:rsid w:val="00D266CF"/>
    <w:rsid w:val="00D40BA6"/>
    <w:rsid w:val="00D41E81"/>
    <w:rsid w:val="00D45DD7"/>
    <w:rsid w:val="00D54B89"/>
    <w:rsid w:val="00D629AA"/>
    <w:rsid w:val="00D70351"/>
    <w:rsid w:val="00D74BAB"/>
    <w:rsid w:val="00D7756F"/>
    <w:rsid w:val="00D9281B"/>
    <w:rsid w:val="00DB10F0"/>
    <w:rsid w:val="00DB3EC2"/>
    <w:rsid w:val="00DC6922"/>
    <w:rsid w:val="00DD0E78"/>
    <w:rsid w:val="00DF4DF7"/>
    <w:rsid w:val="00E020E7"/>
    <w:rsid w:val="00E1449D"/>
    <w:rsid w:val="00E746AF"/>
    <w:rsid w:val="00E85B19"/>
    <w:rsid w:val="00E866F7"/>
    <w:rsid w:val="00EA114B"/>
    <w:rsid w:val="00EA2DC4"/>
    <w:rsid w:val="00EB0FA2"/>
    <w:rsid w:val="00EB3958"/>
    <w:rsid w:val="00EB5220"/>
    <w:rsid w:val="00EB6F20"/>
    <w:rsid w:val="00EC5644"/>
    <w:rsid w:val="00EF36BA"/>
    <w:rsid w:val="00F01452"/>
    <w:rsid w:val="00F01FBC"/>
    <w:rsid w:val="00F07869"/>
    <w:rsid w:val="00F122F1"/>
    <w:rsid w:val="00F16463"/>
    <w:rsid w:val="00F30F42"/>
    <w:rsid w:val="00F32062"/>
    <w:rsid w:val="00F35F3D"/>
    <w:rsid w:val="00F42748"/>
    <w:rsid w:val="00F427B0"/>
    <w:rsid w:val="00F430D8"/>
    <w:rsid w:val="00F43768"/>
    <w:rsid w:val="00F47874"/>
    <w:rsid w:val="00F536FC"/>
    <w:rsid w:val="00F5752B"/>
    <w:rsid w:val="00F730EB"/>
    <w:rsid w:val="00FA0910"/>
    <w:rsid w:val="00FA0950"/>
    <w:rsid w:val="00FE09D7"/>
    <w:rsid w:val="00FF3A77"/>
    <w:rsid w:val="00FF6EC2"/>
    <w:rsid w:val="040384C6"/>
    <w:rsid w:val="05B91831"/>
    <w:rsid w:val="05E124F0"/>
    <w:rsid w:val="0EF8BC83"/>
    <w:rsid w:val="10C05925"/>
    <w:rsid w:val="1192B879"/>
    <w:rsid w:val="12305D45"/>
    <w:rsid w:val="13C65EFE"/>
    <w:rsid w:val="155DB39C"/>
    <w:rsid w:val="1895D3B6"/>
    <w:rsid w:val="19A7B1EA"/>
    <w:rsid w:val="1A1DAAF2"/>
    <w:rsid w:val="1CD3E08F"/>
    <w:rsid w:val="1E8004D9"/>
    <w:rsid w:val="2A8C4611"/>
    <w:rsid w:val="30769ED6"/>
    <w:rsid w:val="30884457"/>
    <w:rsid w:val="319124A3"/>
    <w:rsid w:val="36B2A830"/>
    <w:rsid w:val="38006627"/>
    <w:rsid w:val="3AB375E0"/>
    <w:rsid w:val="3D83D23E"/>
    <w:rsid w:val="40921FA1"/>
    <w:rsid w:val="4167F4AE"/>
    <w:rsid w:val="48F12487"/>
    <w:rsid w:val="4920A963"/>
    <w:rsid w:val="4B777D19"/>
    <w:rsid w:val="4E7EDB09"/>
    <w:rsid w:val="51E600B7"/>
    <w:rsid w:val="529806CD"/>
    <w:rsid w:val="52EDD347"/>
    <w:rsid w:val="54E3D222"/>
    <w:rsid w:val="59BC01F7"/>
    <w:rsid w:val="5AD6CFE1"/>
    <w:rsid w:val="5E748163"/>
    <w:rsid w:val="5FE5BBBF"/>
    <w:rsid w:val="611A47BC"/>
    <w:rsid w:val="63769A1E"/>
    <w:rsid w:val="6551CC50"/>
    <w:rsid w:val="659D6451"/>
    <w:rsid w:val="65D49082"/>
    <w:rsid w:val="69B2BEA5"/>
    <w:rsid w:val="792EF260"/>
    <w:rsid w:val="7A698F5E"/>
    <w:rsid w:val="7B57ED5E"/>
    <w:rsid w:val="7BA30A70"/>
    <w:rsid w:val="7CF3BDBF"/>
    <w:rsid w:val="7EDAAB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5A6B"/>
  <w15:docId w15:val="{7873B06F-61E6-4338-BA5B-3EED19F9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center" w:pos="4680"/>
      </w:tabs>
      <w:jc w:val="center"/>
      <w:outlineLvl w:val="0"/>
    </w:pPr>
    <w:rPr>
      <w:b/>
    </w:rPr>
  </w:style>
  <w:style w:type="paragraph" w:styleId="Heading2">
    <w:name w:val="heading 2"/>
    <w:basedOn w:val="Normal"/>
    <w:next w:val="Normal"/>
    <w:uiPriority w:val="9"/>
    <w:unhideWhenUsed/>
    <w:qFormat/>
    <w:pPr>
      <w:keepNext/>
      <w:ind w:left="720"/>
      <w:jc w:val="right"/>
      <w:outlineLvl w:val="1"/>
    </w:pPr>
    <w:rPr>
      <w:rFonts w:ascii="Arial" w:eastAsia="Arial" w:hAnsi="Arial" w:cs="Arial"/>
      <w:i/>
      <w:sz w:val="18"/>
      <w:szCs w:val="18"/>
    </w:rPr>
  </w:style>
  <w:style w:type="paragraph" w:styleId="Heading3">
    <w:name w:val="heading 3"/>
    <w:basedOn w:val="Normal"/>
    <w:next w:val="Normal"/>
    <w:uiPriority w:val="9"/>
    <w:unhideWhenUsed/>
    <w:qFormat/>
    <w:pPr>
      <w:keepNext/>
      <w:tabs>
        <w:tab w:val="left" w:pos="5400"/>
      </w:tabs>
      <w:ind w:left="720"/>
      <w:outlineLvl w:val="2"/>
    </w:pPr>
    <w:rPr>
      <w:rFonts w:ascii="Arial" w:eastAsia="Arial" w:hAnsi="Arial" w:cs="Arial"/>
      <w:i/>
      <w:sz w:val="18"/>
      <w:szCs w:val="1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DC6922"/>
    <w:rPr>
      <w:sz w:val="16"/>
      <w:szCs w:val="16"/>
    </w:rPr>
  </w:style>
  <w:style w:type="paragraph" w:styleId="CommentText">
    <w:name w:val="annotation text"/>
    <w:basedOn w:val="Normal"/>
    <w:link w:val="CommentTextChar"/>
    <w:uiPriority w:val="99"/>
    <w:unhideWhenUsed/>
    <w:rsid w:val="00DC6922"/>
    <w:rPr>
      <w:sz w:val="20"/>
      <w:szCs w:val="20"/>
    </w:rPr>
  </w:style>
  <w:style w:type="character" w:customStyle="1" w:styleId="CommentTextChar">
    <w:name w:val="Comment Text Char"/>
    <w:basedOn w:val="DefaultParagraphFont"/>
    <w:link w:val="CommentText"/>
    <w:uiPriority w:val="99"/>
    <w:rsid w:val="00DC6922"/>
    <w:rPr>
      <w:sz w:val="20"/>
      <w:szCs w:val="20"/>
    </w:rPr>
  </w:style>
  <w:style w:type="paragraph" w:styleId="CommentSubject">
    <w:name w:val="annotation subject"/>
    <w:basedOn w:val="CommentText"/>
    <w:next w:val="CommentText"/>
    <w:link w:val="CommentSubjectChar"/>
    <w:uiPriority w:val="99"/>
    <w:semiHidden/>
    <w:unhideWhenUsed/>
    <w:rsid w:val="00DC6922"/>
    <w:rPr>
      <w:b/>
      <w:bCs/>
    </w:rPr>
  </w:style>
  <w:style w:type="character" w:customStyle="1" w:styleId="CommentSubjectChar">
    <w:name w:val="Comment Subject Char"/>
    <w:basedOn w:val="CommentTextChar"/>
    <w:link w:val="CommentSubject"/>
    <w:uiPriority w:val="99"/>
    <w:semiHidden/>
    <w:rsid w:val="00DC6922"/>
    <w:rPr>
      <w:b/>
      <w:bCs/>
      <w:sz w:val="20"/>
      <w:szCs w:val="20"/>
    </w:rPr>
  </w:style>
  <w:style w:type="paragraph" w:styleId="FootnoteText">
    <w:name w:val="footnote text"/>
    <w:basedOn w:val="Normal"/>
    <w:link w:val="FootnoteTextChar"/>
    <w:uiPriority w:val="99"/>
    <w:semiHidden/>
    <w:unhideWhenUsed/>
    <w:rsid w:val="002F442E"/>
    <w:rPr>
      <w:sz w:val="20"/>
      <w:szCs w:val="20"/>
    </w:rPr>
  </w:style>
  <w:style w:type="character" w:customStyle="1" w:styleId="FootnoteTextChar">
    <w:name w:val="Footnote Text Char"/>
    <w:basedOn w:val="DefaultParagraphFont"/>
    <w:link w:val="FootnoteText"/>
    <w:uiPriority w:val="99"/>
    <w:semiHidden/>
    <w:rsid w:val="002F442E"/>
    <w:rPr>
      <w:sz w:val="20"/>
      <w:szCs w:val="20"/>
    </w:rPr>
  </w:style>
  <w:style w:type="character" w:styleId="FootnoteReference">
    <w:name w:val="footnote reference"/>
    <w:basedOn w:val="DefaultParagraphFont"/>
    <w:semiHidden/>
    <w:unhideWhenUsed/>
    <w:rsid w:val="002F442E"/>
    <w:rPr>
      <w:vertAlign w:val="superscript"/>
    </w:rPr>
  </w:style>
  <w:style w:type="character" w:styleId="Hyperlink">
    <w:name w:val="Hyperlink"/>
    <w:basedOn w:val="DefaultParagraphFont"/>
    <w:uiPriority w:val="99"/>
    <w:unhideWhenUsed/>
    <w:rsid w:val="002F442E"/>
    <w:rPr>
      <w:color w:val="0000FF" w:themeColor="hyperlink"/>
      <w:u w:val="single"/>
    </w:rPr>
  </w:style>
  <w:style w:type="paragraph" w:styleId="Revision">
    <w:name w:val="Revision"/>
    <w:hidden/>
    <w:uiPriority w:val="99"/>
    <w:semiHidden/>
    <w:rsid w:val="00360FE5"/>
    <w:pPr>
      <w:widowControl/>
    </w:pPr>
  </w:style>
  <w:style w:type="paragraph" w:styleId="Header">
    <w:name w:val="header"/>
    <w:basedOn w:val="Normal"/>
    <w:link w:val="HeaderChar"/>
    <w:uiPriority w:val="99"/>
    <w:unhideWhenUsed/>
    <w:rsid w:val="00646DD1"/>
    <w:pPr>
      <w:tabs>
        <w:tab w:val="center" w:pos="4680"/>
        <w:tab w:val="right" w:pos="9360"/>
      </w:tabs>
    </w:pPr>
  </w:style>
  <w:style w:type="character" w:customStyle="1" w:styleId="HeaderChar">
    <w:name w:val="Header Char"/>
    <w:basedOn w:val="DefaultParagraphFont"/>
    <w:link w:val="Header"/>
    <w:uiPriority w:val="99"/>
    <w:rsid w:val="00646DD1"/>
  </w:style>
  <w:style w:type="paragraph" w:styleId="Footer">
    <w:name w:val="footer"/>
    <w:basedOn w:val="Normal"/>
    <w:link w:val="FooterChar"/>
    <w:uiPriority w:val="99"/>
    <w:unhideWhenUsed/>
    <w:rsid w:val="00646DD1"/>
    <w:pPr>
      <w:tabs>
        <w:tab w:val="center" w:pos="4680"/>
        <w:tab w:val="right" w:pos="9360"/>
      </w:tabs>
    </w:pPr>
  </w:style>
  <w:style w:type="character" w:customStyle="1" w:styleId="FooterChar">
    <w:name w:val="Footer Char"/>
    <w:basedOn w:val="DefaultParagraphFont"/>
    <w:link w:val="Footer"/>
    <w:uiPriority w:val="99"/>
    <w:rsid w:val="00646DD1"/>
  </w:style>
  <w:style w:type="paragraph" w:styleId="BalloonText">
    <w:name w:val="Balloon Text"/>
    <w:basedOn w:val="Normal"/>
    <w:link w:val="BalloonTextChar"/>
    <w:uiPriority w:val="99"/>
    <w:semiHidden/>
    <w:unhideWhenUsed/>
    <w:rsid w:val="00C31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CB0"/>
    <w:rPr>
      <w:rFonts w:ascii="Segoe UI" w:hAnsi="Segoe UI" w:cs="Segoe UI"/>
      <w:sz w:val="18"/>
      <w:szCs w:val="18"/>
    </w:rPr>
  </w:style>
  <w:style w:type="character" w:styleId="FollowedHyperlink">
    <w:name w:val="FollowedHyperlink"/>
    <w:basedOn w:val="DefaultParagraphFont"/>
    <w:uiPriority w:val="99"/>
    <w:semiHidden/>
    <w:unhideWhenUsed/>
    <w:rsid w:val="005036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level5/schools/morgan.html" TargetMode="External"/><Relationship Id="rId1" Type="http://schemas.openxmlformats.org/officeDocument/2006/relationships/hyperlink" Target="https://www.doe.mass.edu/bese/docs/fy2023/202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8571A3-4909-4E0A-89DD-EE78A0734354}">
  <ds:schemaRefs>
    <ds:schemaRef ds:uri="http://schemas.microsoft.com/sharepoint/v3/contenttype/forms"/>
  </ds:schemaRefs>
</ds:datastoreItem>
</file>

<file path=customXml/itemProps2.xml><?xml version="1.0" encoding="utf-8"?>
<ds:datastoreItem xmlns:ds="http://schemas.openxmlformats.org/officeDocument/2006/customXml" ds:itemID="{15E42AF5-3BDB-45CF-969D-20D20DF0FBB3}">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4733FBD3-E49A-4A62-B96B-5698B089E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2617</Words>
  <Characters>14920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BESE January 2023 Regular Meeting Item 7: Chronically Underperforming Schools: Quarter 2 Reports</vt:lpstr>
    </vt:vector>
  </TitlesOfParts>
  <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2023 Regular Meeting Item 7: Chronically Underperforming Schools: Quarter 2 Reports</dc:title>
  <dc:subject/>
  <dc:creator>DESE</dc:creator>
  <cp:keywords/>
  <cp:lastModifiedBy>Zou, Dong (EOE)</cp:lastModifiedBy>
  <cp:revision>9</cp:revision>
  <dcterms:created xsi:type="dcterms:W3CDTF">2023-01-12T19:26:00Z</dcterms:created>
  <dcterms:modified xsi:type="dcterms:W3CDTF">2023-01-19T17:27:00Z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2023 12:00AM</vt:lpwstr>
  </property>
</Properties>
</file>