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006AE" w14:textId="7745D136" w:rsidR="00BA2E61" w:rsidRPr="00BA2E61" w:rsidRDefault="00BA2E61" w:rsidP="00BA2E61">
      <w:pPr>
        <w:spacing w:before="120" w:after="0" w:line="240" w:lineRule="auto"/>
        <w:jc w:val="center"/>
        <w:rPr>
          <w:rFonts w:ascii="Times New Roman" w:eastAsia="Times New Roman" w:hAnsi="Times New Roman" w:cs="Times New Roman"/>
          <w:b/>
          <w:sz w:val="24"/>
          <w:szCs w:val="24"/>
        </w:rPr>
      </w:pPr>
      <w:r w:rsidRPr="00BA2E61">
        <w:rPr>
          <w:rFonts w:ascii="Times New Roman" w:eastAsia="Times New Roman" w:hAnsi="Times New Roman" w:cs="Times New Roman"/>
          <w:b/>
          <w:sz w:val="24"/>
          <w:szCs w:val="24"/>
        </w:rPr>
        <w:t>Summary of Public Comments Concerning Proposed 603 CMR 5</w:t>
      </w:r>
      <w:r w:rsidR="00974C9D">
        <w:rPr>
          <w:rFonts w:ascii="Times New Roman" w:eastAsia="Times New Roman" w:hAnsi="Times New Roman" w:cs="Times New Roman"/>
          <w:b/>
          <w:sz w:val="24"/>
          <w:szCs w:val="24"/>
        </w:rPr>
        <w:t>2</w:t>
      </w:r>
      <w:r w:rsidRPr="00BA2E61">
        <w:rPr>
          <w:rFonts w:ascii="Times New Roman" w:eastAsia="Times New Roman" w:hAnsi="Times New Roman" w:cs="Times New Roman"/>
          <w:b/>
          <w:sz w:val="24"/>
          <w:szCs w:val="24"/>
        </w:rPr>
        <w:t xml:space="preserve">.00: </w:t>
      </w:r>
      <w:r w:rsidR="008F5A5C">
        <w:rPr>
          <w:rFonts w:ascii="Times New Roman" w:eastAsia="Times New Roman" w:hAnsi="Times New Roman" w:cs="Times New Roman"/>
          <w:b/>
          <w:sz w:val="24"/>
          <w:szCs w:val="24"/>
        </w:rPr>
        <w:t>Commonwealth of Massachusetts Virtual Schools</w:t>
      </w:r>
    </w:p>
    <w:p w14:paraId="0B2D4A42" w14:textId="0773D2D3" w:rsidR="00BA2E61" w:rsidRPr="00BA2E61" w:rsidRDefault="00D81D9E" w:rsidP="00BA2E61">
      <w:pPr>
        <w:spacing w:before="1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May </w:t>
      </w:r>
      <w:r w:rsidR="00BA2E61" w:rsidRPr="00BA2E61">
        <w:rPr>
          <w:rFonts w:ascii="Times New Roman" w:eastAsia="Times New Roman" w:hAnsi="Times New Roman" w:cs="Times New Roman"/>
          <w:b/>
          <w:sz w:val="24"/>
          <w:szCs w:val="24"/>
        </w:rPr>
        <w:t>2023</w:t>
      </w:r>
    </w:p>
    <w:p w14:paraId="0AC9BF7D" w14:textId="3625DF21" w:rsidR="00B97BCC" w:rsidRPr="00B97BCC" w:rsidRDefault="00BA2E61" w:rsidP="00B97BCC">
      <w:pPr>
        <w:spacing w:before="120"/>
        <w:rPr>
          <w:rFonts w:ascii="Times New Roman" w:eastAsia="Times New Roman" w:hAnsi="Times New Roman" w:cs="Times New Roman"/>
          <w:sz w:val="24"/>
          <w:szCs w:val="24"/>
        </w:rPr>
      </w:pPr>
      <w:r w:rsidRPr="001C4CA4">
        <w:rPr>
          <w:rFonts w:ascii="Times New Roman" w:eastAsia="Times New Roman" w:hAnsi="Times New Roman" w:cs="Times New Roman"/>
        </w:rPr>
        <w:t>Unless otherwise indicated, “regulations” refer to these proposed regulations</w:t>
      </w:r>
      <w:r w:rsidR="00963BD1">
        <w:rPr>
          <w:rFonts w:ascii="Times New Roman" w:eastAsia="Times New Roman" w:hAnsi="Times New Roman" w:cs="Times New Roman"/>
        </w:rPr>
        <w:t xml:space="preserve"> on virtual schools</w:t>
      </w:r>
      <w:r w:rsidRPr="001C4CA4">
        <w:rPr>
          <w:rFonts w:ascii="Times New Roman" w:eastAsia="Times New Roman" w:hAnsi="Times New Roman" w:cs="Times New Roman"/>
        </w:rPr>
        <w:t xml:space="preserve">, 603 CMR 52.00, as released for public comment on </w:t>
      </w:r>
      <w:r w:rsidR="00F66A70" w:rsidRPr="001C4CA4">
        <w:rPr>
          <w:rFonts w:ascii="Times New Roman" w:eastAsia="Times New Roman" w:hAnsi="Times New Roman" w:cs="Times New Roman"/>
        </w:rPr>
        <w:t>January 9, 2</w:t>
      </w:r>
      <w:r w:rsidRPr="001C4CA4">
        <w:rPr>
          <w:rFonts w:ascii="Times New Roman" w:eastAsia="Times New Roman" w:hAnsi="Times New Roman" w:cs="Times New Roman"/>
        </w:rPr>
        <w:t xml:space="preserve">023.  References to “the statute” are to </w:t>
      </w:r>
      <w:r w:rsidR="00C601E7" w:rsidRPr="001C4CA4">
        <w:rPr>
          <w:rFonts w:ascii="Times New Roman" w:eastAsia="Times New Roman" w:hAnsi="Times New Roman" w:cs="Times New Roman"/>
        </w:rPr>
        <w:t>G.L. Chapter 71, § 94</w:t>
      </w:r>
      <w:r w:rsidRPr="001C4CA4">
        <w:rPr>
          <w:rFonts w:ascii="Times New Roman" w:eastAsia="Times New Roman" w:hAnsi="Times New Roman" w:cs="Times New Roman"/>
        </w:rPr>
        <w:t>. Positive comments and technical changes are not included in this summary.</w:t>
      </w:r>
      <w:r w:rsidR="00B97BCC" w:rsidRPr="00B97BCC">
        <w:rPr>
          <w:rFonts w:ascii="Times New Roman" w:eastAsia="Times New Roman" w:hAnsi="Times New Roman" w:cs="Times New Roman"/>
          <w:sz w:val="24"/>
          <w:szCs w:val="24"/>
        </w:rPr>
        <w:t xml:space="preserve"> </w:t>
      </w:r>
    </w:p>
    <w:p w14:paraId="741339C8" w14:textId="0B38AB75" w:rsidR="001C4CA4" w:rsidRPr="001C4CA4" w:rsidRDefault="001C4CA4" w:rsidP="001C4CA4">
      <w:pPr>
        <w:ind w:right="-288"/>
        <w:rPr>
          <w:rFonts w:ascii="Times New Roman" w:hAnsi="Times New Roman" w:cs="Times New Roman"/>
        </w:rPr>
      </w:pPr>
      <w:r w:rsidRPr="52EC007B">
        <w:rPr>
          <w:rFonts w:ascii="Times New Roman" w:hAnsi="Times New Roman" w:cs="Times New Roman"/>
        </w:rPr>
        <w:t>The Department of Elementary and Secondary Education (Department) received two written responses to the request for public comment</w:t>
      </w:r>
      <w:r w:rsidR="00DB4BBC" w:rsidRPr="52EC007B">
        <w:rPr>
          <w:rFonts w:ascii="Times New Roman" w:hAnsi="Times New Roman" w:cs="Times New Roman"/>
        </w:rPr>
        <w:t>, one</w:t>
      </w:r>
      <w:r w:rsidRPr="52EC007B">
        <w:rPr>
          <w:rFonts w:ascii="Times New Roman" w:hAnsi="Times New Roman" w:cs="Times New Roman"/>
        </w:rPr>
        <w:t xml:space="preserve"> from public school personnel and the </w:t>
      </w:r>
      <w:r w:rsidR="00DB4BBC" w:rsidRPr="52EC007B">
        <w:rPr>
          <w:rFonts w:ascii="Times New Roman" w:hAnsi="Times New Roman" w:cs="Times New Roman"/>
        </w:rPr>
        <w:t>other from a person</w:t>
      </w:r>
      <w:r w:rsidRPr="52EC007B">
        <w:rPr>
          <w:rFonts w:ascii="Times New Roman" w:hAnsi="Times New Roman" w:cs="Times New Roman"/>
        </w:rPr>
        <w:t xml:space="preserve"> at large. </w:t>
      </w:r>
      <w:r w:rsidR="00170E27" w:rsidRPr="52EC007B">
        <w:rPr>
          <w:rFonts w:ascii="Times New Roman" w:hAnsi="Times New Roman" w:cs="Times New Roman"/>
        </w:rPr>
        <w:t>C</w:t>
      </w:r>
      <w:r w:rsidRPr="52EC007B">
        <w:rPr>
          <w:rFonts w:ascii="Times New Roman" w:hAnsi="Times New Roman" w:cs="Times New Roman"/>
        </w:rPr>
        <w:t xml:space="preserve">omments were carefully </w:t>
      </w:r>
      <w:r w:rsidR="00EA6BBB" w:rsidRPr="52EC007B">
        <w:rPr>
          <w:rFonts w:ascii="Times New Roman" w:hAnsi="Times New Roman" w:cs="Times New Roman"/>
        </w:rPr>
        <w:t>reviewed and</w:t>
      </w:r>
      <w:r w:rsidRPr="52EC007B">
        <w:rPr>
          <w:rFonts w:ascii="Times New Roman" w:hAnsi="Times New Roman" w:cs="Times New Roman"/>
        </w:rPr>
        <w:t xml:space="preserve"> are reflected in this chart. This chart follows the organization of </w:t>
      </w:r>
      <w:r w:rsidR="00170E27" w:rsidRPr="52EC007B">
        <w:rPr>
          <w:rFonts w:ascii="Times New Roman" w:eastAsia="Times New Roman" w:hAnsi="Times New Roman" w:cs="Times New Roman"/>
        </w:rPr>
        <w:t>603 CMR 52.00</w:t>
      </w:r>
      <w:r w:rsidRPr="52EC007B">
        <w:rPr>
          <w:rFonts w:ascii="Times New Roman" w:hAnsi="Times New Roman" w:cs="Times New Roman"/>
        </w:rPr>
        <w:t xml:space="preserve">, the regulations on </w:t>
      </w:r>
      <w:r w:rsidR="00170E27" w:rsidRPr="52EC007B">
        <w:rPr>
          <w:rFonts w:ascii="Times New Roman" w:hAnsi="Times New Roman" w:cs="Times New Roman"/>
        </w:rPr>
        <w:t>virtual schools</w:t>
      </w:r>
      <w:r w:rsidRPr="52EC007B">
        <w:rPr>
          <w:rFonts w:ascii="Times New Roman" w:hAnsi="Times New Roman" w:cs="Times New Roman"/>
        </w:rPr>
        <w:t xml:space="preserve">. Copies of each respondent’s written comments are available upon request. In the </w:t>
      </w:r>
      <w:r w:rsidR="003E56F7">
        <w:rPr>
          <w:rFonts w:ascii="Times New Roman" w:hAnsi="Times New Roman" w:cs="Times New Roman"/>
        </w:rPr>
        <w:t>“DESE</w:t>
      </w:r>
      <w:r w:rsidR="003E56F7" w:rsidRPr="52EC007B">
        <w:rPr>
          <w:rFonts w:ascii="Times New Roman" w:hAnsi="Times New Roman" w:cs="Times New Roman"/>
        </w:rPr>
        <w:t xml:space="preserve"> </w:t>
      </w:r>
      <w:r w:rsidRPr="52EC007B">
        <w:rPr>
          <w:rFonts w:ascii="Times New Roman" w:hAnsi="Times New Roman" w:cs="Times New Roman"/>
        </w:rPr>
        <w:t>Response and Recommendations</w:t>
      </w:r>
      <w:r w:rsidR="003E56F7">
        <w:rPr>
          <w:rFonts w:ascii="Times New Roman" w:hAnsi="Times New Roman" w:cs="Times New Roman"/>
        </w:rPr>
        <w:t>”</w:t>
      </w:r>
      <w:r w:rsidRPr="52EC007B">
        <w:rPr>
          <w:rFonts w:ascii="Times New Roman" w:hAnsi="Times New Roman" w:cs="Times New Roman"/>
        </w:rPr>
        <w:t xml:space="preserve"> column, </w:t>
      </w:r>
      <w:r w:rsidR="002F22D1">
        <w:rPr>
          <w:rFonts w:ascii="Times New Roman" w:hAnsi="Times New Roman" w:cs="Times New Roman"/>
        </w:rPr>
        <w:t xml:space="preserve">additional changes to the </w:t>
      </w:r>
      <w:r w:rsidRPr="52EC007B">
        <w:rPr>
          <w:rFonts w:ascii="Times New Roman" w:hAnsi="Times New Roman" w:cs="Times New Roman"/>
        </w:rPr>
        <w:t xml:space="preserve">proposed amendments in response to public comment are indicated by </w:t>
      </w:r>
      <w:r w:rsidRPr="52EC007B">
        <w:rPr>
          <w:rFonts w:ascii="Times New Roman" w:hAnsi="Times New Roman" w:cs="Times New Roman"/>
          <w:u w:val="single"/>
        </w:rPr>
        <w:t>underline</w:t>
      </w:r>
      <w:r w:rsidRPr="52EC007B">
        <w:rPr>
          <w:rFonts w:ascii="Times New Roman" w:hAnsi="Times New Roman" w:cs="Times New Roman"/>
        </w:rPr>
        <w:t xml:space="preserve"> (new language) or </w:t>
      </w:r>
      <w:r w:rsidRPr="52EC007B">
        <w:rPr>
          <w:rFonts w:ascii="Times New Roman" w:hAnsi="Times New Roman" w:cs="Times New Roman"/>
          <w:strike/>
        </w:rPr>
        <w:t>strikethrough</w:t>
      </w:r>
      <w:r w:rsidRPr="52EC007B">
        <w:rPr>
          <w:rFonts w:ascii="Times New Roman" w:hAnsi="Times New Roman" w:cs="Times New Roman"/>
        </w:rPr>
        <w:t xml:space="preserve"> (deleted language).  </w:t>
      </w:r>
    </w:p>
    <w:p w14:paraId="33F4F79F" w14:textId="7A327C41" w:rsidR="001C4CA4" w:rsidRPr="001C4CA4" w:rsidRDefault="001C4CA4" w:rsidP="001C4CA4">
      <w:pPr>
        <w:ind w:right="-288"/>
        <w:rPr>
          <w:rFonts w:ascii="Times New Roman" w:hAnsi="Times New Roman" w:cs="Times New Roman"/>
        </w:rPr>
      </w:pPr>
      <w:r w:rsidRPr="001C4CA4">
        <w:rPr>
          <w:rFonts w:ascii="Times New Roman" w:hAnsi="Times New Roman" w:cs="Times New Roman"/>
        </w:rPr>
        <w:t>Additionally, some comments recommended changes in regulatory language that is mandated by statutory requirements.  In cases where the statute controls the regulatory language, the suggested regulatory change was not adopted</w:t>
      </w:r>
      <w:r w:rsidR="00AD5893">
        <w:rPr>
          <w:rFonts w:ascii="Times New Roman" w:hAnsi="Times New Roman" w:cs="Times New Roman"/>
        </w:rPr>
        <w:t xml:space="preserve">. </w:t>
      </w:r>
      <w:r w:rsidR="00A73CA9">
        <w:rPr>
          <w:rFonts w:ascii="Times New Roman" w:hAnsi="Times New Roman" w:cs="Times New Roman"/>
        </w:rPr>
        <w:t xml:space="preserve">We </w:t>
      </w:r>
      <w:r w:rsidR="00126020">
        <w:rPr>
          <w:rFonts w:ascii="Times New Roman" w:hAnsi="Times New Roman" w:cs="Times New Roman"/>
        </w:rPr>
        <w:t xml:space="preserve">also </w:t>
      </w:r>
      <w:r w:rsidR="00A73CA9">
        <w:rPr>
          <w:rFonts w:ascii="Times New Roman" w:hAnsi="Times New Roman" w:cs="Times New Roman"/>
        </w:rPr>
        <w:t>note where comments will result in additional</w:t>
      </w:r>
      <w:r w:rsidR="00020B34">
        <w:rPr>
          <w:rFonts w:ascii="Times New Roman" w:hAnsi="Times New Roman" w:cs="Times New Roman"/>
        </w:rPr>
        <w:t xml:space="preserve"> guidance</w:t>
      </w:r>
      <w:r w:rsidRPr="001C4CA4">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3325"/>
        <w:gridCol w:w="5220"/>
        <w:gridCol w:w="4405"/>
      </w:tblGrid>
      <w:tr w:rsidR="003A4BCA" w:rsidRPr="00675CAC" w14:paraId="3D05DCEF" w14:textId="77777777" w:rsidTr="006D2A17">
        <w:trPr>
          <w:tblHeader/>
        </w:trPr>
        <w:tc>
          <w:tcPr>
            <w:tcW w:w="3325" w:type="dxa"/>
            <w:shd w:val="clear" w:color="auto" w:fill="FBE4D5" w:themeFill="accent2" w:themeFillTint="33"/>
          </w:tcPr>
          <w:p w14:paraId="75D7F24F" w14:textId="51CD5AC9" w:rsidR="003A4BCA" w:rsidRPr="00675CAC" w:rsidRDefault="003A4BCA" w:rsidP="00514479">
            <w:pPr>
              <w:rPr>
                <w:rFonts w:ascii="Times New Roman" w:hAnsi="Times New Roman" w:cs="Times New Roman"/>
                <w:b/>
                <w:bCs/>
                <w:sz w:val="24"/>
                <w:szCs w:val="24"/>
              </w:rPr>
            </w:pPr>
            <w:r w:rsidRPr="00675CAC">
              <w:rPr>
                <w:rFonts w:ascii="Times New Roman" w:hAnsi="Times New Roman" w:cs="Times New Roman"/>
                <w:b/>
                <w:bCs/>
                <w:sz w:val="24"/>
                <w:szCs w:val="24"/>
              </w:rPr>
              <w:t>Co</w:t>
            </w:r>
            <w:r w:rsidR="001D3A41">
              <w:rPr>
                <w:rFonts w:ascii="Times New Roman" w:hAnsi="Times New Roman" w:cs="Times New Roman"/>
                <w:b/>
                <w:bCs/>
                <w:sz w:val="24"/>
                <w:szCs w:val="24"/>
              </w:rPr>
              <w:t>mmentor</w:t>
            </w:r>
          </w:p>
        </w:tc>
        <w:tc>
          <w:tcPr>
            <w:tcW w:w="5220" w:type="dxa"/>
            <w:shd w:val="clear" w:color="auto" w:fill="FBE4D5" w:themeFill="accent2" w:themeFillTint="33"/>
          </w:tcPr>
          <w:p w14:paraId="7877B61C" w14:textId="77777777" w:rsidR="003A4BCA" w:rsidRPr="00675CAC" w:rsidRDefault="003A4BCA" w:rsidP="00514479">
            <w:pPr>
              <w:rPr>
                <w:rFonts w:ascii="Times New Roman" w:hAnsi="Times New Roman" w:cs="Times New Roman"/>
                <w:b/>
                <w:bCs/>
                <w:sz w:val="24"/>
                <w:szCs w:val="24"/>
              </w:rPr>
            </w:pPr>
            <w:r w:rsidRPr="00675CAC">
              <w:rPr>
                <w:rFonts w:ascii="Times New Roman" w:hAnsi="Times New Roman" w:cs="Times New Roman"/>
                <w:b/>
                <w:bCs/>
                <w:sz w:val="24"/>
                <w:szCs w:val="24"/>
              </w:rPr>
              <w:t>Summary of Comments</w:t>
            </w:r>
          </w:p>
        </w:tc>
        <w:tc>
          <w:tcPr>
            <w:tcW w:w="4405" w:type="dxa"/>
            <w:shd w:val="clear" w:color="auto" w:fill="FBE4D5" w:themeFill="accent2" w:themeFillTint="33"/>
          </w:tcPr>
          <w:p w14:paraId="2392424A" w14:textId="77777777" w:rsidR="003A4BCA" w:rsidRPr="00675CAC" w:rsidRDefault="003A4BCA" w:rsidP="00514479">
            <w:pPr>
              <w:rPr>
                <w:rFonts w:ascii="Times New Roman" w:hAnsi="Times New Roman" w:cs="Times New Roman"/>
                <w:b/>
                <w:bCs/>
                <w:sz w:val="24"/>
                <w:szCs w:val="24"/>
              </w:rPr>
            </w:pPr>
            <w:r w:rsidRPr="00675CAC">
              <w:rPr>
                <w:rFonts w:ascii="Times New Roman" w:hAnsi="Times New Roman" w:cs="Times New Roman"/>
                <w:b/>
                <w:bCs/>
                <w:sz w:val="24"/>
                <w:szCs w:val="24"/>
              </w:rPr>
              <w:t>DESE Response and Recommendation</w:t>
            </w:r>
            <w:r>
              <w:rPr>
                <w:rFonts w:ascii="Times New Roman" w:hAnsi="Times New Roman" w:cs="Times New Roman"/>
                <w:b/>
                <w:bCs/>
                <w:sz w:val="24"/>
                <w:szCs w:val="24"/>
              </w:rPr>
              <w:t>s</w:t>
            </w:r>
          </w:p>
        </w:tc>
      </w:tr>
      <w:tr w:rsidR="00975C18" w:rsidRPr="003F3C58" w14:paraId="3F2FAE5C" w14:textId="35A34367" w:rsidTr="00675CAC">
        <w:tc>
          <w:tcPr>
            <w:tcW w:w="12950" w:type="dxa"/>
            <w:gridSpan w:val="3"/>
            <w:shd w:val="clear" w:color="auto" w:fill="B4C6E7" w:themeFill="accent1" w:themeFillTint="66"/>
          </w:tcPr>
          <w:p w14:paraId="535DA5E0" w14:textId="5D486011" w:rsidR="00975C18" w:rsidRPr="00675CAC" w:rsidRDefault="00975C18" w:rsidP="003F3C58">
            <w:pPr>
              <w:rPr>
                <w:rFonts w:ascii="Times New Roman" w:hAnsi="Times New Roman" w:cs="Times New Roman"/>
                <w:b/>
                <w:bCs/>
                <w:sz w:val="24"/>
                <w:szCs w:val="24"/>
              </w:rPr>
            </w:pPr>
            <w:r w:rsidRPr="00675CAC">
              <w:rPr>
                <w:rFonts w:ascii="Times New Roman" w:hAnsi="Times New Roman" w:cs="Times New Roman"/>
                <w:b/>
                <w:bCs/>
                <w:sz w:val="24"/>
                <w:szCs w:val="24"/>
              </w:rPr>
              <w:t>52.05: Student Recruitment, Enrollment, and Retention</w:t>
            </w:r>
          </w:p>
        </w:tc>
      </w:tr>
      <w:tr w:rsidR="00BA2E61" w:rsidRPr="003F3C58" w14:paraId="10DCC7FF" w14:textId="77777777" w:rsidTr="006155A0">
        <w:tc>
          <w:tcPr>
            <w:tcW w:w="3325" w:type="dxa"/>
            <w:shd w:val="clear" w:color="auto" w:fill="FBE4D5" w:themeFill="accent2" w:themeFillTint="33"/>
          </w:tcPr>
          <w:p w14:paraId="3EDF4B7E" w14:textId="77777777" w:rsidR="00BA2E61" w:rsidRPr="00F902A1" w:rsidRDefault="00BA2E61" w:rsidP="003F3C58">
            <w:pPr>
              <w:rPr>
                <w:rFonts w:ascii="Times New Roman" w:hAnsi="Times New Roman" w:cs="Times New Roman"/>
                <w:b/>
                <w:bCs/>
                <w:sz w:val="24"/>
                <w:szCs w:val="24"/>
              </w:rPr>
            </w:pPr>
          </w:p>
        </w:tc>
        <w:tc>
          <w:tcPr>
            <w:tcW w:w="5220" w:type="dxa"/>
            <w:shd w:val="clear" w:color="auto" w:fill="FBE4D5" w:themeFill="accent2" w:themeFillTint="33"/>
          </w:tcPr>
          <w:p w14:paraId="5166B4AE" w14:textId="5CB18624" w:rsidR="00BE0A14" w:rsidRPr="00F902A1" w:rsidRDefault="00BE0A14" w:rsidP="00BE0A14">
            <w:pPr>
              <w:rPr>
                <w:rFonts w:ascii="Times New Roman" w:hAnsi="Times New Roman" w:cs="Times New Roman"/>
                <w:b/>
                <w:bCs/>
                <w:sz w:val="24"/>
                <w:szCs w:val="24"/>
              </w:rPr>
            </w:pPr>
            <w:r w:rsidRPr="00F902A1">
              <w:rPr>
                <w:rFonts w:ascii="Times New Roman" w:hAnsi="Times New Roman" w:cs="Times New Roman"/>
                <w:b/>
                <w:bCs/>
                <w:sz w:val="24"/>
                <w:szCs w:val="24"/>
              </w:rPr>
              <w:t xml:space="preserve">52.05: Student </w:t>
            </w:r>
            <w:r w:rsidR="005060C9">
              <w:rPr>
                <w:rFonts w:ascii="Times New Roman" w:hAnsi="Times New Roman" w:cs="Times New Roman"/>
                <w:b/>
                <w:bCs/>
                <w:sz w:val="24"/>
                <w:szCs w:val="24"/>
              </w:rPr>
              <w:t>Recruitment, Enrollment, and Retention</w:t>
            </w:r>
            <w:r w:rsidR="00494449">
              <w:rPr>
                <w:rFonts w:ascii="Times New Roman" w:hAnsi="Times New Roman" w:cs="Times New Roman"/>
                <w:b/>
                <w:bCs/>
                <w:sz w:val="24"/>
                <w:szCs w:val="24"/>
              </w:rPr>
              <w:t xml:space="preserve"> (8) </w:t>
            </w:r>
            <w:r w:rsidRPr="00F902A1">
              <w:rPr>
                <w:rFonts w:ascii="Times New Roman" w:hAnsi="Times New Roman" w:cs="Times New Roman"/>
                <w:b/>
                <w:bCs/>
                <w:sz w:val="24"/>
                <w:szCs w:val="24"/>
              </w:rPr>
              <w:t>Public Lotteries</w:t>
            </w:r>
          </w:p>
          <w:p w14:paraId="175FEAF5" w14:textId="77777777" w:rsidR="00BA2E61" w:rsidRPr="00F902A1" w:rsidRDefault="00BA2E61" w:rsidP="003F3C58">
            <w:pPr>
              <w:rPr>
                <w:rFonts w:ascii="Times New Roman" w:hAnsi="Times New Roman" w:cs="Times New Roman"/>
                <w:b/>
                <w:bCs/>
                <w:sz w:val="24"/>
                <w:szCs w:val="24"/>
              </w:rPr>
            </w:pPr>
          </w:p>
        </w:tc>
        <w:tc>
          <w:tcPr>
            <w:tcW w:w="4405" w:type="dxa"/>
            <w:shd w:val="clear" w:color="auto" w:fill="FBE4D5" w:themeFill="accent2" w:themeFillTint="33"/>
          </w:tcPr>
          <w:p w14:paraId="55C565BC" w14:textId="77777777" w:rsidR="00BA2E61" w:rsidRPr="00F902A1" w:rsidRDefault="00BA2E61" w:rsidP="003F3C58">
            <w:pPr>
              <w:rPr>
                <w:rFonts w:ascii="Times New Roman" w:hAnsi="Times New Roman" w:cs="Times New Roman"/>
                <w:b/>
                <w:bCs/>
                <w:sz w:val="24"/>
                <w:szCs w:val="24"/>
              </w:rPr>
            </w:pPr>
          </w:p>
        </w:tc>
      </w:tr>
      <w:tr w:rsidR="00BA2E61" w:rsidRPr="003F3C58" w14:paraId="302FBF32" w14:textId="77777777" w:rsidTr="00675CAC">
        <w:tc>
          <w:tcPr>
            <w:tcW w:w="3325" w:type="dxa"/>
          </w:tcPr>
          <w:p w14:paraId="21EE050C" w14:textId="77777777" w:rsidR="00B27000" w:rsidRPr="00B27000" w:rsidRDefault="00B27000" w:rsidP="00B27000">
            <w:pPr>
              <w:rPr>
                <w:rFonts w:ascii="Times New Roman" w:hAnsi="Times New Roman" w:cs="Times New Roman"/>
                <w:sz w:val="24"/>
                <w:szCs w:val="24"/>
              </w:rPr>
            </w:pPr>
            <w:r w:rsidRPr="00B27000">
              <w:rPr>
                <w:rFonts w:ascii="Times New Roman" w:hAnsi="Times New Roman" w:cs="Times New Roman"/>
                <w:sz w:val="24"/>
                <w:szCs w:val="24"/>
              </w:rPr>
              <w:t>Dr. Salah E. Khelfaoui</w:t>
            </w:r>
          </w:p>
          <w:p w14:paraId="1A96B07A" w14:textId="697D14C5" w:rsidR="00BA2E61" w:rsidRPr="003F3C58" w:rsidRDefault="00B27000" w:rsidP="00B27000">
            <w:pPr>
              <w:rPr>
                <w:rFonts w:ascii="Times New Roman" w:hAnsi="Times New Roman" w:cs="Times New Roman"/>
                <w:sz w:val="24"/>
                <w:szCs w:val="24"/>
              </w:rPr>
            </w:pPr>
            <w:r w:rsidRPr="00B27000">
              <w:rPr>
                <w:rFonts w:ascii="Times New Roman" w:hAnsi="Times New Roman" w:cs="Times New Roman"/>
                <w:sz w:val="24"/>
                <w:szCs w:val="24"/>
              </w:rPr>
              <w:t xml:space="preserve">Executive Director/Superintendent of </w:t>
            </w:r>
            <w:r w:rsidR="006C72B9">
              <w:rPr>
                <w:rFonts w:ascii="Times New Roman" w:hAnsi="Times New Roman" w:cs="Times New Roman"/>
                <w:sz w:val="24"/>
                <w:szCs w:val="24"/>
              </w:rPr>
              <w:t xml:space="preserve">the </w:t>
            </w:r>
            <w:r w:rsidR="006C72B9">
              <w:rPr>
                <w:rFonts w:ascii="Times New Roman" w:eastAsia="Times New Roman" w:hAnsi="Times New Roman" w:cs="Times New Roman"/>
                <w:sz w:val="24"/>
                <w:szCs w:val="24"/>
              </w:rPr>
              <w:t>Greater Commonwealth Virtual School</w:t>
            </w:r>
            <w:r w:rsidR="006C72B9">
              <w:rPr>
                <w:rFonts w:ascii="Times New Roman" w:hAnsi="Times New Roman" w:cs="Times New Roman"/>
                <w:sz w:val="24"/>
                <w:szCs w:val="24"/>
              </w:rPr>
              <w:t xml:space="preserve"> (“</w:t>
            </w:r>
            <w:r>
              <w:rPr>
                <w:rFonts w:ascii="Times New Roman" w:hAnsi="Times New Roman" w:cs="Times New Roman"/>
                <w:sz w:val="24"/>
                <w:szCs w:val="24"/>
              </w:rPr>
              <w:t>GCVS</w:t>
            </w:r>
            <w:r w:rsidR="006C72B9">
              <w:rPr>
                <w:rFonts w:ascii="Times New Roman" w:hAnsi="Times New Roman" w:cs="Times New Roman"/>
                <w:sz w:val="24"/>
                <w:szCs w:val="24"/>
              </w:rPr>
              <w:t>”)</w:t>
            </w:r>
          </w:p>
        </w:tc>
        <w:tc>
          <w:tcPr>
            <w:tcW w:w="5220" w:type="dxa"/>
          </w:tcPr>
          <w:p w14:paraId="47EF810A" w14:textId="1E6E17A1" w:rsidR="00994338" w:rsidRPr="000A630D" w:rsidRDefault="004148A6" w:rsidP="00994338">
            <w:pPr>
              <w:rPr>
                <w:rFonts w:ascii="Times New Roman" w:hAnsi="Times New Roman" w:cs="Times New Roman"/>
                <w:sz w:val="24"/>
                <w:szCs w:val="24"/>
              </w:rPr>
            </w:pPr>
            <w:r w:rsidRPr="000A630D">
              <w:rPr>
                <w:rFonts w:ascii="Times New Roman" w:hAnsi="Times New Roman" w:cs="Times New Roman"/>
                <w:sz w:val="24"/>
                <w:szCs w:val="24"/>
              </w:rPr>
              <w:t>“</w:t>
            </w:r>
            <w:r w:rsidR="00994338" w:rsidRPr="000A630D">
              <w:rPr>
                <w:rFonts w:ascii="Times New Roman" w:hAnsi="Times New Roman" w:cs="Times New Roman"/>
                <w:sz w:val="24"/>
                <w:szCs w:val="24"/>
              </w:rPr>
              <w:t>Who would be considered a neutral party? Is the director of enrollment a neutral party</w:t>
            </w:r>
            <w:r w:rsidRPr="000A630D">
              <w:rPr>
                <w:rFonts w:ascii="Times New Roman" w:hAnsi="Times New Roman" w:cs="Times New Roman"/>
                <w:sz w:val="24"/>
                <w:szCs w:val="24"/>
              </w:rPr>
              <w:t>?</w:t>
            </w:r>
            <w:r w:rsidR="00994338" w:rsidRPr="000A630D">
              <w:rPr>
                <w:rFonts w:ascii="Times New Roman" w:hAnsi="Times New Roman" w:cs="Times New Roman"/>
                <w:sz w:val="24"/>
                <w:szCs w:val="24"/>
              </w:rPr>
              <w:t xml:space="preserve">  In many school districts throughout the commonwealth school admission lotteries, when required, are conducted by the school personnel in public. I believe the requirement to conduct the lottery in public should be sufficient to ensure neutrality. There is really no need for the added burden to conduct the lottery by a neutral party. Additionally, most lottery </w:t>
            </w:r>
            <w:r w:rsidR="000E4788" w:rsidRPr="000A630D">
              <w:rPr>
                <w:rFonts w:ascii="Times New Roman" w:hAnsi="Times New Roman" w:cs="Times New Roman"/>
                <w:sz w:val="24"/>
                <w:szCs w:val="24"/>
              </w:rPr>
              <w:t>…</w:t>
            </w:r>
            <w:r w:rsidR="00994338" w:rsidRPr="000A630D">
              <w:rPr>
                <w:rFonts w:ascii="Times New Roman" w:hAnsi="Times New Roman" w:cs="Times New Roman"/>
                <w:sz w:val="24"/>
                <w:szCs w:val="24"/>
              </w:rPr>
              <w:t>systems are conducted by a computer software usually written by a neutral party, the software vendor.</w:t>
            </w:r>
            <w:r w:rsidR="00DB4BBC" w:rsidRPr="000A630D">
              <w:rPr>
                <w:rFonts w:ascii="Times New Roman" w:hAnsi="Times New Roman" w:cs="Times New Roman"/>
                <w:sz w:val="24"/>
                <w:szCs w:val="24"/>
              </w:rPr>
              <w:t>”</w:t>
            </w:r>
          </w:p>
          <w:p w14:paraId="21FCFB75" w14:textId="77777777" w:rsidR="00BA2E61" w:rsidRPr="000A630D" w:rsidRDefault="00BA2E61" w:rsidP="003F3C58">
            <w:pPr>
              <w:rPr>
                <w:rFonts w:ascii="Times New Roman" w:hAnsi="Times New Roman" w:cs="Times New Roman"/>
                <w:sz w:val="24"/>
                <w:szCs w:val="24"/>
              </w:rPr>
            </w:pPr>
          </w:p>
        </w:tc>
        <w:tc>
          <w:tcPr>
            <w:tcW w:w="4405" w:type="dxa"/>
          </w:tcPr>
          <w:p w14:paraId="63EFAD29" w14:textId="77777777" w:rsidR="00034DED" w:rsidRPr="000A630D" w:rsidRDefault="0000748B" w:rsidP="00364D52">
            <w:pPr>
              <w:shd w:val="clear" w:color="auto" w:fill="FFFFFF"/>
              <w:spacing w:line="240" w:lineRule="auto"/>
              <w:rPr>
                <w:rFonts w:ascii="Times New Roman" w:eastAsia="Times New Roman" w:hAnsi="Times New Roman" w:cs="Times New Roman"/>
                <w:color w:val="333333"/>
                <w:sz w:val="24"/>
                <w:szCs w:val="24"/>
              </w:rPr>
            </w:pPr>
            <w:r w:rsidRPr="000A630D">
              <w:rPr>
                <w:rFonts w:ascii="Times New Roman" w:eastAsia="Times New Roman" w:hAnsi="Times New Roman" w:cs="Times New Roman"/>
                <w:color w:val="333333"/>
                <w:sz w:val="24"/>
                <w:szCs w:val="24"/>
              </w:rPr>
              <w:lastRenderedPageBreak/>
              <w:t>Every time an admissions lottery takes place, the process must be fair</w:t>
            </w:r>
            <w:r w:rsidR="004568E2" w:rsidRPr="000A630D">
              <w:rPr>
                <w:rFonts w:ascii="Times New Roman" w:eastAsia="Times New Roman" w:hAnsi="Times New Roman" w:cs="Times New Roman"/>
                <w:color w:val="333333"/>
                <w:sz w:val="24"/>
                <w:szCs w:val="24"/>
              </w:rPr>
              <w:t>,</w:t>
            </w:r>
            <w:r w:rsidRPr="000A630D">
              <w:rPr>
                <w:rFonts w:ascii="Times New Roman" w:eastAsia="Times New Roman" w:hAnsi="Times New Roman" w:cs="Times New Roman"/>
                <w:color w:val="333333"/>
                <w:sz w:val="24"/>
                <w:szCs w:val="24"/>
              </w:rPr>
              <w:t xml:space="preserve"> and all rules must be consistently applied. </w:t>
            </w:r>
            <w:r w:rsidR="008B27E4" w:rsidRPr="000A630D">
              <w:rPr>
                <w:rFonts w:ascii="Times New Roman" w:eastAsia="Times New Roman" w:hAnsi="Times New Roman" w:cs="Times New Roman"/>
                <w:color w:val="333333"/>
                <w:sz w:val="24"/>
                <w:szCs w:val="24"/>
              </w:rPr>
              <w:t>Th</w:t>
            </w:r>
            <w:r w:rsidR="005D0016" w:rsidRPr="000A630D">
              <w:rPr>
                <w:rFonts w:ascii="Times New Roman" w:eastAsia="Times New Roman" w:hAnsi="Times New Roman" w:cs="Times New Roman"/>
                <w:color w:val="333333"/>
                <w:sz w:val="24"/>
                <w:szCs w:val="24"/>
              </w:rPr>
              <w:t>e virtual school regulations</w:t>
            </w:r>
            <w:r w:rsidR="00464CAC" w:rsidRPr="000A630D">
              <w:rPr>
                <w:rFonts w:ascii="Times New Roman" w:eastAsia="Times New Roman" w:hAnsi="Times New Roman" w:cs="Times New Roman"/>
                <w:color w:val="333333"/>
                <w:sz w:val="24"/>
                <w:szCs w:val="24"/>
              </w:rPr>
              <w:t xml:space="preserve">, 603 CMR 52.05 (8) </w:t>
            </w:r>
            <w:r w:rsidR="00034DED" w:rsidRPr="000A630D">
              <w:rPr>
                <w:rFonts w:ascii="Times New Roman" w:eastAsia="Times New Roman" w:hAnsi="Times New Roman" w:cs="Times New Roman"/>
                <w:color w:val="333333"/>
                <w:sz w:val="24"/>
                <w:szCs w:val="24"/>
              </w:rPr>
              <w:t xml:space="preserve">state that “all lotteries shall be conducted in public, with a neutral party drawing names, and with reasonable public notice given at least one week prior to the lottery.  Such lotteries may be conducted electronically, and the neutral party will certify the process is fair and selection is random.” </w:t>
            </w:r>
          </w:p>
          <w:p w14:paraId="43684DE7" w14:textId="77777777" w:rsidR="00034DED" w:rsidRPr="000A630D" w:rsidRDefault="00034DED" w:rsidP="00364D52">
            <w:pPr>
              <w:shd w:val="clear" w:color="auto" w:fill="FFFFFF"/>
              <w:spacing w:line="240" w:lineRule="auto"/>
              <w:rPr>
                <w:rFonts w:ascii="Times New Roman" w:eastAsia="Times New Roman" w:hAnsi="Times New Roman" w:cs="Times New Roman"/>
                <w:color w:val="333333"/>
                <w:sz w:val="24"/>
                <w:szCs w:val="24"/>
              </w:rPr>
            </w:pPr>
          </w:p>
          <w:p w14:paraId="014787C2" w14:textId="23C7C5C1" w:rsidR="00BA2E61" w:rsidRPr="000A630D" w:rsidRDefault="00B50251" w:rsidP="00B50251">
            <w:pPr>
              <w:shd w:val="clear" w:color="auto" w:fill="FFFFFF"/>
              <w:spacing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rPr>
              <w:lastRenderedPageBreak/>
              <w:t xml:space="preserve">While no </w:t>
            </w:r>
            <w:r w:rsidR="00BB79B1">
              <w:rPr>
                <w:rFonts w:ascii="Times New Roman" w:eastAsia="Times New Roman" w:hAnsi="Times New Roman" w:cs="Times New Roman"/>
                <w:color w:val="333333"/>
                <w:sz w:val="24"/>
                <w:szCs w:val="24"/>
              </w:rPr>
              <w:t xml:space="preserve">regulatory </w:t>
            </w:r>
            <w:r>
              <w:rPr>
                <w:rFonts w:ascii="Times New Roman" w:eastAsia="Times New Roman" w:hAnsi="Times New Roman" w:cs="Times New Roman"/>
                <w:color w:val="333333"/>
                <w:sz w:val="24"/>
                <w:szCs w:val="24"/>
              </w:rPr>
              <w:t xml:space="preserve">change is </w:t>
            </w:r>
            <w:r w:rsidR="00BB79B1">
              <w:rPr>
                <w:rFonts w:ascii="Times New Roman" w:eastAsia="Times New Roman" w:hAnsi="Times New Roman" w:cs="Times New Roman"/>
                <w:color w:val="333333"/>
                <w:sz w:val="24"/>
                <w:szCs w:val="24"/>
              </w:rPr>
              <w:t>necessary</w:t>
            </w:r>
            <w:r w:rsidR="00DF7B9F" w:rsidRPr="000A630D">
              <w:rPr>
                <w:rFonts w:ascii="Times New Roman" w:hAnsi="Times New Roman" w:cs="Times New Roman"/>
                <w:color w:val="333333"/>
                <w:sz w:val="24"/>
                <w:szCs w:val="24"/>
                <w:shd w:val="clear" w:color="auto" w:fill="FFFFFF"/>
              </w:rPr>
              <w:t xml:space="preserve">, </w:t>
            </w:r>
            <w:r w:rsidR="00BB79B1">
              <w:rPr>
                <w:rFonts w:ascii="Times New Roman" w:hAnsi="Times New Roman" w:cs="Times New Roman"/>
                <w:color w:val="333333"/>
                <w:sz w:val="24"/>
                <w:szCs w:val="24"/>
                <w:shd w:val="clear" w:color="auto" w:fill="FFFFFF"/>
              </w:rPr>
              <w:t xml:space="preserve">the Department will </w:t>
            </w:r>
            <w:r w:rsidR="00317AE1">
              <w:rPr>
                <w:rFonts w:ascii="Times New Roman" w:hAnsi="Times New Roman" w:cs="Times New Roman"/>
                <w:color w:val="333333"/>
                <w:sz w:val="24"/>
                <w:szCs w:val="24"/>
                <w:shd w:val="clear" w:color="auto" w:fill="FFFFFF"/>
              </w:rPr>
              <w:t>provide</w:t>
            </w:r>
            <w:r w:rsidR="00BB79B1">
              <w:rPr>
                <w:rFonts w:ascii="Times New Roman" w:hAnsi="Times New Roman" w:cs="Times New Roman"/>
                <w:color w:val="333333"/>
                <w:sz w:val="24"/>
                <w:szCs w:val="24"/>
                <w:shd w:val="clear" w:color="auto" w:fill="FFFFFF"/>
              </w:rPr>
              <w:t xml:space="preserve"> additional guidance</w:t>
            </w:r>
            <w:r w:rsidR="00317AE1">
              <w:rPr>
                <w:rFonts w:ascii="Times New Roman" w:hAnsi="Times New Roman" w:cs="Times New Roman"/>
                <w:color w:val="333333"/>
                <w:sz w:val="24"/>
                <w:szCs w:val="24"/>
                <w:shd w:val="clear" w:color="auto" w:fill="FFFFFF"/>
              </w:rPr>
              <w:t xml:space="preserve"> as needed</w:t>
            </w:r>
            <w:r w:rsidR="00DF7B9F" w:rsidRPr="000A630D">
              <w:rPr>
                <w:rFonts w:ascii="Times New Roman" w:hAnsi="Times New Roman" w:cs="Times New Roman"/>
                <w:color w:val="333333"/>
                <w:sz w:val="24"/>
                <w:szCs w:val="24"/>
                <w:shd w:val="clear" w:color="auto" w:fill="FFFFFF"/>
              </w:rPr>
              <w:t xml:space="preserve">. </w:t>
            </w:r>
          </w:p>
        </w:tc>
      </w:tr>
      <w:tr w:rsidR="00B0784A" w:rsidRPr="00F902A1" w14:paraId="538F37E7" w14:textId="77777777" w:rsidTr="00704914">
        <w:tc>
          <w:tcPr>
            <w:tcW w:w="3325" w:type="dxa"/>
            <w:shd w:val="clear" w:color="auto" w:fill="FBE4D5" w:themeFill="accent2" w:themeFillTint="33"/>
          </w:tcPr>
          <w:p w14:paraId="7D3F407F" w14:textId="77777777" w:rsidR="00B0784A" w:rsidRPr="00F902A1" w:rsidRDefault="00B0784A" w:rsidP="00704914">
            <w:pPr>
              <w:rPr>
                <w:rFonts w:ascii="Times New Roman" w:hAnsi="Times New Roman" w:cs="Times New Roman"/>
                <w:b/>
                <w:bCs/>
                <w:sz w:val="24"/>
                <w:szCs w:val="24"/>
              </w:rPr>
            </w:pPr>
          </w:p>
        </w:tc>
        <w:tc>
          <w:tcPr>
            <w:tcW w:w="5220" w:type="dxa"/>
            <w:shd w:val="clear" w:color="auto" w:fill="FBE4D5" w:themeFill="accent2" w:themeFillTint="33"/>
          </w:tcPr>
          <w:p w14:paraId="7E9A44F7" w14:textId="2511BFC4" w:rsidR="00B0784A" w:rsidRPr="00EA6BBB" w:rsidRDefault="00B0784A" w:rsidP="00704914">
            <w:pPr>
              <w:rPr>
                <w:rFonts w:ascii="Times New Roman" w:hAnsi="Times New Roman" w:cs="Times New Roman"/>
                <w:b/>
                <w:bCs/>
                <w:sz w:val="24"/>
                <w:szCs w:val="24"/>
              </w:rPr>
            </w:pPr>
            <w:r w:rsidRPr="00EA6BBB">
              <w:rPr>
                <w:rFonts w:ascii="Times New Roman" w:hAnsi="Times New Roman" w:cs="Times New Roman"/>
                <w:b/>
                <w:bCs/>
                <w:sz w:val="24"/>
                <w:szCs w:val="24"/>
              </w:rPr>
              <w:t xml:space="preserve">52.05: Student Recruitment, Enrollment, and Retention </w:t>
            </w:r>
            <w:r w:rsidR="007A3577" w:rsidRPr="00EA6BBB">
              <w:rPr>
                <w:rFonts w:ascii="Times New Roman" w:hAnsi="Times New Roman" w:cs="Times New Roman"/>
                <w:b/>
                <w:bCs/>
                <w:sz w:val="24"/>
                <w:szCs w:val="24"/>
              </w:rPr>
              <w:t>(11</w:t>
            </w:r>
            <w:r w:rsidRPr="00EA6BBB">
              <w:rPr>
                <w:rFonts w:ascii="Times New Roman" w:hAnsi="Times New Roman" w:cs="Times New Roman"/>
                <w:b/>
                <w:bCs/>
                <w:sz w:val="24"/>
                <w:szCs w:val="24"/>
              </w:rPr>
              <w:t xml:space="preserve">) </w:t>
            </w:r>
            <w:r w:rsidR="007A3577" w:rsidRPr="00EA6BBB">
              <w:rPr>
                <w:rFonts w:ascii="Times New Roman" w:hAnsi="Times New Roman" w:cs="Times New Roman"/>
                <w:b/>
                <w:bCs/>
                <w:sz w:val="24"/>
                <w:szCs w:val="24"/>
              </w:rPr>
              <w:t>Enrollment Restrictions</w:t>
            </w:r>
          </w:p>
          <w:p w14:paraId="7F54A93E" w14:textId="77777777" w:rsidR="00B0784A" w:rsidRPr="00EA6BBB" w:rsidRDefault="00B0784A" w:rsidP="00704914">
            <w:pPr>
              <w:rPr>
                <w:rFonts w:ascii="Times New Roman" w:hAnsi="Times New Roman" w:cs="Times New Roman"/>
                <w:b/>
                <w:bCs/>
                <w:sz w:val="24"/>
                <w:szCs w:val="24"/>
              </w:rPr>
            </w:pPr>
          </w:p>
        </w:tc>
        <w:tc>
          <w:tcPr>
            <w:tcW w:w="4405" w:type="dxa"/>
            <w:shd w:val="clear" w:color="auto" w:fill="FBE4D5" w:themeFill="accent2" w:themeFillTint="33"/>
          </w:tcPr>
          <w:p w14:paraId="6DEDB6EB" w14:textId="77777777" w:rsidR="00B0784A" w:rsidRPr="00F902A1" w:rsidRDefault="00B0784A" w:rsidP="00704914">
            <w:pPr>
              <w:rPr>
                <w:rFonts w:ascii="Times New Roman" w:hAnsi="Times New Roman" w:cs="Times New Roman"/>
                <w:b/>
                <w:bCs/>
                <w:sz w:val="24"/>
                <w:szCs w:val="24"/>
              </w:rPr>
            </w:pPr>
          </w:p>
        </w:tc>
      </w:tr>
      <w:tr w:rsidR="00B0784A" w:rsidRPr="003F3C58" w14:paraId="1E6D7DAE" w14:textId="77777777" w:rsidTr="00675CAC">
        <w:tc>
          <w:tcPr>
            <w:tcW w:w="3325" w:type="dxa"/>
          </w:tcPr>
          <w:p w14:paraId="298054FC" w14:textId="77777777" w:rsidR="00197D53" w:rsidRPr="00B27000" w:rsidRDefault="00197D53" w:rsidP="00197D53">
            <w:pPr>
              <w:rPr>
                <w:rFonts w:ascii="Times New Roman" w:hAnsi="Times New Roman" w:cs="Times New Roman"/>
                <w:sz w:val="24"/>
                <w:szCs w:val="24"/>
              </w:rPr>
            </w:pPr>
            <w:r w:rsidRPr="00B27000">
              <w:rPr>
                <w:rFonts w:ascii="Times New Roman" w:hAnsi="Times New Roman" w:cs="Times New Roman"/>
                <w:sz w:val="24"/>
                <w:szCs w:val="24"/>
              </w:rPr>
              <w:t>Dr. Salah E. Khelfaoui</w:t>
            </w:r>
          </w:p>
          <w:p w14:paraId="69E3DC57" w14:textId="3B49091C" w:rsidR="00B0784A" w:rsidRPr="003F3C58" w:rsidRDefault="00197D53" w:rsidP="00197D53">
            <w:pPr>
              <w:rPr>
                <w:rFonts w:ascii="Times New Roman" w:hAnsi="Times New Roman" w:cs="Times New Roman"/>
                <w:sz w:val="24"/>
                <w:szCs w:val="24"/>
              </w:rPr>
            </w:pPr>
            <w:r w:rsidRPr="00B27000">
              <w:rPr>
                <w:rFonts w:ascii="Times New Roman" w:hAnsi="Times New Roman" w:cs="Times New Roman"/>
                <w:sz w:val="24"/>
                <w:szCs w:val="24"/>
              </w:rPr>
              <w:t xml:space="preserve">Executive Director/Superintendent of </w:t>
            </w:r>
            <w:r>
              <w:rPr>
                <w:rFonts w:ascii="Times New Roman" w:hAnsi="Times New Roman" w:cs="Times New Roman"/>
                <w:sz w:val="24"/>
                <w:szCs w:val="24"/>
              </w:rPr>
              <w:t>GCVS</w:t>
            </w:r>
          </w:p>
        </w:tc>
        <w:tc>
          <w:tcPr>
            <w:tcW w:w="5220" w:type="dxa"/>
          </w:tcPr>
          <w:p w14:paraId="516E70AA" w14:textId="285FBC95" w:rsidR="004B116A" w:rsidRPr="0044622F" w:rsidRDefault="00476226" w:rsidP="004B116A">
            <w:pPr>
              <w:shd w:val="clear" w:color="auto" w:fill="FFFFFF"/>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4B116A" w:rsidRPr="0044622F">
              <w:rPr>
                <w:rFonts w:ascii="Times New Roman" w:eastAsia="Times New Roman" w:hAnsi="Times New Roman" w:cs="Times New Roman"/>
                <w:bCs/>
                <w:sz w:val="24"/>
                <w:szCs w:val="24"/>
              </w:rPr>
              <w:t>It would be great if this cap is raised to 2% to be consistent with the state-wide cap.  It would also be preferable to mention that students enrolled before their districts of residence elected to limit the enrollment should be “grandfathered”, since a CMVS as a public school would not be able to unenroll those students.</w:t>
            </w:r>
            <w:r>
              <w:rPr>
                <w:rFonts w:ascii="Times New Roman" w:eastAsia="Times New Roman" w:hAnsi="Times New Roman" w:cs="Times New Roman"/>
                <w:bCs/>
                <w:sz w:val="24"/>
                <w:szCs w:val="24"/>
              </w:rPr>
              <w:t>”</w:t>
            </w:r>
          </w:p>
          <w:p w14:paraId="6588EEC3" w14:textId="77777777" w:rsidR="00B0784A" w:rsidRPr="0044622F" w:rsidRDefault="00B0784A" w:rsidP="003F3C58">
            <w:pPr>
              <w:rPr>
                <w:rFonts w:ascii="Times New Roman" w:hAnsi="Times New Roman" w:cs="Times New Roman"/>
                <w:sz w:val="24"/>
                <w:szCs w:val="24"/>
              </w:rPr>
            </w:pPr>
          </w:p>
        </w:tc>
        <w:tc>
          <w:tcPr>
            <w:tcW w:w="4405" w:type="dxa"/>
          </w:tcPr>
          <w:p w14:paraId="04A089DF" w14:textId="30F45F7C" w:rsidR="00B0784A" w:rsidRDefault="006243BF" w:rsidP="00567EE6">
            <w:pPr>
              <w:shd w:val="clear" w:color="auto" w:fill="FFFFFF"/>
              <w:spacing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Both the issues raised in the comment </w:t>
            </w:r>
            <w:r w:rsidR="00B47488">
              <w:rPr>
                <w:rFonts w:ascii="Times New Roman" w:eastAsia="Times New Roman" w:hAnsi="Times New Roman" w:cs="Times New Roman"/>
                <w:color w:val="333333"/>
                <w:sz w:val="24"/>
                <w:szCs w:val="24"/>
              </w:rPr>
              <w:t xml:space="preserve">relate to </w:t>
            </w:r>
            <w:r>
              <w:rPr>
                <w:rFonts w:ascii="Times New Roman" w:eastAsia="Times New Roman" w:hAnsi="Times New Roman" w:cs="Times New Roman"/>
                <w:color w:val="333333"/>
                <w:sz w:val="24"/>
                <w:szCs w:val="24"/>
              </w:rPr>
              <w:t>statutory</w:t>
            </w:r>
            <w:r w:rsidR="00B47488">
              <w:rPr>
                <w:rFonts w:ascii="Times New Roman" w:eastAsia="Times New Roman" w:hAnsi="Times New Roman" w:cs="Times New Roman"/>
                <w:color w:val="333333"/>
                <w:sz w:val="24"/>
                <w:szCs w:val="24"/>
              </w:rPr>
              <w:t xml:space="preserve"> requirements</w:t>
            </w:r>
            <w:r>
              <w:rPr>
                <w:rFonts w:ascii="Times New Roman" w:eastAsia="Times New Roman" w:hAnsi="Times New Roman" w:cs="Times New Roman"/>
                <w:color w:val="333333"/>
                <w:sz w:val="24"/>
                <w:szCs w:val="24"/>
              </w:rPr>
              <w:t xml:space="preserve">. </w:t>
            </w:r>
            <w:r w:rsidR="00843FEC" w:rsidRPr="002867B4">
              <w:rPr>
                <w:rFonts w:ascii="Times New Roman" w:eastAsia="Calibri" w:hAnsi="Times New Roman" w:cs="Times New Roman"/>
                <w:sz w:val="24"/>
                <w:szCs w:val="24"/>
              </w:rPr>
              <w:t xml:space="preserve">The statute indicates </w:t>
            </w:r>
            <w:r w:rsidR="00282EB3" w:rsidRPr="002867B4">
              <w:rPr>
                <w:rFonts w:ascii="Times New Roman" w:eastAsia="Calibri" w:hAnsi="Times New Roman" w:cs="Times New Roman"/>
                <w:sz w:val="24"/>
                <w:szCs w:val="24"/>
              </w:rPr>
              <w:t>as follows</w:t>
            </w:r>
            <w:r w:rsidR="00B47488">
              <w:rPr>
                <w:rFonts w:ascii="Times New Roman" w:eastAsia="Calibri" w:hAnsi="Times New Roman" w:cs="Times New Roman"/>
                <w:sz w:val="24"/>
                <w:szCs w:val="24"/>
              </w:rPr>
              <w:t>.</w:t>
            </w:r>
            <w:r w:rsidR="00282EB3" w:rsidRPr="002867B4">
              <w:rPr>
                <w:rFonts w:ascii="Times New Roman" w:eastAsia="Calibri" w:hAnsi="Times New Roman" w:cs="Times New Roman"/>
                <w:sz w:val="24"/>
                <w:szCs w:val="24"/>
              </w:rPr>
              <w:t xml:space="preserve"> </w:t>
            </w:r>
            <w:r w:rsidR="007F06D4" w:rsidRPr="002867B4">
              <w:rPr>
                <w:rFonts w:ascii="Times New Roman" w:eastAsia="Calibri" w:hAnsi="Times New Roman" w:cs="Times New Roman"/>
                <w:sz w:val="24"/>
                <w:szCs w:val="24"/>
              </w:rPr>
              <w:t>“</w:t>
            </w:r>
            <w:r w:rsidR="00B47488">
              <w:rPr>
                <w:rFonts w:ascii="Times New Roman" w:eastAsia="Calibri" w:hAnsi="Times New Roman" w:cs="Times New Roman"/>
                <w:sz w:val="24"/>
                <w:szCs w:val="24"/>
              </w:rPr>
              <w:t>A</w:t>
            </w:r>
            <w:r w:rsidR="007F06D4" w:rsidRPr="002867B4">
              <w:rPr>
                <w:rFonts w:ascii="Times New Roman" w:hAnsi="Times New Roman" w:cs="Times New Roman"/>
                <w:sz w:val="24"/>
                <w:szCs w:val="24"/>
              </w:rPr>
              <w:t xml:space="preserve">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 vote.”</w:t>
            </w:r>
            <w:r w:rsidR="00282EB3" w:rsidRPr="002867B4">
              <w:rPr>
                <w:sz w:val="24"/>
                <w:szCs w:val="24"/>
              </w:rPr>
              <w:t xml:space="preserve"> </w:t>
            </w:r>
            <w:r w:rsidR="00282EB3" w:rsidRPr="002867B4">
              <w:rPr>
                <w:rFonts w:ascii="Times New Roman" w:hAnsi="Times New Roman" w:cs="Times New Roman"/>
                <w:sz w:val="24"/>
                <w:szCs w:val="24"/>
              </w:rPr>
              <w:t xml:space="preserve">G.L. c. 71, § 94(t). </w:t>
            </w:r>
          </w:p>
          <w:p w14:paraId="2ED3231F" w14:textId="77777777" w:rsidR="00273675" w:rsidRDefault="00273675" w:rsidP="00567EE6">
            <w:pPr>
              <w:shd w:val="clear" w:color="auto" w:fill="FFFFFF"/>
              <w:spacing w:line="240" w:lineRule="auto"/>
              <w:rPr>
                <w:rFonts w:ascii="Times New Roman" w:hAnsi="Times New Roman" w:cs="Times New Roman"/>
                <w:sz w:val="24"/>
                <w:szCs w:val="24"/>
              </w:rPr>
            </w:pPr>
          </w:p>
          <w:p w14:paraId="513CA407" w14:textId="0BDDDE90" w:rsidR="00273675" w:rsidRPr="002867B4" w:rsidRDefault="00273675" w:rsidP="00567EE6">
            <w:pPr>
              <w:shd w:val="clear" w:color="auto" w:fill="FFFFFF"/>
              <w:spacing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Accordingly, no change is recommended.</w:t>
            </w:r>
          </w:p>
        </w:tc>
      </w:tr>
      <w:tr w:rsidR="007A3577" w:rsidRPr="00F902A1" w14:paraId="5D81C0FA" w14:textId="77777777" w:rsidTr="00704914">
        <w:tc>
          <w:tcPr>
            <w:tcW w:w="3325" w:type="dxa"/>
            <w:shd w:val="clear" w:color="auto" w:fill="FBE4D5" w:themeFill="accent2" w:themeFillTint="33"/>
          </w:tcPr>
          <w:p w14:paraId="5B7BCDB7" w14:textId="77777777" w:rsidR="007A3577" w:rsidRPr="00F902A1" w:rsidRDefault="007A3577" w:rsidP="00704914">
            <w:pPr>
              <w:rPr>
                <w:rFonts w:ascii="Times New Roman" w:hAnsi="Times New Roman" w:cs="Times New Roman"/>
                <w:b/>
                <w:bCs/>
                <w:sz w:val="24"/>
                <w:szCs w:val="24"/>
              </w:rPr>
            </w:pPr>
          </w:p>
        </w:tc>
        <w:tc>
          <w:tcPr>
            <w:tcW w:w="5220" w:type="dxa"/>
            <w:shd w:val="clear" w:color="auto" w:fill="FBE4D5" w:themeFill="accent2" w:themeFillTint="33"/>
          </w:tcPr>
          <w:p w14:paraId="23D05A40" w14:textId="647A49FF" w:rsidR="007A3577" w:rsidRPr="00F902A1" w:rsidRDefault="007A3577" w:rsidP="00704914">
            <w:pPr>
              <w:rPr>
                <w:rFonts w:ascii="Times New Roman" w:hAnsi="Times New Roman" w:cs="Times New Roman"/>
                <w:b/>
                <w:bCs/>
                <w:sz w:val="24"/>
                <w:szCs w:val="24"/>
              </w:rPr>
            </w:pPr>
            <w:r w:rsidRPr="00F902A1">
              <w:rPr>
                <w:rFonts w:ascii="Times New Roman" w:hAnsi="Times New Roman" w:cs="Times New Roman"/>
                <w:b/>
                <w:bCs/>
                <w:sz w:val="24"/>
                <w:szCs w:val="24"/>
              </w:rPr>
              <w:t xml:space="preserve">52.05: Student </w:t>
            </w:r>
            <w:r>
              <w:rPr>
                <w:rFonts w:ascii="Times New Roman" w:hAnsi="Times New Roman" w:cs="Times New Roman"/>
                <w:b/>
                <w:bCs/>
                <w:sz w:val="24"/>
                <w:szCs w:val="24"/>
              </w:rPr>
              <w:t>Recruitment, Enrollment, and Retention</w:t>
            </w:r>
            <w:r w:rsidR="00E46740">
              <w:rPr>
                <w:rFonts w:ascii="Times New Roman" w:hAnsi="Times New Roman" w:cs="Times New Roman"/>
                <w:b/>
                <w:bCs/>
                <w:sz w:val="24"/>
                <w:szCs w:val="24"/>
              </w:rPr>
              <w:t xml:space="preserve">, </w:t>
            </w:r>
            <w:r>
              <w:rPr>
                <w:rFonts w:ascii="Times New Roman" w:hAnsi="Times New Roman" w:cs="Times New Roman"/>
                <w:b/>
                <w:bCs/>
                <w:sz w:val="24"/>
                <w:szCs w:val="24"/>
              </w:rPr>
              <w:t>(</w:t>
            </w:r>
            <w:r w:rsidR="0054300C">
              <w:rPr>
                <w:rFonts w:ascii="Times New Roman" w:hAnsi="Times New Roman" w:cs="Times New Roman"/>
                <w:b/>
                <w:bCs/>
                <w:sz w:val="24"/>
                <w:szCs w:val="24"/>
              </w:rPr>
              <w:t>1</w:t>
            </w:r>
            <w:r w:rsidR="00E46740">
              <w:rPr>
                <w:rFonts w:ascii="Times New Roman" w:hAnsi="Times New Roman" w:cs="Times New Roman"/>
                <w:b/>
                <w:bCs/>
                <w:sz w:val="24"/>
                <w:szCs w:val="24"/>
              </w:rPr>
              <w:t>4</w:t>
            </w:r>
            <w:r>
              <w:rPr>
                <w:rFonts w:ascii="Times New Roman" w:hAnsi="Times New Roman" w:cs="Times New Roman"/>
                <w:b/>
                <w:bCs/>
                <w:sz w:val="24"/>
                <w:szCs w:val="24"/>
              </w:rPr>
              <w:t>)</w:t>
            </w:r>
            <w:r w:rsidR="006D2A17">
              <w:rPr>
                <w:rFonts w:ascii="Times New Roman" w:hAnsi="Times New Roman" w:cs="Times New Roman"/>
                <w:b/>
                <w:bCs/>
                <w:sz w:val="24"/>
                <w:szCs w:val="24"/>
              </w:rPr>
              <w:t xml:space="preserve"> </w:t>
            </w:r>
            <w:r w:rsidR="00E46740">
              <w:rPr>
                <w:rFonts w:ascii="Times New Roman" w:hAnsi="Times New Roman" w:cs="Times New Roman"/>
                <w:b/>
                <w:bCs/>
                <w:sz w:val="24"/>
                <w:szCs w:val="24"/>
              </w:rPr>
              <w:t>in proposed amendments</w:t>
            </w:r>
            <w:r w:rsidR="00FE1AAB">
              <w:rPr>
                <w:rFonts w:ascii="Times New Roman" w:hAnsi="Times New Roman" w:cs="Times New Roman"/>
                <w:b/>
                <w:bCs/>
                <w:sz w:val="24"/>
                <w:szCs w:val="24"/>
              </w:rPr>
              <w:t>,</w:t>
            </w:r>
            <w:r>
              <w:rPr>
                <w:rFonts w:ascii="Times New Roman" w:hAnsi="Times New Roman" w:cs="Times New Roman"/>
                <w:b/>
                <w:bCs/>
                <w:sz w:val="24"/>
                <w:szCs w:val="24"/>
              </w:rPr>
              <w:t xml:space="preserve"> </w:t>
            </w:r>
            <w:r w:rsidR="0054300C" w:rsidRPr="0054300C">
              <w:rPr>
                <w:rFonts w:ascii="Times New Roman" w:hAnsi="Times New Roman" w:cs="Times New Roman"/>
                <w:b/>
                <w:bCs/>
                <w:sz w:val="24"/>
                <w:szCs w:val="24"/>
              </w:rPr>
              <w:t xml:space="preserve">Enrollment from School Districts Establishing a Commonwealth of Massachusetts Virtual School </w:t>
            </w:r>
          </w:p>
        </w:tc>
        <w:tc>
          <w:tcPr>
            <w:tcW w:w="4405" w:type="dxa"/>
            <w:shd w:val="clear" w:color="auto" w:fill="FBE4D5" w:themeFill="accent2" w:themeFillTint="33"/>
          </w:tcPr>
          <w:p w14:paraId="0B231FA5" w14:textId="77777777" w:rsidR="007A3577" w:rsidRPr="00F902A1" w:rsidRDefault="007A3577" w:rsidP="00704914">
            <w:pPr>
              <w:rPr>
                <w:rFonts w:ascii="Times New Roman" w:hAnsi="Times New Roman" w:cs="Times New Roman"/>
                <w:b/>
                <w:bCs/>
                <w:sz w:val="24"/>
                <w:szCs w:val="24"/>
              </w:rPr>
            </w:pPr>
          </w:p>
        </w:tc>
      </w:tr>
      <w:tr w:rsidR="00B0784A" w:rsidRPr="003F3C58" w14:paraId="59A7981A" w14:textId="77777777" w:rsidTr="00675CAC">
        <w:tc>
          <w:tcPr>
            <w:tcW w:w="3325" w:type="dxa"/>
          </w:tcPr>
          <w:p w14:paraId="1CB3B8EA" w14:textId="77777777" w:rsidR="00197D53" w:rsidRPr="00B27000" w:rsidRDefault="00197D53" w:rsidP="00197D53">
            <w:pPr>
              <w:rPr>
                <w:rFonts w:ascii="Times New Roman" w:hAnsi="Times New Roman" w:cs="Times New Roman"/>
                <w:sz w:val="24"/>
                <w:szCs w:val="24"/>
              </w:rPr>
            </w:pPr>
            <w:r w:rsidRPr="00B27000">
              <w:rPr>
                <w:rFonts w:ascii="Times New Roman" w:hAnsi="Times New Roman" w:cs="Times New Roman"/>
                <w:sz w:val="24"/>
                <w:szCs w:val="24"/>
              </w:rPr>
              <w:t>Dr. Salah E. Khelfaoui</w:t>
            </w:r>
          </w:p>
          <w:p w14:paraId="54D7AAF1" w14:textId="35C9B1D7" w:rsidR="00B0784A" w:rsidRPr="003F3C58" w:rsidRDefault="00197D53" w:rsidP="00197D53">
            <w:pPr>
              <w:rPr>
                <w:rFonts w:ascii="Times New Roman" w:hAnsi="Times New Roman" w:cs="Times New Roman"/>
                <w:sz w:val="24"/>
                <w:szCs w:val="24"/>
              </w:rPr>
            </w:pPr>
            <w:r w:rsidRPr="00B27000">
              <w:rPr>
                <w:rFonts w:ascii="Times New Roman" w:hAnsi="Times New Roman" w:cs="Times New Roman"/>
                <w:sz w:val="24"/>
                <w:szCs w:val="24"/>
              </w:rPr>
              <w:t xml:space="preserve">Executive Director/Superintendent of </w:t>
            </w:r>
            <w:r>
              <w:rPr>
                <w:rFonts w:ascii="Times New Roman" w:hAnsi="Times New Roman" w:cs="Times New Roman"/>
                <w:sz w:val="24"/>
                <w:szCs w:val="24"/>
              </w:rPr>
              <w:t>GCVS</w:t>
            </w:r>
          </w:p>
        </w:tc>
        <w:tc>
          <w:tcPr>
            <w:tcW w:w="5220" w:type="dxa"/>
          </w:tcPr>
          <w:p w14:paraId="468BD206" w14:textId="50B80013" w:rsidR="00A249B5" w:rsidRPr="00EA6BBB" w:rsidRDefault="00476226" w:rsidP="00A249B5">
            <w:pPr>
              <w:rPr>
                <w:rFonts w:ascii="Times New Roman" w:hAnsi="Times New Roman" w:cs="Times New Roman"/>
                <w:sz w:val="24"/>
                <w:szCs w:val="24"/>
              </w:rPr>
            </w:pPr>
            <w:r>
              <w:rPr>
                <w:rFonts w:ascii="Times New Roman" w:hAnsi="Times New Roman" w:cs="Times New Roman"/>
                <w:sz w:val="24"/>
                <w:szCs w:val="24"/>
              </w:rPr>
              <w:t>“</w:t>
            </w:r>
            <w:r w:rsidR="00A249B5" w:rsidRPr="00EA6BBB">
              <w:rPr>
                <w:rFonts w:ascii="Times New Roman" w:hAnsi="Times New Roman" w:cs="Times New Roman"/>
                <w:sz w:val="24"/>
                <w:szCs w:val="24"/>
              </w:rPr>
              <w:t>This is not very clear! If 6 students are taking one course each, would that count as one full time student? Further clarification might be needed.</w:t>
            </w:r>
            <w:r>
              <w:rPr>
                <w:rFonts w:ascii="Times New Roman" w:hAnsi="Times New Roman" w:cs="Times New Roman"/>
                <w:sz w:val="24"/>
                <w:szCs w:val="24"/>
              </w:rPr>
              <w:t>”</w:t>
            </w:r>
          </w:p>
          <w:p w14:paraId="115B150C" w14:textId="55943177" w:rsidR="00B0784A" w:rsidRDefault="00B0784A" w:rsidP="003F3C58">
            <w:pPr>
              <w:rPr>
                <w:rFonts w:ascii="Times New Roman" w:hAnsi="Times New Roman" w:cs="Times New Roman"/>
                <w:sz w:val="24"/>
                <w:szCs w:val="24"/>
              </w:rPr>
            </w:pPr>
          </w:p>
          <w:p w14:paraId="70C5B9B0" w14:textId="7DB665C5" w:rsidR="002E7CFB" w:rsidRPr="003F3C58" w:rsidRDefault="002E7CFB" w:rsidP="003F3C58">
            <w:pPr>
              <w:rPr>
                <w:rFonts w:ascii="Times New Roman" w:hAnsi="Times New Roman" w:cs="Times New Roman"/>
                <w:sz w:val="24"/>
                <w:szCs w:val="24"/>
              </w:rPr>
            </w:pPr>
          </w:p>
        </w:tc>
        <w:tc>
          <w:tcPr>
            <w:tcW w:w="4405" w:type="dxa"/>
          </w:tcPr>
          <w:p w14:paraId="1A00173E" w14:textId="77777777" w:rsidR="007B7E3D" w:rsidRDefault="00E02AEF" w:rsidP="002E3BB0">
            <w:pPr>
              <w:contextualSpacing/>
              <w:rPr>
                <w:rFonts w:ascii="Times New Roman" w:hAnsi="Times New Roman" w:cs="Times New Roman"/>
                <w:sz w:val="24"/>
                <w:szCs w:val="24"/>
              </w:rPr>
            </w:pPr>
            <w:r w:rsidRPr="002E3BB0">
              <w:rPr>
                <w:rFonts w:ascii="Times New Roman" w:eastAsia="Times New Roman" w:hAnsi="Times New Roman" w:cs="Times New Roman"/>
                <w:color w:val="333333"/>
                <w:sz w:val="24"/>
                <w:szCs w:val="24"/>
              </w:rPr>
              <w:t>This r</w:t>
            </w:r>
            <w:r w:rsidR="00A57739" w:rsidRPr="002E3BB0">
              <w:rPr>
                <w:rFonts w:ascii="Times New Roman" w:eastAsia="Times New Roman" w:hAnsi="Times New Roman" w:cs="Times New Roman"/>
                <w:color w:val="333333"/>
                <w:sz w:val="24"/>
                <w:szCs w:val="24"/>
              </w:rPr>
              <w:t xml:space="preserve">egulatory provision </w:t>
            </w:r>
            <w:r w:rsidR="00726EAE">
              <w:rPr>
                <w:rFonts w:ascii="Times New Roman" w:eastAsia="Times New Roman" w:hAnsi="Times New Roman" w:cs="Times New Roman"/>
                <w:color w:val="333333"/>
                <w:sz w:val="24"/>
                <w:szCs w:val="24"/>
              </w:rPr>
              <w:t>was</w:t>
            </w:r>
            <w:r w:rsidR="00726EAE" w:rsidRPr="002E3BB0">
              <w:rPr>
                <w:rFonts w:ascii="Times New Roman" w:eastAsia="Times New Roman" w:hAnsi="Times New Roman" w:cs="Times New Roman"/>
                <w:color w:val="333333"/>
                <w:sz w:val="24"/>
                <w:szCs w:val="24"/>
              </w:rPr>
              <w:t xml:space="preserve"> </w:t>
            </w:r>
            <w:r w:rsidRPr="002E3BB0">
              <w:rPr>
                <w:rFonts w:ascii="Times New Roman" w:eastAsia="Times New Roman" w:hAnsi="Times New Roman" w:cs="Times New Roman"/>
                <w:color w:val="333333"/>
                <w:sz w:val="24"/>
                <w:szCs w:val="24"/>
              </w:rPr>
              <w:t xml:space="preserve">based on </w:t>
            </w:r>
            <w:r w:rsidR="002C6A91" w:rsidRPr="002E3BB0">
              <w:rPr>
                <w:rFonts w:ascii="Times New Roman" w:eastAsia="Times New Roman" w:hAnsi="Times New Roman" w:cs="Times New Roman"/>
                <w:color w:val="333333"/>
                <w:sz w:val="24"/>
                <w:szCs w:val="24"/>
              </w:rPr>
              <w:t xml:space="preserve">obsolete </w:t>
            </w:r>
            <w:r w:rsidRPr="002E3BB0">
              <w:rPr>
                <w:rFonts w:ascii="Times New Roman" w:eastAsia="Times New Roman" w:hAnsi="Times New Roman" w:cs="Times New Roman"/>
                <w:color w:val="333333"/>
                <w:sz w:val="24"/>
                <w:szCs w:val="24"/>
              </w:rPr>
              <w:t>language</w:t>
            </w:r>
            <w:r w:rsidR="002C6A91" w:rsidRPr="002E3BB0">
              <w:rPr>
                <w:rFonts w:ascii="Times New Roman" w:eastAsia="Times New Roman" w:hAnsi="Times New Roman" w:cs="Times New Roman"/>
                <w:color w:val="333333"/>
                <w:sz w:val="24"/>
                <w:szCs w:val="24"/>
              </w:rPr>
              <w:t xml:space="preserve"> </w:t>
            </w:r>
            <w:r w:rsidR="003B6D50">
              <w:rPr>
                <w:rFonts w:ascii="Times New Roman" w:eastAsia="Times New Roman" w:hAnsi="Times New Roman" w:cs="Times New Roman"/>
                <w:color w:val="333333"/>
                <w:sz w:val="24"/>
                <w:szCs w:val="24"/>
              </w:rPr>
              <w:t xml:space="preserve">that required </w:t>
            </w:r>
            <w:r w:rsidR="003B6D50" w:rsidRPr="003B6D50">
              <w:rPr>
                <w:rFonts w:ascii="Times New Roman" w:eastAsia="Times New Roman" w:hAnsi="Times New Roman" w:cs="Times New Roman"/>
                <w:color w:val="333333"/>
                <w:sz w:val="24"/>
                <w:szCs w:val="24"/>
              </w:rPr>
              <w:t xml:space="preserve">not less than 5 percent of the students enrolled in the </w:t>
            </w:r>
            <w:r w:rsidR="003B6D50">
              <w:rPr>
                <w:rFonts w:ascii="Times New Roman" w:eastAsia="Times New Roman" w:hAnsi="Times New Roman" w:cs="Times New Roman"/>
                <w:color w:val="333333"/>
                <w:sz w:val="24"/>
                <w:szCs w:val="24"/>
              </w:rPr>
              <w:t>C</w:t>
            </w:r>
            <w:r w:rsidR="003B6D50" w:rsidRPr="003B6D50">
              <w:rPr>
                <w:rFonts w:ascii="Times New Roman" w:eastAsia="Times New Roman" w:hAnsi="Times New Roman" w:cs="Times New Roman"/>
                <w:color w:val="333333"/>
                <w:sz w:val="24"/>
                <w:szCs w:val="24"/>
              </w:rPr>
              <w:t xml:space="preserve">ommonwealth </w:t>
            </w:r>
            <w:r w:rsidR="003B6D50">
              <w:rPr>
                <w:rFonts w:ascii="Times New Roman" w:eastAsia="Times New Roman" w:hAnsi="Times New Roman" w:cs="Times New Roman"/>
                <w:color w:val="333333"/>
                <w:sz w:val="24"/>
                <w:szCs w:val="24"/>
              </w:rPr>
              <w:t xml:space="preserve">of Massachusetts </w:t>
            </w:r>
            <w:r w:rsidR="003B6D50" w:rsidRPr="003B6D50">
              <w:rPr>
                <w:rFonts w:ascii="Times New Roman" w:eastAsia="Times New Roman" w:hAnsi="Times New Roman" w:cs="Times New Roman"/>
                <w:color w:val="333333"/>
                <w:sz w:val="24"/>
                <w:szCs w:val="24"/>
              </w:rPr>
              <w:t xml:space="preserve">virtual school be from the school district that established the school. </w:t>
            </w:r>
            <w:r w:rsidR="00941978" w:rsidRPr="002E3BB0">
              <w:rPr>
                <w:rFonts w:ascii="Times New Roman" w:eastAsia="Times New Roman" w:hAnsi="Times New Roman" w:cs="Times New Roman"/>
                <w:color w:val="333333"/>
                <w:sz w:val="24"/>
                <w:szCs w:val="24"/>
              </w:rPr>
              <w:t>In 2016, the language was deleted from G.L.</w:t>
            </w:r>
            <w:r w:rsidR="006F71A0" w:rsidRPr="002E3BB0">
              <w:rPr>
                <w:rFonts w:ascii="Times New Roman" w:hAnsi="Times New Roman" w:cs="Times New Roman"/>
                <w:sz w:val="24"/>
                <w:szCs w:val="24"/>
              </w:rPr>
              <w:t xml:space="preserve"> 71, </w:t>
            </w:r>
          </w:p>
          <w:p w14:paraId="666C32EA" w14:textId="10885255" w:rsidR="00A42C7A" w:rsidRDefault="006F71A0" w:rsidP="002E3BB0">
            <w:pPr>
              <w:contextualSpacing/>
              <w:rPr>
                <w:rFonts w:ascii="Times New Roman" w:hAnsi="Times New Roman" w:cs="Times New Roman"/>
                <w:sz w:val="24"/>
                <w:szCs w:val="24"/>
              </w:rPr>
            </w:pPr>
            <w:r w:rsidRPr="002E3BB0">
              <w:rPr>
                <w:rFonts w:ascii="Times New Roman" w:hAnsi="Times New Roman" w:cs="Times New Roman"/>
                <w:sz w:val="24"/>
                <w:szCs w:val="24"/>
              </w:rPr>
              <w:lastRenderedPageBreak/>
              <w:t>§ 94</w:t>
            </w:r>
            <w:r w:rsidR="00F11083" w:rsidRPr="002E3BB0">
              <w:rPr>
                <w:rFonts w:ascii="Times New Roman" w:hAnsi="Times New Roman" w:cs="Times New Roman"/>
                <w:sz w:val="24"/>
                <w:szCs w:val="24"/>
              </w:rPr>
              <w:t>(c)</w:t>
            </w:r>
            <w:r w:rsidR="008376E5">
              <w:rPr>
                <w:rFonts w:ascii="Times New Roman" w:hAnsi="Times New Roman" w:cs="Times New Roman"/>
                <w:sz w:val="24"/>
                <w:szCs w:val="24"/>
              </w:rPr>
              <w:t>.</w:t>
            </w:r>
            <w:r w:rsidR="00F11083" w:rsidRPr="002E3BB0">
              <w:rPr>
                <w:rFonts w:ascii="Times New Roman" w:hAnsi="Times New Roman" w:cs="Times New Roman"/>
                <w:sz w:val="24"/>
                <w:szCs w:val="24"/>
              </w:rPr>
              <w:t xml:space="preserve"> </w:t>
            </w:r>
            <w:r w:rsidR="002A6F26" w:rsidRPr="002E3BB0">
              <w:rPr>
                <w:rFonts w:ascii="Times New Roman" w:hAnsi="Times New Roman" w:cs="Times New Roman"/>
                <w:sz w:val="24"/>
                <w:szCs w:val="24"/>
              </w:rPr>
              <w:t xml:space="preserve">As a result, </w:t>
            </w:r>
            <w:r w:rsidR="00A13819">
              <w:rPr>
                <w:rFonts w:ascii="Times New Roman" w:hAnsi="Times New Roman" w:cs="Times New Roman"/>
                <w:sz w:val="24"/>
                <w:szCs w:val="24"/>
              </w:rPr>
              <w:t>we</w:t>
            </w:r>
            <w:r w:rsidR="002A6F26" w:rsidRPr="002E3BB0">
              <w:rPr>
                <w:rFonts w:ascii="Times New Roman" w:hAnsi="Times New Roman" w:cs="Times New Roman"/>
                <w:sz w:val="24"/>
                <w:szCs w:val="24"/>
              </w:rPr>
              <w:t xml:space="preserve"> </w:t>
            </w:r>
            <w:r w:rsidR="00735CFC" w:rsidRPr="002E3BB0">
              <w:rPr>
                <w:rFonts w:ascii="Times New Roman" w:hAnsi="Times New Roman" w:cs="Times New Roman"/>
                <w:sz w:val="24"/>
                <w:szCs w:val="24"/>
              </w:rPr>
              <w:t>recommend deleting this provision</w:t>
            </w:r>
            <w:r w:rsidR="003A2CAD" w:rsidRPr="002E3BB0">
              <w:rPr>
                <w:rFonts w:ascii="Times New Roman" w:hAnsi="Times New Roman" w:cs="Times New Roman"/>
                <w:sz w:val="24"/>
                <w:szCs w:val="24"/>
              </w:rPr>
              <w:t xml:space="preserve"> entirely</w:t>
            </w:r>
            <w:r w:rsidR="00A13819">
              <w:rPr>
                <w:rFonts w:ascii="Times New Roman" w:hAnsi="Times New Roman" w:cs="Times New Roman"/>
                <w:sz w:val="24"/>
                <w:szCs w:val="24"/>
              </w:rPr>
              <w:t>.</w:t>
            </w:r>
          </w:p>
          <w:p w14:paraId="3D21DAEB" w14:textId="77777777" w:rsidR="00A42C7A" w:rsidRDefault="00A42C7A" w:rsidP="002E3BB0">
            <w:pPr>
              <w:contextualSpacing/>
              <w:rPr>
                <w:rFonts w:ascii="Times New Roman" w:hAnsi="Times New Roman" w:cs="Times New Roman"/>
                <w:sz w:val="24"/>
                <w:szCs w:val="24"/>
              </w:rPr>
            </w:pPr>
          </w:p>
          <w:p w14:paraId="6C71827B" w14:textId="03173D02" w:rsidR="00B0784A" w:rsidRPr="002E3BB0" w:rsidRDefault="002E3BB0" w:rsidP="002E3BB0">
            <w:pPr>
              <w:contextualSpacing/>
              <w:rPr>
                <w:rFonts w:ascii="Times New Roman" w:hAnsi="Times New Roman" w:cs="Times New Roman"/>
                <w:sz w:val="24"/>
                <w:szCs w:val="24"/>
              </w:rPr>
            </w:pPr>
            <w:r w:rsidRPr="002E3BB0">
              <w:rPr>
                <w:rStyle w:val="cf11"/>
                <w:rFonts w:ascii="Times New Roman" w:hAnsi="Times New Roman" w:cs="Times New Roman"/>
                <w:strike/>
                <w:sz w:val="24"/>
                <w:szCs w:val="24"/>
              </w:rPr>
              <w:t>(13) Enrollment from School Districts Establishing a Commonwealth of Massachusetts Virtual School. Enrollment of students on a fulltime basis who reside in the district(s) and collaborative(s) establishing a Commonwealth of Massachusetts virtual school under G.L. c. 71, § 94(c), shall</w:t>
            </w:r>
            <w:r w:rsidRPr="002E3BB0">
              <w:rPr>
                <w:rStyle w:val="cf11"/>
                <w:rFonts w:ascii="Times New Roman" w:hAnsi="Times New Roman" w:cs="Times New Roman"/>
                <w:sz w:val="24"/>
                <w:szCs w:val="24"/>
              </w:rPr>
              <w:t xml:space="preserve"> </w:t>
            </w:r>
            <w:r w:rsidRPr="002E3BB0">
              <w:rPr>
                <w:rStyle w:val="cf11"/>
                <w:rFonts w:ascii="Times New Roman" w:hAnsi="Times New Roman" w:cs="Times New Roman"/>
                <w:strike/>
                <w:sz w:val="24"/>
                <w:szCs w:val="24"/>
              </w:rPr>
              <w:t>count towards the percentage required in M.G.L. c. 71, § 94(c). Enrollment of students in six individual courses that last a full school year shall count as one student enrolled on a fulltime basis for purposes of the percentage required in M. G.L. c. 71, § 94(c). Additionally, for these courses to be included, students taking the courses must reside in the district(s) and collaborative(s) establishing the virtual school.</w:t>
            </w:r>
          </w:p>
        </w:tc>
      </w:tr>
      <w:tr w:rsidR="00975C18" w:rsidRPr="003F3C58" w14:paraId="0B965D19" w14:textId="318B6417" w:rsidTr="00675CAC">
        <w:tc>
          <w:tcPr>
            <w:tcW w:w="12950" w:type="dxa"/>
            <w:gridSpan w:val="3"/>
            <w:shd w:val="clear" w:color="auto" w:fill="B4C6E7" w:themeFill="accent1" w:themeFillTint="66"/>
          </w:tcPr>
          <w:p w14:paraId="4B8B9A46" w14:textId="4432349E" w:rsidR="00975C18" w:rsidRPr="00675CAC" w:rsidRDefault="00975C18" w:rsidP="003F3C58">
            <w:pPr>
              <w:rPr>
                <w:rFonts w:ascii="Times New Roman" w:hAnsi="Times New Roman" w:cs="Times New Roman"/>
                <w:b/>
                <w:bCs/>
                <w:sz w:val="24"/>
                <w:szCs w:val="24"/>
              </w:rPr>
            </w:pPr>
            <w:r w:rsidRPr="00675CAC">
              <w:rPr>
                <w:rFonts w:ascii="Times New Roman" w:hAnsi="Times New Roman" w:cs="Times New Roman"/>
                <w:b/>
                <w:bCs/>
                <w:sz w:val="24"/>
                <w:szCs w:val="24"/>
              </w:rPr>
              <w:lastRenderedPageBreak/>
              <w:t>52.06: Board of Trustees and Staff</w:t>
            </w:r>
          </w:p>
        </w:tc>
      </w:tr>
      <w:tr w:rsidR="00724890" w:rsidRPr="00F902A1" w14:paraId="4F4F6512" w14:textId="77777777" w:rsidTr="00704914">
        <w:tc>
          <w:tcPr>
            <w:tcW w:w="3325" w:type="dxa"/>
            <w:shd w:val="clear" w:color="auto" w:fill="FBE4D5" w:themeFill="accent2" w:themeFillTint="33"/>
          </w:tcPr>
          <w:p w14:paraId="5164F238" w14:textId="77777777" w:rsidR="00724890" w:rsidRPr="00F902A1" w:rsidRDefault="00724890" w:rsidP="00704914">
            <w:pPr>
              <w:rPr>
                <w:rFonts w:ascii="Times New Roman" w:hAnsi="Times New Roman" w:cs="Times New Roman"/>
                <w:b/>
                <w:bCs/>
                <w:sz w:val="24"/>
                <w:szCs w:val="24"/>
              </w:rPr>
            </w:pPr>
          </w:p>
        </w:tc>
        <w:tc>
          <w:tcPr>
            <w:tcW w:w="5220" w:type="dxa"/>
            <w:shd w:val="clear" w:color="auto" w:fill="FBE4D5" w:themeFill="accent2" w:themeFillTint="33"/>
          </w:tcPr>
          <w:p w14:paraId="182A4AE2" w14:textId="09B1EE05" w:rsidR="00724890" w:rsidRPr="00F902A1" w:rsidRDefault="00724890" w:rsidP="00704914">
            <w:pPr>
              <w:rPr>
                <w:rFonts w:ascii="Times New Roman" w:hAnsi="Times New Roman" w:cs="Times New Roman"/>
                <w:b/>
                <w:bCs/>
                <w:sz w:val="24"/>
                <w:szCs w:val="24"/>
              </w:rPr>
            </w:pPr>
            <w:r w:rsidRPr="00724890">
              <w:rPr>
                <w:rFonts w:ascii="Times New Roman" w:hAnsi="Times New Roman" w:cs="Times New Roman"/>
                <w:b/>
                <w:bCs/>
                <w:sz w:val="24"/>
                <w:szCs w:val="24"/>
              </w:rPr>
              <w:t xml:space="preserve">52.06: Board of Trustees and Staff </w:t>
            </w:r>
            <w:r w:rsidR="00F828F3">
              <w:rPr>
                <w:rFonts w:ascii="Times New Roman" w:hAnsi="Times New Roman" w:cs="Times New Roman"/>
                <w:b/>
                <w:bCs/>
                <w:sz w:val="24"/>
                <w:szCs w:val="24"/>
              </w:rPr>
              <w:t>“</w:t>
            </w:r>
            <w:r w:rsidR="00895262">
              <w:rPr>
                <w:rFonts w:ascii="Times New Roman" w:hAnsi="Times New Roman" w:cs="Times New Roman"/>
                <w:b/>
                <w:bCs/>
                <w:sz w:val="24"/>
                <w:szCs w:val="24"/>
              </w:rPr>
              <w:t>(2)</w:t>
            </w:r>
            <w:r w:rsidR="002C2A3D">
              <w:rPr>
                <w:rFonts w:ascii="Times New Roman" w:hAnsi="Times New Roman" w:cs="Times New Roman"/>
                <w:b/>
                <w:bCs/>
                <w:sz w:val="24"/>
                <w:szCs w:val="24"/>
              </w:rPr>
              <w:t>(e)</w:t>
            </w:r>
            <w:r w:rsidR="00895262" w:rsidRPr="00724890">
              <w:rPr>
                <w:rFonts w:ascii="Times New Roman" w:hAnsi="Times New Roman" w:cs="Times New Roman"/>
                <w:sz w:val="24"/>
                <w:szCs w:val="24"/>
              </w:rPr>
              <w:t xml:space="preserve"> Hiring, evaluating, and removing, if necessary, qualified personnel to manage the school's day-to-day operations and holding these administrators accountable for meeting specified goals</w:t>
            </w:r>
            <w:r w:rsidR="00F828F3">
              <w:rPr>
                <w:rFonts w:ascii="Times New Roman" w:hAnsi="Times New Roman" w:cs="Times New Roman"/>
                <w:sz w:val="24"/>
                <w:szCs w:val="24"/>
              </w:rPr>
              <w:t>.”</w:t>
            </w:r>
          </w:p>
        </w:tc>
        <w:tc>
          <w:tcPr>
            <w:tcW w:w="4405" w:type="dxa"/>
            <w:shd w:val="clear" w:color="auto" w:fill="FBE4D5" w:themeFill="accent2" w:themeFillTint="33"/>
          </w:tcPr>
          <w:p w14:paraId="298786E9" w14:textId="77777777" w:rsidR="00724890" w:rsidRPr="00F902A1" w:rsidRDefault="00724890" w:rsidP="00704914">
            <w:pPr>
              <w:rPr>
                <w:rFonts w:ascii="Times New Roman" w:hAnsi="Times New Roman" w:cs="Times New Roman"/>
                <w:b/>
                <w:bCs/>
                <w:sz w:val="24"/>
                <w:szCs w:val="24"/>
              </w:rPr>
            </w:pPr>
          </w:p>
        </w:tc>
      </w:tr>
      <w:tr w:rsidR="00BA2E61" w:rsidRPr="003F3C58" w14:paraId="7671EAFF" w14:textId="77777777" w:rsidTr="00675CAC">
        <w:tc>
          <w:tcPr>
            <w:tcW w:w="3325" w:type="dxa"/>
          </w:tcPr>
          <w:p w14:paraId="7EC0FE5D" w14:textId="77777777" w:rsidR="00197D53" w:rsidRPr="00B27000" w:rsidRDefault="00197D53" w:rsidP="00197D53">
            <w:pPr>
              <w:rPr>
                <w:rFonts w:ascii="Times New Roman" w:hAnsi="Times New Roman" w:cs="Times New Roman"/>
                <w:sz w:val="24"/>
                <w:szCs w:val="24"/>
              </w:rPr>
            </w:pPr>
            <w:r w:rsidRPr="00B27000">
              <w:rPr>
                <w:rFonts w:ascii="Times New Roman" w:hAnsi="Times New Roman" w:cs="Times New Roman"/>
                <w:sz w:val="24"/>
                <w:szCs w:val="24"/>
              </w:rPr>
              <w:t>Dr. Salah E. Khelfaoui</w:t>
            </w:r>
          </w:p>
          <w:p w14:paraId="43723CC3" w14:textId="4CEB1F0F" w:rsidR="00BA2E61" w:rsidRPr="003F3C58" w:rsidRDefault="00197D53" w:rsidP="00197D53">
            <w:pPr>
              <w:rPr>
                <w:rFonts w:ascii="Times New Roman" w:hAnsi="Times New Roman" w:cs="Times New Roman"/>
                <w:sz w:val="24"/>
                <w:szCs w:val="24"/>
              </w:rPr>
            </w:pPr>
            <w:r w:rsidRPr="00B27000">
              <w:rPr>
                <w:rFonts w:ascii="Times New Roman" w:hAnsi="Times New Roman" w:cs="Times New Roman"/>
                <w:sz w:val="24"/>
                <w:szCs w:val="24"/>
              </w:rPr>
              <w:lastRenderedPageBreak/>
              <w:t xml:space="preserve">Executive Director/Superintendent of </w:t>
            </w:r>
            <w:r>
              <w:rPr>
                <w:rFonts w:ascii="Times New Roman" w:hAnsi="Times New Roman" w:cs="Times New Roman"/>
                <w:sz w:val="24"/>
                <w:szCs w:val="24"/>
              </w:rPr>
              <w:t>GCVS</w:t>
            </w:r>
          </w:p>
        </w:tc>
        <w:tc>
          <w:tcPr>
            <w:tcW w:w="5220" w:type="dxa"/>
          </w:tcPr>
          <w:p w14:paraId="1091CE93" w14:textId="74C118DE" w:rsidR="00BA2E61" w:rsidRPr="00895262" w:rsidRDefault="00167C0A" w:rsidP="003F3C58">
            <w:pPr>
              <w:rPr>
                <w:rFonts w:ascii="Times New Roman" w:hAnsi="Times New Roman" w:cs="Times New Roman"/>
                <w:color w:val="FF0000"/>
                <w:sz w:val="24"/>
                <w:szCs w:val="24"/>
              </w:rPr>
            </w:pPr>
            <w:r>
              <w:rPr>
                <w:rFonts w:ascii="Times New Roman" w:hAnsi="Times New Roman" w:cs="Times New Roman"/>
                <w:sz w:val="24"/>
                <w:szCs w:val="24"/>
              </w:rPr>
              <w:lastRenderedPageBreak/>
              <w:t>“</w:t>
            </w:r>
            <w:r w:rsidR="0056288F">
              <w:rPr>
                <w:rFonts w:ascii="Times New Roman" w:hAnsi="Times New Roman" w:cs="Times New Roman"/>
                <w:sz w:val="24"/>
                <w:szCs w:val="24"/>
              </w:rPr>
              <w:t>T</w:t>
            </w:r>
            <w:r w:rsidR="00895262" w:rsidRPr="00EA6BBB">
              <w:rPr>
                <w:rFonts w:ascii="Times New Roman" w:hAnsi="Times New Roman" w:cs="Times New Roman"/>
                <w:sz w:val="24"/>
                <w:szCs w:val="24"/>
              </w:rPr>
              <w:t xml:space="preserve">his might have to be limited to the top administrator, Executive Director/Superintendent. That would be consistent with the role of school </w:t>
            </w:r>
            <w:r w:rsidR="00895262" w:rsidRPr="00EA6BBB">
              <w:rPr>
                <w:rFonts w:ascii="Times New Roman" w:hAnsi="Times New Roman" w:cs="Times New Roman"/>
                <w:sz w:val="24"/>
                <w:szCs w:val="24"/>
              </w:rPr>
              <w:lastRenderedPageBreak/>
              <w:t>committees in school districts throughout the commonwealth.  If this is perceived as the board of trustees having the ability to hire and remove other administrators as well, this might lead to very chaotic situations where the authority of the superintendent could be seriously undermined.</w:t>
            </w:r>
            <w:r w:rsidR="00476226">
              <w:rPr>
                <w:rFonts w:ascii="Times New Roman" w:hAnsi="Times New Roman" w:cs="Times New Roman"/>
                <w:sz w:val="24"/>
                <w:szCs w:val="24"/>
              </w:rPr>
              <w:t>”</w:t>
            </w:r>
          </w:p>
        </w:tc>
        <w:tc>
          <w:tcPr>
            <w:tcW w:w="4405" w:type="dxa"/>
          </w:tcPr>
          <w:p w14:paraId="5DFC23E4" w14:textId="043CEB81" w:rsidR="00F75A2F" w:rsidRPr="009B58B0" w:rsidRDefault="00821993" w:rsidP="00F75A2F">
            <w:pPr>
              <w:shd w:val="clear" w:color="auto" w:fill="FFFFFF"/>
              <w:spacing w:line="240" w:lineRule="auto"/>
              <w:rPr>
                <w:rFonts w:ascii="Times New Roman" w:eastAsia="Times New Roman" w:hAnsi="Times New Roman" w:cs="Times New Roman"/>
                <w:color w:val="333333"/>
                <w:sz w:val="24"/>
                <w:szCs w:val="24"/>
              </w:rPr>
            </w:pPr>
            <w:r>
              <w:rPr>
                <w:rFonts w:ascii="Times New Roman" w:hAnsi="Times New Roman" w:cs="Times New Roman"/>
                <w:sz w:val="24"/>
                <w:szCs w:val="24"/>
              </w:rPr>
              <w:lastRenderedPageBreak/>
              <w:t>The regulations currently state</w:t>
            </w:r>
            <w:r w:rsidR="00886749">
              <w:rPr>
                <w:rFonts w:ascii="Times New Roman" w:hAnsi="Times New Roman" w:cs="Times New Roman"/>
                <w:sz w:val="24"/>
                <w:szCs w:val="24"/>
              </w:rPr>
              <w:t xml:space="preserve"> as follows at</w:t>
            </w:r>
            <w:r w:rsidR="00F75A2F" w:rsidRPr="009B58B0">
              <w:rPr>
                <w:rFonts w:ascii="Times New Roman" w:eastAsia="Times New Roman" w:hAnsi="Times New Roman" w:cs="Times New Roman"/>
                <w:color w:val="333333"/>
                <w:sz w:val="24"/>
                <w:szCs w:val="24"/>
              </w:rPr>
              <w:t xml:space="preserve"> </w:t>
            </w:r>
            <w:r w:rsidR="00174DE8">
              <w:rPr>
                <w:rFonts w:ascii="Times New Roman" w:eastAsia="Times New Roman" w:hAnsi="Times New Roman" w:cs="Times New Roman"/>
                <w:color w:val="333333"/>
                <w:sz w:val="24"/>
                <w:szCs w:val="24"/>
              </w:rPr>
              <w:t>5</w:t>
            </w:r>
            <w:r w:rsidR="00D64D88">
              <w:rPr>
                <w:rFonts w:ascii="Times New Roman" w:eastAsia="Times New Roman" w:hAnsi="Times New Roman" w:cs="Times New Roman"/>
                <w:color w:val="333333"/>
                <w:sz w:val="24"/>
                <w:szCs w:val="24"/>
              </w:rPr>
              <w:t>2</w:t>
            </w:r>
            <w:r w:rsidR="00174DE8">
              <w:rPr>
                <w:rFonts w:ascii="Times New Roman" w:eastAsia="Times New Roman" w:hAnsi="Times New Roman" w:cs="Times New Roman"/>
                <w:color w:val="333333"/>
                <w:sz w:val="24"/>
                <w:szCs w:val="24"/>
              </w:rPr>
              <w:t>.06 (2)</w:t>
            </w:r>
            <w:r w:rsidR="00886749">
              <w:rPr>
                <w:rFonts w:ascii="Times New Roman" w:eastAsia="Times New Roman" w:hAnsi="Times New Roman" w:cs="Times New Roman"/>
                <w:color w:val="333333"/>
                <w:sz w:val="24"/>
                <w:szCs w:val="24"/>
              </w:rPr>
              <w:t>.</w:t>
            </w:r>
            <w:r w:rsidR="00174DE8">
              <w:rPr>
                <w:rFonts w:ascii="Times New Roman" w:eastAsia="Times New Roman" w:hAnsi="Times New Roman" w:cs="Times New Roman"/>
                <w:color w:val="333333"/>
                <w:sz w:val="24"/>
                <w:szCs w:val="24"/>
              </w:rPr>
              <w:t xml:space="preserve"> </w:t>
            </w:r>
            <w:r w:rsidR="002B073E">
              <w:rPr>
                <w:rFonts w:ascii="Times New Roman" w:eastAsia="Times New Roman" w:hAnsi="Times New Roman" w:cs="Times New Roman"/>
                <w:color w:val="333333"/>
                <w:sz w:val="24"/>
                <w:szCs w:val="24"/>
              </w:rPr>
              <w:t>“</w:t>
            </w:r>
            <w:r w:rsidR="00F75A2F" w:rsidRPr="009B58B0">
              <w:rPr>
                <w:rFonts w:ascii="Times New Roman" w:eastAsia="Times New Roman" w:hAnsi="Times New Roman" w:cs="Times New Roman"/>
                <w:color w:val="333333"/>
                <w:sz w:val="24"/>
                <w:szCs w:val="24"/>
              </w:rPr>
              <w:t xml:space="preserve">The responsibilities of the </w:t>
            </w:r>
            <w:r w:rsidR="00F75A2F" w:rsidRPr="009B58B0">
              <w:rPr>
                <w:rFonts w:ascii="Times New Roman" w:eastAsia="Times New Roman" w:hAnsi="Times New Roman" w:cs="Times New Roman"/>
                <w:color w:val="333333"/>
                <w:sz w:val="24"/>
                <w:szCs w:val="24"/>
              </w:rPr>
              <w:lastRenderedPageBreak/>
              <w:t>board of trustees shall include, but are not limited to, the following:</w:t>
            </w:r>
          </w:p>
          <w:p w14:paraId="0236F701" w14:textId="79580520" w:rsidR="00F75A2F" w:rsidRDefault="00F75A2F" w:rsidP="00F75A2F">
            <w:pPr>
              <w:shd w:val="clear" w:color="auto" w:fill="FFFFFF"/>
              <w:spacing w:line="240" w:lineRule="auto"/>
              <w:ind w:left="720"/>
              <w:rPr>
                <w:rFonts w:ascii="Times New Roman" w:eastAsia="Times New Roman" w:hAnsi="Times New Roman" w:cs="Times New Roman"/>
                <w:color w:val="333333"/>
                <w:sz w:val="24"/>
                <w:szCs w:val="24"/>
              </w:rPr>
            </w:pPr>
            <w:r w:rsidRPr="009B58B0">
              <w:rPr>
                <w:rFonts w:ascii="Times New Roman" w:eastAsia="Times New Roman" w:hAnsi="Times New Roman" w:cs="Times New Roman"/>
                <w:color w:val="333333"/>
                <w:sz w:val="24"/>
                <w:szCs w:val="24"/>
              </w:rPr>
              <w:t>(e) Hiring, evaluating, and removing, if necessary, qualified personnel to manage the school's day-to-day operations and holding these administrators accountable for meeting specified goals</w:t>
            </w:r>
            <w:r w:rsidR="00886749">
              <w:rPr>
                <w:rFonts w:ascii="Times New Roman" w:eastAsia="Times New Roman" w:hAnsi="Times New Roman" w:cs="Times New Roman"/>
                <w:color w:val="333333"/>
                <w:sz w:val="24"/>
                <w:szCs w:val="24"/>
              </w:rPr>
              <w:t>.</w:t>
            </w:r>
            <w:r w:rsidR="002B073E">
              <w:rPr>
                <w:rFonts w:ascii="Times New Roman" w:eastAsia="Times New Roman" w:hAnsi="Times New Roman" w:cs="Times New Roman"/>
                <w:color w:val="333333"/>
                <w:sz w:val="24"/>
                <w:szCs w:val="24"/>
              </w:rPr>
              <w:t>”</w:t>
            </w:r>
          </w:p>
          <w:p w14:paraId="6113ADEB" w14:textId="77777777" w:rsidR="007004D0" w:rsidRDefault="007004D0" w:rsidP="000C5D5C">
            <w:pPr>
              <w:shd w:val="clear" w:color="auto" w:fill="FFFFFF"/>
              <w:spacing w:line="240" w:lineRule="auto"/>
              <w:rPr>
                <w:rFonts w:ascii="Times New Roman" w:eastAsia="Times New Roman" w:hAnsi="Times New Roman" w:cs="Times New Roman"/>
                <w:color w:val="333333"/>
                <w:sz w:val="24"/>
                <w:szCs w:val="24"/>
              </w:rPr>
            </w:pPr>
          </w:p>
          <w:p w14:paraId="704B1AFE" w14:textId="6C235FB5" w:rsidR="00273675" w:rsidRPr="0023084A" w:rsidRDefault="000C5D5C" w:rsidP="000C5D5C">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w:t>
            </w:r>
            <w:r w:rsidR="00273675">
              <w:rPr>
                <w:rFonts w:ascii="Times New Roman" w:eastAsia="Times New Roman" w:hAnsi="Times New Roman" w:cs="Times New Roman"/>
                <w:color w:val="333333"/>
                <w:sz w:val="24"/>
                <w:szCs w:val="24"/>
              </w:rPr>
              <w:t>regulatory</w:t>
            </w:r>
            <w:r>
              <w:rPr>
                <w:rFonts w:ascii="Times New Roman" w:eastAsia="Times New Roman" w:hAnsi="Times New Roman" w:cs="Times New Roman"/>
                <w:color w:val="333333"/>
                <w:sz w:val="24"/>
                <w:szCs w:val="24"/>
              </w:rPr>
              <w:t xml:space="preserve"> provision </w:t>
            </w:r>
            <w:r w:rsidR="00886749">
              <w:rPr>
                <w:rFonts w:ascii="Times New Roman" w:eastAsia="Times New Roman" w:hAnsi="Times New Roman" w:cs="Times New Roman"/>
                <w:color w:val="333333"/>
                <w:sz w:val="24"/>
                <w:szCs w:val="24"/>
              </w:rPr>
              <w:t>allows</w:t>
            </w:r>
            <w:r>
              <w:rPr>
                <w:rFonts w:ascii="Times New Roman" w:eastAsia="Times New Roman" w:hAnsi="Times New Roman" w:cs="Times New Roman"/>
                <w:color w:val="333333"/>
                <w:sz w:val="24"/>
                <w:szCs w:val="24"/>
              </w:rPr>
              <w:t xml:space="preserve"> a variety of </w:t>
            </w:r>
            <w:r w:rsidR="00273675">
              <w:rPr>
                <w:rFonts w:ascii="Times New Roman" w:eastAsia="Times New Roman" w:hAnsi="Times New Roman" w:cs="Times New Roman"/>
                <w:color w:val="333333"/>
                <w:sz w:val="24"/>
                <w:szCs w:val="24"/>
              </w:rPr>
              <w:t>organizational structures</w:t>
            </w:r>
            <w:r w:rsidR="003C042C">
              <w:rPr>
                <w:rFonts w:ascii="Times New Roman" w:eastAsia="Times New Roman" w:hAnsi="Times New Roman" w:cs="Times New Roman"/>
                <w:color w:val="333333"/>
                <w:sz w:val="24"/>
                <w:szCs w:val="24"/>
              </w:rPr>
              <w:t>,</w:t>
            </w:r>
            <w:r w:rsidR="001F4830">
              <w:rPr>
                <w:rFonts w:ascii="Times New Roman" w:eastAsia="Times New Roman" w:hAnsi="Times New Roman" w:cs="Times New Roman"/>
                <w:color w:val="333333"/>
                <w:sz w:val="24"/>
                <w:szCs w:val="24"/>
              </w:rPr>
              <w:t xml:space="preserve"> and we are unaware of any </w:t>
            </w:r>
            <w:r w:rsidR="000511E6">
              <w:rPr>
                <w:rFonts w:ascii="Times New Roman" w:eastAsia="Times New Roman" w:hAnsi="Times New Roman" w:cs="Times New Roman"/>
                <w:color w:val="333333"/>
                <w:sz w:val="24"/>
                <w:szCs w:val="24"/>
              </w:rPr>
              <w:t>problems that have been created by this flexibility</w:t>
            </w:r>
            <w:r w:rsidR="00273675">
              <w:rPr>
                <w:rFonts w:ascii="Times New Roman" w:eastAsia="Times New Roman" w:hAnsi="Times New Roman" w:cs="Times New Roman"/>
                <w:color w:val="333333"/>
                <w:sz w:val="24"/>
                <w:szCs w:val="24"/>
              </w:rPr>
              <w:t xml:space="preserve">. </w:t>
            </w:r>
            <w:r w:rsidR="00EE130C">
              <w:rPr>
                <w:rFonts w:ascii="Times New Roman" w:eastAsia="Times New Roman" w:hAnsi="Times New Roman" w:cs="Times New Roman"/>
                <w:color w:val="333333"/>
                <w:sz w:val="24"/>
                <w:szCs w:val="24"/>
              </w:rPr>
              <w:t xml:space="preserve">The regulation specifically provides that </w:t>
            </w:r>
            <w:r w:rsidR="00EE130C" w:rsidRPr="00EE130C">
              <w:rPr>
                <w:rFonts w:ascii="Times New Roman" w:eastAsia="Times New Roman" w:hAnsi="Times New Roman" w:cs="Times New Roman"/>
                <w:color w:val="333333"/>
                <w:sz w:val="24"/>
                <w:szCs w:val="24"/>
              </w:rPr>
              <w:t>"Boards of trustees shall not exercise managerial powers over the day-to-day operations of the virtual school."</w:t>
            </w:r>
          </w:p>
          <w:p w14:paraId="24286158" w14:textId="77777777" w:rsidR="007004D0" w:rsidRDefault="007004D0" w:rsidP="000C5D5C">
            <w:pPr>
              <w:shd w:val="clear" w:color="auto" w:fill="FFFFFF"/>
              <w:spacing w:line="240" w:lineRule="auto"/>
              <w:rPr>
                <w:rFonts w:ascii="Times New Roman" w:eastAsia="Times New Roman" w:hAnsi="Times New Roman" w:cs="Times New Roman"/>
                <w:color w:val="333333"/>
                <w:sz w:val="24"/>
                <w:szCs w:val="24"/>
              </w:rPr>
            </w:pPr>
          </w:p>
          <w:p w14:paraId="44AE86B0" w14:textId="523E8D31" w:rsidR="00BA2E61" w:rsidRPr="003F3C58" w:rsidRDefault="00273675" w:rsidP="00273675">
            <w:pPr>
              <w:shd w:val="clear" w:color="auto" w:fill="FFFFFF"/>
              <w:spacing w:line="240" w:lineRule="auto"/>
              <w:rPr>
                <w:rFonts w:ascii="Times New Roman" w:hAnsi="Times New Roman" w:cs="Times New Roman"/>
                <w:sz w:val="24"/>
                <w:szCs w:val="24"/>
              </w:rPr>
            </w:pPr>
            <w:r>
              <w:rPr>
                <w:rFonts w:ascii="Times New Roman" w:eastAsia="Times New Roman" w:hAnsi="Times New Roman" w:cs="Times New Roman"/>
                <w:color w:val="333333"/>
                <w:sz w:val="24"/>
                <w:szCs w:val="24"/>
              </w:rPr>
              <w:t>Ac</w:t>
            </w:r>
            <w:r>
              <w:rPr>
                <w:rFonts w:ascii="Times New Roman" w:hAnsi="Times New Roman" w:cs="Times New Roman"/>
                <w:color w:val="333333"/>
                <w:sz w:val="24"/>
                <w:szCs w:val="24"/>
                <w:shd w:val="clear" w:color="auto" w:fill="FFFFFF"/>
              </w:rPr>
              <w:t>cordingly, no change is recommended.</w:t>
            </w:r>
          </w:p>
        </w:tc>
      </w:tr>
      <w:tr w:rsidR="00BA2E61" w:rsidRPr="003F3C58" w14:paraId="52026FD7" w14:textId="77777777" w:rsidTr="00675CAC">
        <w:tc>
          <w:tcPr>
            <w:tcW w:w="3325" w:type="dxa"/>
          </w:tcPr>
          <w:p w14:paraId="29412DAB" w14:textId="34A33B30" w:rsidR="00BA2E61" w:rsidRPr="003F3C58" w:rsidRDefault="005A28C7" w:rsidP="003F3C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7A84">
              <w:rPr>
                <w:rFonts w:ascii="Times New Roman" w:hAnsi="Times New Roman" w:cs="Times New Roman"/>
                <w:sz w:val="24"/>
                <w:szCs w:val="24"/>
              </w:rPr>
              <w:t>Ms. Melissa Quinn</w:t>
            </w:r>
          </w:p>
        </w:tc>
        <w:tc>
          <w:tcPr>
            <w:tcW w:w="5220" w:type="dxa"/>
          </w:tcPr>
          <w:p w14:paraId="05EE0CE6" w14:textId="5B708691" w:rsidR="0000748B" w:rsidRPr="003F2440" w:rsidRDefault="003F2440" w:rsidP="0000748B">
            <w:pPr>
              <w:rPr>
                <w:rFonts w:ascii="Times New Roman" w:hAnsi="Times New Roman" w:cs="Times New Roman"/>
                <w:sz w:val="24"/>
                <w:szCs w:val="24"/>
              </w:rPr>
            </w:pPr>
            <w:r w:rsidRPr="003F2440">
              <w:rPr>
                <w:rFonts w:ascii="Times New Roman" w:hAnsi="Times New Roman" w:cs="Times New Roman"/>
                <w:sz w:val="24"/>
                <w:szCs w:val="24"/>
              </w:rPr>
              <w:t>“</w:t>
            </w:r>
            <w:r w:rsidR="0000748B" w:rsidRPr="003F2440">
              <w:rPr>
                <w:rFonts w:ascii="Times New Roman" w:hAnsi="Times New Roman" w:cs="Times New Roman"/>
                <w:sz w:val="24"/>
                <w:szCs w:val="24"/>
              </w:rPr>
              <w:t>Concerns about classes taught in FL for MA students</w:t>
            </w:r>
            <w:r w:rsidR="004B7272">
              <w:rPr>
                <w:rFonts w:ascii="Times New Roman" w:hAnsi="Times New Roman" w:cs="Times New Roman"/>
                <w:sz w:val="24"/>
                <w:szCs w:val="24"/>
              </w:rPr>
              <w:t xml:space="preserve"> </w:t>
            </w:r>
            <w:r w:rsidR="00167C0A">
              <w:rPr>
                <w:rFonts w:ascii="Times New Roman" w:hAnsi="Times New Roman" w:cs="Times New Roman"/>
                <w:sz w:val="24"/>
                <w:szCs w:val="24"/>
              </w:rPr>
              <w:t>…</w:t>
            </w:r>
            <w:r w:rsidRPr="003F2440">
              <w:rPr>
                <w:rFonts w:ascii="Times New Roman" w:hAnsi="Times New Roman" w:cs="Times New Roman"/>
                <w:sz w:val="24"/>
                <w:szCs w:val="24"/>
              </w:rPr>
              <w:t>”</w:t>
            </w:r>
            <w:r w:rsidR="0000748B" w:rsidRPr="003F2440">
              <w:rPr>
                <w:rFonts w:ascii="Times New Roman" w:hAnsi="Times New Roman" w:cs="Times New Roman"/>
                <w:sz w:val="24"/>
                <w:szCs w:val="24"/>
              </w:rPr>
              <w:t xml:space="preserve"> </w:t>
            </w:r>
          </w:p>
          <w:p w14:paraId="4481BD28" w14:textId="161B4035" w:rsidR="00BA2E61" w:rsidRPr="003F3C58" w:rsidRDefault="00BA2E61" w:rsidP="00724890">
            <w:pPr>
              <w:rPr>
                <w:rFonts w:ascii="Times New Roman" w:hAnsi="Times New Roman" w:cs="Times New Roman"/>
                <w:sz w:val="24"/>
                <w:szCs w:val="24"/>
              </w:rPr>
            </w:pPr>
          </w:p>
        </w:tc>
        <w:tc>
          <w:tcPr>
            <w:tcW w:w="4405" w:type="dxa"/>
          </w:tcPr>
          <w:p w14:paraId="7742DC44" w14:textId="77777777" w:rsidR="00BA2E61" w:rsidRDefault="00ED4143" w:rsidP="005B2428">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regulations currently state, </w:t>
            </w:r>
            <w:r w:rsidR="00423782">
              <w:rPr>
                <w:rFonts w:ascii="Times New Roman" w:eastAsia="Times New Roman" w:hAnsi="Times New Roman" w:cs="Times New Roman"/>
                <w:color w:val="333333"/>
                <w:sz w:val="24"/>
                <w:szCs w:val="24"/>
              </w:rPr>
              <w:t xml:space="preserve">52.06 (5) </w:t>
            </w:r>
            <w:r w:rsidR="005B2428">
              <w:rPr>
                <w:rFonts w:ascii="Times New Roman" w:eastAsia="Times New Roman" w:hAnsi="Times New Roman" w:cs="Times New Roman"/>
                <w:color w:val="333333"/>
                <w:sz w:val="24"/>
                <w:szCs w:val="24"/>
              </w:rPr>
              <w:t>“</w:t>
            </w:r>
            <w:r w:rsidR="00F206A4" w:rsidRPr="009B58B0">
              <w:rPr>
                <w:rFonts w:ascii="Times New Roman" w:eastAsia="Times New Roman" w:hAnsi="Times New Roman" w:cs="Times New Roman"/>
                <w:color w:val="333333"/>
                <w:sz w:val="24"/>
                <w:szCs w:val="24"/>
              </w:rPr>
              <w:t>Teacher License. All teachers hired by Commonwealth of Massachusetts virtual schools must be licensed in Massachusetts in the areas in which they teach or teach under a waiver pursuant to M.G.L. c. 71, § 38G.</w:t>
            </w:r>
            <w:r w:rsidR="005B2428">
              <w:rPr>
                <w:rFonts w:ascii="Times New Roman" w:eastAsia="Times New Roman" w:hAnsi="Times New Roman" w:cs="Times New Roman"/>
                <w:color w:val="333333"/>
                <w:sz w:val="24"/>
                <w:szCs w:val="24"/>
              </w:rPr>
              <w:t>”</w:t>
            </w:r>
          </w:p>
          <w:p w14:paraId="03D28E35" w14:textId="77777777" w:rsidR="006D5941" w:rsidRDefault="006D5941" w:rsidP="005B2428">
            <w:pPr>
              <w:shd w:val="clear" w:color="auto" w:fill="FFFFFF"/>
              <w:spacing w:line="240" w:lineRule="auto"/>
              <w:rPr>
                <w:rFonts w:ascii="Times New Roman" w:hAnsi="Times New Roman" w:cs="Times New Roman"/>
                <w:sz w:val="24"/>
                <w:szCs w:val="24"/>
              </w:rPr>
            </w:pPr>
          </w:p>
          <w:p w14:paraId="40427EAC" w14:textId="4D9C6B99" w:rsidR="006D5941" w:rsidRPr="003F3C58" w:rsidRDefault="006D5941" w:rsidP="005B2428">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Accordingly, no change is recommended. </w:t>
            </w:r>
          </w:p>
        </w:tc>
      </w:tr>
    </w:tbl>
    <w:p w14:paraId="7D48BB1B" w14:textId="55CF4D96" w:rsidR="00BA2E61" w:rsidRPr="00BA2E61" w:rsidRDefault="00BA2E61" w:rsidP="00BA2E61">
      <w:pPr>
        <w:spacing w:before="120" w:after="0" w:line="240" w:lineRule="auto"/>
        <w:rPr>
          <w:rFonts w:ascii="Times New Roman" w:eastAsia="Times New Roman" w:hAnsi="Times New Roman" w:cs="Times New Roman"/>
          <w:b/>
          <w:sz w:val="24"/>
          <w:szCs w:val="24"/>
        </w:rPr>
      </w:pPr>
      <w:r w:rsidRPr="00BA2E61">
        <w:rPr>
          <w:rFonts w:ascii="Times New Roman" w:eastAsia="Times New Roman" w:hAnsi="Times New Roman" w:cs="Times New Roman"/>
          <w:b/>
          <w:sz w:val="24"/>
          <w:szCs w:val="24"/>
        </w:rPr>
        <w:t>Public Comment</w:t>
      </w:r>
      <w:r w:rsidR="00AE2DFD">
        <w:rPr>
          <w:rFonts w:ascii="Times New Roman" w:eastAsia="Times New Roman" w:hAnsi="Times New Roman" w:cs="Times New Roman"/>
          <w:b/>
          <w:sz w:val="24"/>
          <w:szCs w:val="24"/>
        </w:rPr>
        <w:t>or</w:t>
      </w:r>
      <w:r w:rsidR="00881005">
        <w:rPr>
          <w:rFonts w:ascii="Times New Roman" w:eastAsia="Times New Roman" w:hAnsi="Times New Roman" w:cs="Times New Roman"/>
          <w:b/>
          <w:sz w:val="24"/>
          <w:szCs w:val="24"/>
        </w:rPr>
        <w:t>s</w:t>
      </w:r>
    </w:p>
    <w:p w14:paraId="4B5976C5" w14:textId="6E879940" w:rsidR="00BA2E61" w:rsidRPr="007F3851" w:rsidRDefault="002B073E" w:rsidP="002B073E">
      <w:pPr>
        <w:pStyle w:val="ListParagraph"/>
        <w:numPr>
          <w:ilvl w:val="0"/>
          <w:numId w:val="1"/>
        </w:numPr>
        <w:suppressAutoHyphens/>
        <w:spacing w:after="0" w:line="240" w:lineRule="auto"/>
        <w:rPr>
          <w:rFonts w:ascii="Times New Roman" w:eastAsia="Times New Roman" w:hAnsi="Times New Roman" w:cs="Times New Roman"/>
          <w:b/>
          <w:sz w:val="28"/>
          <w:szCs w:val="28"/>
        </w:rPr>
      </w:pPr>
      <w:r w:rsidRPr="002B073E">
        <w:rPr>
          <w:rFonts w:ascii="Times New Roman" w:hAnsi="Times New Roman" w:cs="Times New Roman"/>
          <w:sz w:val="24"/>
          <w:szCs w:val="24"/>
        </w:rPr>
        <w:t xml:space="preserve">Dr. Salah E. Khelfaoui, Executive Director/Superintendent of </w:t>
      </w:r>
      <w:r>
        <w:rPr>
          <w:rFonts w:ascii="Times New Roman" w:hAnsi="Times New Roman" w:cs="Times New Roman"/>
          <w:sz w:val="24"/>
          <w:szCs w:val="24"/>
        </w:rPr>
        <w:t>GCVS</w:t>
      </w:r>
    </w:p>
    <w:p w14:paraId="29935DDF" w14:textId="630F202A" w:rsidR="00FB7FB2" w:rsidRPr="00BA2E61" w:rsidRDefault="00FB7FB2" w:rsidP="00814A1B">
      <w:pPr>
        <w:pStyle w:val="ListParagraph"/>
        <w:numPr>
          <w:ilvl w:val="0"/>
          <w:numId w:val="1"/>
        </w:numPr>
        <w:suppressAutoHyphens/>
        <w:spacing w:after="0" w:line="240" w:lineRule="auto"/>
        <w:rPr>
          <w:rFonts w:ascii="Times New Roman" w:eastAsia="Times New Roman" w:hAnsi="Times New Roman" w:cs="Times New Roman"/>
          <w:b/>
          <w:sz w:val="28"/>
          <w:szCs w:val="28"/>
        </w:rPr>
      </w:pPr>
      <w:r w:rsidRPr="007B1452">
        <w:rPr>
          <w:rFonts w:ascii="Times New Roman" w:hAnsi="Times New Roman" w:cs="Times New Roman"/>
          <w:sz w:val="24"/>
          <w:szCs w:val="24"/>
        </w:rPr>
        <w:t>Melissa Quinn</w:t>
      </w:r>
    </w:p>
    <w:sectPr w:rsidR="00FB7FB2" w:rsidRPr="00BA2E61" w:rsidSect="00352176">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C3004" w14:textId="77777777" w:rsidR="00C00F67" w:rsidRDefault="00C00F67" w:rsidP="00AB3162">
      <w:pPr>
        <w:spacing w:after="0" w:line="240" w:lineRule="auto"/>
      </w:pPr>
      <w:r>
        <w:separator/>
      </w:r>
    </w:p>
  </w:endnote>
  <w:endnote w:type="continuationSeparator" w:id="0">
    <w:p w14:paraId="60950881" w14:textId="77777777" w:rsidR="00C00F67" w:rsidRDefault="00C00F67" w:rsidP="00AB3162">
      <w:pPr>
        <w:spacing w:after="0" w:line="240" w:lineRule="auto"/>
      </w:pPr>
      <w:r>
        <w:continuationSeparator/>
      </w:r>
    </w:p>
  </w:endnote>
  <w:endnote w:type="continuationNotice" w:id="1">
    <w:p w14:paraId="11610003" w14:textId="77777777" w:rsidR="00C00F67" w:rsidRDefault="00C00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F40A2" w14:textId="77777777" w:rsidR="00AB3162" w:rsidRDefault="00AB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754341"/>
      <w:docPartObj>
        <w:docPartGallery w:val="Page Numbers (Bottom of Page)"/>
        <w:docPartUnique/>
      </w:docPartObj>
    </w:sdtPr>
    <w:sdtEndPr>
      <w:rPr>
        <w:noProof/>
      </w:rPr>
    </w:sdtEndPr>
    <w:sdtContent>
      <w:p w14:paraId="4F2F2DE6" w14:textId="4A3F6DD7" w:rsidR="00CD01EA" w:rsidRDefault="00CD01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8B14D" w14:textId="77777777" w:rsidR="00AB3162" w:rsidRDefault="00AB3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79D6" w14:textId="77777777" w:rsidR="00AB3162" w:rsidRDefault="00AB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B633" w14:textId="77777777" w:rsidR="00C00F67" w:rsidRDefault="00C00F67" w:rsidP="00AB3162">
      <w:pPr>
        <w:spacing w:after="0" w:line="240" w:lineRule="auto"/>
      </w:pPr>
      <w:r>
        <w:separator/>
      </w:r>
    </w:p>
  </w:footnote>
  <w:footnote w:type="continuationSeparator" w:id="0">
    <w:p w14:paraId="2B024FDA" w14:textId="77777777" w:rsidR="00C00F67" w:rsidRDefault="00C00F67" w:rsidP="00AB3162">
      <w:pPr>
        <w:spacing w:after="0" w:line="240" w:lineRule="auto"/>
      </w:pPr>
      <w:r>
        <w:continuationSeparator/>
      </w:r>
    </w:p>
  </w:footnote>
  <w:footnote w:type="continuationNotice" w:id="1">
    <w:p w14:paraId="25D1CA72" w14:textId="77777777" w:rsidR="00C00F67" w:rsidRDefault="00C00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107F" w14:textId="7A157D6C" w:rsidR="00AB3162" w:rsidRDefault="00AB3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6AE62" w14:textId="25798628" w:rsidR="00AB3162" w:rsidRDefault="00AB3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13AF" w14:textId="7FE11CA9" w:rsidR="00AB3162" w:rsidRDefault="00AB3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F2946"/>
    <w:multiLevelType w:val="hybridMultilevel"/>
    <w:tmpl w:val="68B0A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76"/>
    <w:rsid w:val="00001CCB"/>
    <w:rsid w:val="0000748B"/>
    <w:rsid w:val="00007A30"/>
    <w:rsid w:val="00020B34"/>
    <w:rsid w:val="00033547"/>
    <w:rsid w:val="00034DED"/>
    <w:rsid w:val="000511E6"/>
    <w:rsid w:val="00073265"/>
    <w:rsid w:val="00094DF2"/>
    <w:rsid w:val="000A630D"/>
    <w:rsid w:val="000C5D5C"/>
    <w:rsid w:val="000E4788"/>
    <w:rsid w:val="000F18DE"/>
    <w:rsid w:val="0012019E"/>
    <w:rsid w:val="00123378"/>
    <w:rsid w:val="00126020"/>
    <w:rsid w:val="00131A7B"/>
    <w:rsid w:val="00165614"/>
    <w:rsid w:val="00167C0A"/>
    <w:rsid w:val="00170E27"/>
    <w:rsid w:val="00174DE8"/>
    <w:rsid w:val="00197D53"/>
    <w:rsid w:val="001A3A09"/>
    <w:rsid w:val="001C390D"/>
    <w:rsid w:val="001C4CA4"/>
    <w:rsid w:val="001D3A41"/>
    <w:rsid w:val="001F144F"/>
    <w:rsid w:val="001F4830"/>
    <w:rsid w:val="00223D7B"/>
    <w:rsid w:val="00224F14"/>
    <w:rsid w:val="0023084A"/>
    <w:rsid w:val="00244B48"/>
    <w:rsid w:val="0024709A"/>
    <w:rsid w:val="00256B5D"/>
    <w:rsid w:val="00257A84"/>
    <w:rsid w:val="00273675"/>
    <w:rsid w:val="00282EB3"/>
    <w:rsid w:val="002867B4"/>
    <w:rsid w:val="00296EC0"/>
    <w:rsid w:val="002A6F26"/>
    <w:rsid w:val="002B073E"/>
    <w:rsid w:val="002C2A3D"/>
    <w:rsid w:val="002C2E92"/>
    <w:rsid w:val="002C6A91"/>
    <w:rsid w:val="002D509B"/>
    <w:rsid w:val="002E00CE"/>
    <w:rsid w:val="002E3BB0"/>
    <w:rsid w:val="002E7CFB"/>
    <w:rsid w:val="002F22D1"/>
    <w:rsid w:val="002F7849"/>
    <w:rsid w:val="00313E80"/>
    <w:rsid w:val="00317AE1"/>
    <w:rsid w:val="003226A3"/>
    <w:rsid w:val="00350C6A"/>
    <w:rsid w:val="00352176"/>
    <w:rsid w:val="00354456"/>
    <w:rsid w:val="00364D52"/>
    <w:rsid w:val="00391BC0"/>
    <w:rsid w:val="003A2CAD"/>
    <w:rsid w:val="003A4BCA"/>
    <w:rsid w:val="003B6D50"/>
    <w:rsid w:val="003C042C"/>
    <w:rsid w:val="003C09D3"/>
    <w:rsid w:val="003D30D3"/>
    <w:rsid w:val="003D5899"/>
    <w:rsid w:val="003E56F7"/>
    <w:rsid w:val="003F2440"/>
    <w:rsid w:val="003F3C58"/>
    <w:rsid w:val="0040421F"/>
    <w:rsid w:val="004148A6"/>
    <w:rsid w:val="00423782"/>
    <w:rsid w:val="0043325A"/>
    <w:rsid w:val="00440976"/>
    <w:rsid w:val="0044622F"/>
    <w:rsid w:val="004568E2"/>
    <w:rsid w:val="00464CAC"/>
    <w:rsid w:val="00471D54"/>
    <w:rsid w:val="00476226"/>
    <w:rsid w:val="00492259"/>
    <w:rsid w:val="00494449"/>
    <w:rsid w:val="00495A4E"/>
    <w:rsid w:val="004B116A"/>
    <w:rsid w:val="004B6709"/>
    <w:rsid w:val="004B7272"/>
    <w:rsid w:val="004D0C92"/>
    <w:rsid w:val="004D6666"/>
    <w:rsid w:val="004D7A5B"/>
    <w:rsid w:val="004E489B"/>
    <w:rsid w:val="004E7BEF"/>
    <w:rsid w:val="004F3D44"/>
    <w:rsid w:val="005020C3"/>
    <w:rsid w:val="005060C9"/>
    <w:rsid w:val="00506115"/>
    <w:rsid w:val="0054300C"/>
    <w:rsid w:val="0056288F"/>
    <w:rsid w:val="00567EE6"/>
    <w:rsid w:val="005868A0"/>
    <w:rsid w:val="00587E76"/>
    <w:rsid w:val="005969D9"/>
    <w:rsid w:val="005A28C7"/>
    <w:rsid w:val="005A6820"/>
    <w:rsid w:val="005B1FFE"/>
    <w:rsid w:val="005B2428"/>
    <w:rsid w:val="005D0016"/>
    <w:rsid w:val="005D2907"/>
    <w:rsid w:val="005D3C3A"/>
    <w:rsid w:val="00611C76"/>
    <w:rsid w:val="006155A0"/>
    <w:rsid w:val="006243BF"/>
    <w:rsid w:val="00624DB0"/>
    <w:rsid w:val="00645DF8"/>
    <w:rsid w:val="00675CAC"/>
    <w:rsid w:val="00683670"/>
    <w:rsid w:val="006A215E"/>
    <w:rsid w:val="006B497B"/>
    <w:rsid w:val="006B7A19"/>
    <w:rsid w:val="006C1575"/>
    <w:rsid w:val="006C39A9"/>
    <w:rsid w:val="006C72B9"/>
    <w:rsid w:val="006D2A17"/>
    <w:rsid w:val="006D5941"/>
    <w:rsid w:val="006F372C"/>
    <w:rsid w:val="006F71A0"/>
    <w:rsid w:val="007004D0"/>
    <w:rsid w:val="00702B99"/>
    <w:rsid w:val="00702CCC"/>
    <w:rsid w:val="007144BA"/>
    <w:rsid w:val="00724890"/>
    <w:rsid w:val="00726EAE"/>
    <w:rsid w:val="00735CFC"/>
    <w:rsid w:val="0074317C"/>
    <w:rsid w:val="0074334E"/>
    <w:rsid w:val="00743E75"/>
    <w:rsid w:val="007465DD"/>
    <w:rsid w:val="00767FA6"/>
    <w:rsid w:val="0079190B"/>
    <w:rsid w:val="007A3577"/>
    <w:rsid w:val="007A460B"/>
    <w:rsid w:val="007B1452"/>
    <w:rsid w:val="007B4AD8"/>
    <w:rsid w:val="007B7E3D"/>
    <w:rsid w:val="007C4857"/>
    <w:rsid w:val="007D6B9E"/>
    <w:rsid w:val="007F06D4"/>
    <w:rsid w:val="007F3851"/>
    <w:rsid w:val="007F4271"/>
    <w:rsid w:val="00800459"/>
    <w:rsid w:val="00821492"/>
    <w:rsid w:val="00821993"/>
    <w:rsid w:val="008376E5"/>
    <w:rsid w:val="00841ADF"/>
    <w:rsid w:val="00843FEC"/>
    <w:rsid w:val="0086284D"/>
    <w:rsid w:val="0086596B"/>
    <w:rsid w:val="00866C0F"/>
    <w:rsid w:val="00876FA6"/>
    <w:rsid w:val="00881005"/>
    <w:rsid w:val="00886749"/>
    <w:rsid w:val="00895262"/>
    <w:rsid w:val="008B27E4"/>
    <w:rsid w:val="008C28F5"/>
    <w:rsid w:val="008E1652"/>
    <w:rsid w:val="008F11E7"/>
    <w:rsid w:val="008F2445"/>
    <w:rsid w:val="008F5A5C"/>
    <w:rsid w:val="0090031E"/>
    <w:rsid w:val="00913CD7"/>
    <w:rsid w:val="00925F27"/>
    <w:rsid w:val="00941978"/>
    <w:rsid w:val="009455C7"/>
    <w:rsid w:val="009564B1"/>
    <w:rsid w:val="00963BD1"/>
    <w:rsid w:val="0097418C"/>
    <w:rsid w:val="00974C9D"/>
    <w:rsid w:val="00975C18"/>
    <w:rsid w:val="009772CE"/>
    <w:rsid w:val="00994338"/>
    <w:rsid w:val="00997970"/>
    <w:rsid w:val="009A4C95"/>
    <w:rsid w:val="009E694D"/>
    <w:rsid w:val="009F1F3D"/>
    <w:rsid w:val="009F351D"/>
    <w:rsid w:val="009F42D5"/>
    <w:rsid w:val="00A13819"/>
    <w:rsid w:val="00A249B5"/>
    <w:rsid w:val="00A34FB2"/>
    <w:rsid w:val="00A35485"/>
    <w:rsid w:val="00A42C7A"/>
    <w:rsid w:val="00A47590"/>
    <w:rsid w:val="00A57739"/>
    <w:rsid w:val="00A6012D"/>
    <w:rsid w:val="00A62AB0"/>
    <w:rsid w:val="00A73CA9"/>
    <w:rsid w:val="00AB3162"/>
    <w:rsid w:val="00AC2E02"/>
    <w:rsid w:val="00AD1A78"/>
    <w:rsid w:val="00AD5893"/>
    <w:rsid w:val="00AE2DFD"/>
    <w:rsid w:val="00B00146"/>
    <w:rsid w:val="00B02A81"/>
    <w:rsid w:val="00B05F3A"/>
    <w:rsid w:val="00B0784A"/>
    <w:rsid w:val="00B27000"/>
    <w:rsid w:val="00B450B4"/>
    <w:rsid w:val="00B47488"/>
    <w:rsid w:val="00B50251"/>
    <w:rsid w:val="00B97BCC"/>
    <w:rsid w:val="00BA2E61"/>
    <w:rsid w:val="00BA5D0C"/>
    <w:rsid w:val="00BB79B1"/>
    <w:rsid w:val="00BD022A"/>
    <w:rsid w:val="00BD0AA6"/>
    <w:rsid w:val="00BE0A14"/>
    <w:rsid w:val="00BE2A2E"/>
    <w:rsid w:val="00BE5036"/>
    <w:rsid w:val="00BF2EDE"/>
    <w:rsid w:val="00C008CD"/>
    <w:rsid w:val="00C00F67"/>
    <w:rsid w:val="00C601E7"/>
    <w:rsid w:val="00C66D2C"/>
    <w:rsid w:val="00C864D5"/>
    <w:rsid w:val="00CC07E5"/>
    <w:rsid w:val="00CC5943"/>
    <w:rsid w:val="00CD01EA"/>
    <w:rsid w:val="00CF17A5"/>
    <w:rsid w:val="00D33406"/>
    <w:rsid w:val="00D37793"/>
    <w:rsid w:val="00D64D88"/>
    <w:rsid w:val="00D81D9E"/>
    <w:rsid w:val="00DA2CCB"/>
    <w:rsid w:val="00DB09CA"/>
    <w:rsid w:val="00DB4BBC"/>
    <w:rsid w:val="00DB6A9D"/>
    <w:rsid w:val="00DC6687"/>
    <w:rsid w:val="00DE5490"/>
    <w:rsid w:val="00DF4DBF"/>
    <w:rsid w:val="00DF7B9F"/>
    <w:rsid w:val="00E02AEF"/>
    <w:rsid w:val="00E46740"/>
    <w:rsid w:val="00E53061"/>
    <w:rsid w:val="00E6402B"/>
    <w:rsid w:val="00E7254D"/>
    <w:rsid w:val="00E85AAD"/>
    <w:rsid w:val="00EA16DE"/>
    <w:rsid w:val="00EA1C33"/>
    <w:rsid w:val="00EA6BBB"/>
    <w:rsid w:val="00ED0B27"/>
    <w:rsid w:val="00ED4143"/>
    <w:rsid w:val="00ED67F2"/>
    <w:rsid w:val="00EE130C"/>
    <w:rsid w:val="00EE748A"/>
    <w:rsid w:val="00F11083"/>
    <w:rsid w:val="00F17752"/>
    <w:rsid w:val="00F206A4"/>
    <w:rsid w:val="00F30EEE"/>
    <w:rsid w:val="00F46A79"/>
    <w:rsid w:val="00F52C1A"/>
    <w:rsid w:val="00F66A70"/>
    <w:rsid w:val="00F716AA"/>
    <w:rsid w:val="00F75A2F"/>
    <w:rsid w:val="00F828F3"/>
    <w:rsid w:val="00F82A82"/>
    <w:rsid w:val="00F902A1"/>
    <w:rsid w:val="00FB7FB2"/>
    <w:rsid w:val="00FC1BAD"/>
    <w:rsid w:val="00FC663A"/>
    <w:rsid w:val="00FD2807"/>
    <w:rsid w:val="00FE1AAB"/>
    <w:rsid w:val="52EC0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9CFB1"/>
  <w15:chartTrackingRefBased/>
  <w15:docId w15:val="{B92DC2CB-F4C0-4060-AC17-F1C1871C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76"/>
    <w:pPr>
      <w:spacing w:line="256" w:lineRule="auto"/>
    </w:pPr>
  </w:style>
  <w:style w:type="paragraph" w:styleId="Heading3">
    <w:name w:val="heading 3"/>
    <w:basedOn w:val="Normal"/>
    <w:next w:val="Normal"/>
    <w:link w:val="Heading3Char"/>
    <w:uiPriority w:val="9"/>
    <w:semiHidden/>
    <w:unhideWhenUsed/>
    <w:qFormat/>
    <w:rsid w:val="00352176"/>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52176"/>
    <w:rPr>
      <w:rFonts w:ascii="Arial" w:eastAsia="Times New Roman" w:hAnsi="Arial" w:cs="Arial"/>
      <w:b/>
      <w:bCs/>
      <w:sz w:val="24"/>
      <w:szCs w:val="26"/>
    </w:rPr>
  </w:style>
  <w:style w:type="table" w:styleId="TableGrid">
    <w:name w:val="Table Grid"/>
    <w:basedOn w:val="TableNormal"/>
    <w:uiPriority w:val="39"/>
    <w:rsid w:val="00352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75C18"/>
    <w:rPr>
      <w:sz w:val="16"/>
      <w:szCs w:val="16"/>
    </w:rPr>
  </w:style>
  <w:style w:type="paragraph" w:styleId="CommentText">
    <w:name w:val="annotation text"/>
    <w:basedOn w:val="Normal"/>
    <w:link w:val="CommentTextChar"/>
    <w:uiPriority w:val="99"/>
    <w:unhideWhenUsed/>
    <w:rsid w:val="00975C18"/>
    <w:pPr>
      <w:spacing w:line="240" w:lineRule="auto"/>
    </w:pPr>
    <w:rPr>
      <w:sz w:val="20"/>
      <w:szCs w:val="20"/>
    </w:rPr>
  </w:style>
  <w:style w:type="character" w:customStyle="1" w:styleId="CommentTextChar">
    <w:name w:val="Comment Text Char"/>
    <w:basedOn w:val="DefaultParagraphFont"/>
    <w:link w:val="CommentText"/>
    <w:uiPriority w:val="99"/>
    <w:rsid w:val="00975C18"/>
    <w:rPr>
      <w:sz w:val="20"/>
      <w:szCs w:val="20"/>
    </w:rPr>
  </w:style>
  <w:style w:type="paragraph" w:styleId="CommentSubject">
    <w:name w:val="annotation subject"/>
    <w:basedOn w:val="CommentText"/>
    <w:next w:val="CommentText"/>
    <w:link w:val="CommentSubjectChar"/>
    <w:uiPriority w:val="99"/>
    <w:semiHidden/>
    <w:unhideWhenUsed/>
    <w:rsid w:val="00975C18"/>
    <w:rPr>
      <w:b/>
      <w:bCs/>
    </w:rPr>
  </w:style>
  <w:style w:type="character" w:customStyle="1" w:styleId="CommentSubjectChar">
    <w:name w:val="Comment Subject Char"/>
    <w:basedOn w:val="CommentTextChar"/>
    <w:link w:val="CommentSubject"/>
    <w:uiPriority w:val="99"/>
    <w:semiHidden/>
    <w:rsid w:val="00975C18"/>
    <w:rPr>
      <w:b/>
      <w:bCs/>
      <w:sz w:val="20"/>
      <w:szCs w:val="20"/>
    </w:rPr>
  </w:style>
  <w:style w:type="character" w:styleId="Emphasis">
    <w:name w:val="Emphasis"/>
    <w:basedOn w:val="DefaultParagraphFont"/>
    <w:uiPriority w:val="20"/>
    <w:qFormat/>
    <w:rsid w:val="00492259"/>
    <w:rPr>
      <w:i/>
      <w:iCs/>
    </w:rPr>
  </w:style>
  <w:style w:type="character" w:styleId="FootnoteReference">
    <w:name w:val="footnote reference"/>
    <w:basedOn w:val="DefaultParagraphFont"/>
    <w:semiHidden/>
    <w:unhideWhenUsed/>
    <w:rsid w:val="007F06D4"/>
  </w:style>
  <w:style w:type="paragraph" w:styleId="ListParagraph">
    <w:name w:val="List Paragraph"/>
    <w:basedOn w:val="Normal"/>
    <w:uiPriority w:val="34"/>
    <w:qFormat/>
    <w:rsid w:val="002B073E"/>
    <w:pPr>
      <w:ind w:left="720"/>
      <w:contextualSpacing/>
    </w:pPr>
  </w:style>
  <w:style w:type="paragraph" w:styleId="Header">
    <w:name w:val="header"/>
    <w:basedOn w:val="Normal"/>
    <w:link w:val="HeaderChar"/>
    <w:uiPriority w:val="99"/>
    <w:unhideWhenUsed/>
    <w:rsid w:val="00AB3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62"/>
  </w:style>
  <w:style w:type="paragraph" w:styleId="Footer">
    <w:name w:val="footer"/>
    <w:basedOn w:val="Normal"/>
    <w:link w:val="FooterChar"/>
    <w:uiPriority w:val="99"/>
    <w:unhideWhenUsed/>
    <w:rsid w:val="00AB3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62"/>
  </w:style>
  <w:style w:type="paragraph" w:styleId="Revision">
    <w:name w:val="Revision"/>
    <w:hidden/>
    <w:uiPriority w:val="99"/>
    <w:semiHidden/>
    <w:rsid w:val="003E56F7"/>
    <w:pPr>
      <w:spacing w:after="0" w:line="240" w:lineRule="auto"/>
    </w:pPr>
  </w:style>
  <w:style w:type="character" w:styleId="Hyperlink">
    <w:name w:val="Hyperlink"/>
    <w:basedOn w:val="DefaultParagraphFont"/>
    <w:uiPriority w:val="99"/>
    <w:semiHidden/>
    <w:unhideWhenUsed/>
    <w:rsid w:val="0000748B"/>
    <w:rPr>
      <w:color w:val="0563C1"/>
      <w:u w:val="single"/>
    </w:rPr>
  </w:style>
  <w:style w:type="paragraph" w:customStyle="1" w:styleId="pf0">
    <w:name w:val="pf0"/>
    <w:basedOn w:val="Normal"/>
    <w:rsid w:val="002E3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E3BB0"/>
    <w:rPr>
      <w:rFonts w:ascii="Segoe UI" w:hAnsi="Segoe UI" w:cs="Segoe UI" w:hint="default"/>
      <w:sz w:val="18"/>
      <w:szCs w:val="18"/>
    </w:rPr>
  </w:style>
  <w:style w:type="character" w:customStyle="1" w:styleId="cf11">
    <w:name w:val="cf11"/>
    <w:basedOn w:val="DefaultParagraphFont"/>
    <w:rsid w:val="002E3BB0"/>
    <w:rPr>
      <w:rFonts w:ascii="Segoe UI" w:hAnsi="Segoe UI" w:cs="Segoe UI" w:hint="default"/>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4704">
      <w:bodyDiv w:val="1"/>
      <w:marLeft w:val="0"/>
      <w:marRight w:val="0"/>
      <w:marTop w:val="0"/>
      <w:marBottom w:val="0"/>
      <w:divBdr>
        <w:top w:val="none" w:sz="0" w:space="0" w:color="auto"/>
        <w:left w:val="none" w:sz="0" w:space="0" w:color="auto"/>
        <w:bottom w:val="none" w:sz="0" w:space="0" w:color="auto"/>
        <w:right w:val="none" w:sz="0" w:space="0" w:color="auto"/>
      </w:divBdr>
    </w:div>
    <w:div w:id="1454516705">
      <w:bodyDiv w:val="1"/>
      <w:marLeft w:val="0"/>
      <w:marRight w:val="0"/>
      <w:marTop w:val="0"/>
      <w:marBottom w:val="0"/>
      <w:divBdr>
        <w:top w:val="none" w:sz="0" w:space="0" w:color="auto"/>
        <w:left w:val="none" w:sz="0" w:space="0" w:color="auto"/>
        <w:bottom w:val="none" w:sz="0" w:space="0" w:color="auto"/>
        <w:right w:val="none" w:sz="0" w:space="0" w:color="auto"/>
      </w:divBdr>
    </w:div>
    <w:div w:id="19169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BE6836-54CA-47E4-9D39-E82F11A3BC4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Valcourt, Kristin (DESE)</DisplayName>
        <AccountId>86</AccountId>
        <AccountType/>
      </UserInfo>
      <UserInfo>
        <DisplayName>Bagg, Alison (DESE)</DisplayName>
        <AccountId>122</AccountId>
        <AccountType/>
      </UserInfo>
      <UserInfo>
        <DisplayName>Hersh, Ruth (DESE)</DisplayName>
        <AccountId>110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3E3A7-92C0-4253-85A8-4271AD489888}">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2.xml><?xml version="1.0" encoding="utf-8"?>
<ds:datastoreItem xmlns:ds="http://schemas.openxmlformats.org/officeDocument/2006/customXml" ds:itemID="{60ECDC5A-22B1-4BCB-8FBB-808E8B4B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C6DE3-C5DC-40B8-9BF0-F781D4010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5 Attachment: Summary/Analysis of Public Comments and Department Responses</dc:title>
  <dc:subject/>
  <dc:creator>DESE</dc:creator>
  <cp:keywords/>
  <dc:description/>
  <cp:lastModifiedBy>Zou, Dong (EOE)</cp:lastModifiedBy>
  <cp:revision>9</cp:revision>
  <dcterms:created xsi:type="dcterms:W3CDTF">2023-05-11T22:03:00Z</dcterms:created>
  <dcterms:modified xsi:type="dcterms:W3CDTF">2023-05-17T15:55:00Z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