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1C05" w14:textId="1DF614FD" w:rsidR="00936813" w:rsidRDefault="00936813" w:rsidP="00936813">
      <w:pPr>
        <w:widowControl/>
        <w:rPr>
          <w:b/>
          <w:color w:val="000000"/>
          <w:szCs w:val="24"/>
        </w:rPr>
      </w:pPr>
      <w:r>
        <w:rPr>
          <w:b/>
          <w:color w:val="000000"/>
          <w:szCs w:val="24"/>
        </w:rPr>
        <w:t xml:space="preserve">Organization and Scope of the </w:t>
      </w:r>
      <w:r w:rsidR="00EF07CE">
        <w:rPr>
          <w:b/>
          <w:color w:val="000000"/>
          <w:szCs w:val="24"/>
        </w:rPr>
        <w:t xml:space="preserve">Draft </w:t>
      </w:r>
      <w:r w:rsidR="005C4900">
        <w:rPr>
          <w:b/>
          <w:color w:val="000000"/>
          <w:szCs w:val="24"/>
        </w:rPr>
        <w:t xml:space="preserve">Updated Comprehensive Health and Physical Education </w:t>
      </w:r>
      <w:r>
        <w:rPr>
          <w:b/>
          <w:color w:val="000000"/>
          <w:szCs w:val="24"/>
        </w:rPr>
        <w:t>Framework</w:t>
      </w:r>
      <w:r w:rsidR="00EF07CE">
        <w:rPr>
          <w:b/>
          <w:color w:val="000000"/>
          <w:szCs w:val="24"/>
        </w:rPr>
        <w:t xml:space="preserve"> – June 2023</w:t>
      </w:r>
    </w:p>
    <w:p w14:paraId="7B9FD5C3" w14:textId="0D1A81BA" w:rsidR="00936813" w:rsidRPr="000B59B5" w:rsidRDefault="00936813" w:rsidP="43AAB4B9">
      <w:pPr>
        <w:shd w:val="clear" w:color="auto" w:fill="FFFFFF" w:themeFill="background1"/>
        <w:spacing w:before="100" w:beforeAutospacing="1" w:after="100" w:afterAutospacing="1"/>
        <w:rPr>
          <w:color w:val="000000" w:themeColor="text1"/>
        </w:rPr>
      </w:pPr>
      <w:r w:rsidRPr="43AAB4B9">
        <w:rPr>
          <w:color w:val="000000" w:themeColor="text1"/>
        </w:rPr>
        <w:t xml:space="preserve">The standards, or learning goals, </w:t>
      </w:r>
      <w:r w:rsidR="004731D6" w:rsidRPr="43AAB4B9">
        <w:rPr>
          <w:color w:val="000000" w:themeColor="text1"/>
        </w:rPr>
        <w:t xml:space="preserve">included in the draft updated Comprehensive Health and Physical Education Framework (framework) </w:t>
      </w:r>
      <w:r w:rsidRPr="43AAB4B9">
        <w:rPr>
          <w:color w:val="000000" w:themeColor="text1"/>
        </w:rPr>
        <w:t>are intended to be achieved by the end of each grade span: Pre–K-2, grades 3–5, grades 6–8, and grades 9–12. Within each grade span, the standards are grouped by practice to reflect the importance of the skills students will acquire and use across the disciplines of health education</w:t>
      </w:r>
      <w:r w:rsidR="00B65560" w:rsidRPr="43AAB4B9">
        <w:rPr>
          <w:color w:val="000000" w:themeColor="text1"/>
        </w:rPr>
        <w:t xml:space="preserve"> and</w:t>
      </w:r>
      <w:r w:rsidRPr="43AAB4B9">
        <w:rPr>
          <w:color w:val="000000" w:themeColor="text1"/>
        </w:rPr>
        <w:t xml:space="preserve"> physical education, and in developing social emotional competencies. At each grade span, practices are paired with </w:t>
      </w:r>
      <w:r w:rsidR="000D5CC8" w:rsidRPr="43AAB4B9">
        <w:rPr>
          <w:color w:val="000000" w:themeColor="text1"/>
        </w:rPr>
        <w:t xml:space="preserve">one or more </w:t>
      </w:r>
      <w:r w:rsidRPr="43AAB4B9">
        <w:rPr>
          <w:color w:val="000000" w:themeColor="text1"/>
        </w:rPr>
        <w:t xml:space="preserve">topics that are meaningful to explore and develop with students. </w:t>
      </w:r>
      <w:r w:rsidR="00C1085C" w:rsidRPr="000B59B5">
        <w:rPr>
          <w:color w:val="000000" w:themeColor="text1"/>
        </w:rPr>
        <w:t xml:space="preserve">The standards presented in this </w:t>
      </w:r>
      <w:r w:rsidR="0074624D" w:rsidRPr="000B59B5">
        <w:rPr>
          <w:color w:val="000000" w:themeColor="text1"/>
        </w:rPr>
        <w:t>fr</w:t>
      </w:r>
      <w:r w:rsidR="00C1085C" w:rsidRPr="000B59B5">
        <w:rPr>
          <w:color w:val="000000" w:themeColor="text1"/>
        </w:rPr>
        <w:t xml:space="preserve">amework </w:t>
      </w:r>
      <w:r w:rsidR="000B59B5" w:rsidRPr="000B59B5">
        <w:rPr>
          <w:color w:val="000000" w:themeColor="text1"/>
        </w:rPr>
        <w:t>i</w:t>
      </w:r>
      <w:r w:rsidR="00C1085C" w:rsidRPr="000B59B5">
        <w:rPr>
          <w:color w:val="000000" w:themeColor="text1"/>
        </w:rPr>
        <w:t>dentify key practices and concepts that students broadly need to be healthy in school and in life. The</w:t>
      </w:r>
      <w:r w:rsidR="0074624D" w:rsidRPr="000B59B5">
        <w:rPr>
          <w:color w:val="000000" w:themeColor="text1"/>
        </w:rPr>
        <w:t xml:space="preserve">y </w:t>
      </w:r>
      <w:r w:rsidR="00C1085C" w:rsidRPr="000B59B5">
        <w:rPr>
          <w:color w:val="000000" w:themeColor="text1"/>
        </w:rPr>
        <w:t xml:space="preserve">do not provide all the details, particular skills, or knowledge that may be part of a curriculum. </w:t>
      </w:r>
      <w:r w:rsidR="000B59B5" w:rsidRPr="000B59B5">
        <w:rPr>
          <w:color w:val="000000" w:themeColor="text1"/>
        </w:rPr>
        <w:t>School districts have discretion to determine how the standards will be implemented at the local level.</w:t>
      </w:r>
    </w:p>
    <w:tbl>
      <w:tblPr>
        <w:tblStyle w:val="TableGrid"/>
        <w:tblW w:w="9540" w:type="dxa"/>
        <w:tblInd w:w="-5" w:type="dxa"/>
        <w:tblLook w:val="04A0" w:firstRow="1" w:lastRow="0" w:firstColumn="1" w:lastColumn="0" w:noHBand="0" w:noVBand="1"/>
      </w:tblPr>
      <w:tblGrid>
        <w:gridCol w:w="4680"/>
        <w:gridCol w:w="4860"/>
      </w:tblGrid>
      <w:tr w:rsidR="00936813" w:rsidRPr="00663DD2" w14:paraId="38AEB459" w14:textId="77777777" w:rsidTr="00712A05">
        <w:tc>
          <w:tcPr>
            <w:tcW w:w="9540" w:type="dxa"/>
            <w:gridSpan w:val="2"/>
            <w:shd w:val="clear" w:color="auto" w:fill="B4C6E7" w:themeFill="accent1" w:themeFillTint="66"/>
          </w:tcPr>
          <w:p w14:paraId="3DD893E6" w14:textId="77777777" w:rsidR="00936813" w:rsidRPr="00663DD2" w:rsidRDefault="00936813" w:rsidP="00712A05">
            <w:pPr>
              <w:jc w:val="center"/>
              <w:rPr>
                <w:b/>
                <w:bCs/>
                <w:color w:val="000000"/>
              </w:rPr>
            </w:pPr>
            <w:r>
              <w:rPr>
                <w:rFonts w:ascii="Georgia" w:hAnsi="Georgia"/>
                <w:b/>
                <w:bCs/>
                <w:color w:val="44546A" w:themeColor="text2"/>
                <w:sz w:val="28"/>
                <w:szCs w:val="28"/>
              </w:rPr>
              <w:t>Comprehensive Health and Physical Education Practices</w:t>
            </w:r>
          </w:p>
        </w:tc>
      </w:tr>
      <w:tr w:rsidR="00936813" w14:paraId="1EA68F15" w14:textId="77777777" w:rsidTr="00712A05">
        <w:tc>
          <w:tcPr>
            <w:tcW w:w="9540" w:type="dxa"/>
            <w:gridSpan w:val="2"/>
          </w:tcPr>
          <w:p w14:paraId="21499359" w14:textId="77777777" w:rsidR="00936813" w:rsidRPr="00BE7B45" w:rsidRDefault="00936813" w:rsidP="000B59B5">
            <w:pPr>
              <w:spacing w:after="120"/>
              <w:rPr>
                <w:color w:val="000000"/>
                <w:sz w:val="22"/>
                <w:szCs w:val="22"/>
              </w:rPr>
            </w:pPr>
            <w:r w:rsidRPr="00BE7B45">
              <w:rPr>
                <w:rFonts w:ascii="Georgia" w:hAnsi="Georgia"/>
                <w:b/>
                <w:bCs/>
                <w:color w:val="4472C4" w:themeColor="accent1"/>
                <w:sz w:val="22"/>
                <w:szCs w:val="22"/>
              </w:rPr>
              <w:t>Decision-making and Problem-solving.</w:t>
            </w:r>
            <w:r w:rsidRPr="00BE7B45">
              <w:rPr>
                <w:rFonts w:ascii="Georgia" w:hAnsi="Georgia"/>
                <w:b/>
                <w:bCs/>
                <w:sz w:val="22"/>
                <w:szCs w:val="22"/>
              </w:rPr>
              <w:t xml:space="preserve"> </w:t>
            </w:r>
            <w:r w:rsidRPr="00BE7B45">
              <w:rPr>
                <w:rFonts w:ascii="Georgia" w:hAnsi="Georgia"/>
                <w:sz w:val="22"/>
                <w:szCs w:val="22"/>
              </w:rPr>
              <w:t>Make health-promoting, informed, responsible decisions and solve problems in a variety of health-related situations.</w:t>
            </w:r>
          </w:p>
        </w:tc>
      </w:tr>
      <w:tr w:rsidR="00936813" w14:paraId="045C0E3C" w14:textId="77777777" w:rsidTr="00712A05">
        <w:tc>
          <w:tcPr>
            <w:tcW w:w="9540" w:type="dxa"/>
            <w:gridSpan w:val="2"/>
          </w:tcPr>
          <w:p w14:paraId="76CBD29F" w14:textId="77777777" w:rsidR="00936813" w:rsidRPr="00BE7B45" w:rsidRDefault="00936813" w:rsidP="000B59B5">
            <w:pPr>
              <w:spacing w:after="120"/>
              <w:rPr>
                <w:color w:val="000000"/>
                <w:sz w:val="22"/>
                <w:szCs w:val="22"/>
              </w:rPr>
            </w:pPr>
            <w:r w:rsidRPr="00BE7B45">
              <w:rPr>
                <w:rFonts w:ascii="Georgia" w:hAnsi="Georgia"/>
                <w:b/>
                <w:bCs/>
                <w:color w:val="4472C4" w:themeColor="accent1"/>
                <w:sz w:val="22"/>
                <w:szCs w:val="22"/>
              </w:rPr>
              <w:t xml:space="preserve">Self-management and Goal Setting. </w:t>
            </w:r>
            <w:r w:rsidRPr="00BE7B45">
              <w:rPr>
                <w:rFonts w:ascii="Georgia" w:hAnsi="Georgia"/>
                <w:sz w:val="22"/>
                <w:szCs w:val="22"/>
              </w:rPr>
              <w:t>Set goals, engage in health-promoting behaviors, and avoid risky behaviors.</w:t>
            </w:r>
          </w:p>
        </w:tc>
      </w:tr>
      <w:tr w:rsidR="00936813" w14:paraId="7CD071A3" w14:textId="77777777" w:rsidTr="00712A05">
        <w:trPr>
          <w:trHeight w:val="611"/>
        </w:trPr>
        <w:tc>
          <w:tcPr>
            <w:tcW w:w="9540" w:type="dxa"/>
            <w:gridSpan w:val="2"/>
          </w:tcPr>
          <w:p w14:paraId="5A9AB9A2" w14:textId="77777777" w:rsidR="00936813" w:rsidRPr="00BE7B45" w:rsidRDefault="00936813" w:rsidP="000B59B5">
            <w:pPr>
              <w:spacing w:after="120"/>
              <w:rPr>
                <w:rFonts w:ascii="Georgia" w:hAnsi="Georgia"/>
                <w:b/>
                <w:bCs/>
                <w:color w:val="4472C4" w:themeColor="accent1"/>
                <w:sz w:val="22"/>
                <w:szCs w:val="22"/>
              </w:rPr>
            </w:pPr>
            <w:r w:rsidRPr="00BE7B45">
              <w:rPr>
                <w:rFonts w:ascii="Georgia" w:hAnsi="Georgia"/>
                <w:b/>
                <w:bCs/>
                <w:color w:val="4472C4" w:themeColor="accent1"/>
                <w:sz w:val="22"/>
                <w:szCs w:val="22"/>
              </w:rPr>
              <w:t xml:space="preserve">Social Awareness, Relationship, and Communication Skills. </w:t>
            </w:r>
            <w:r w:rsidRPr="00BE7B45">
              <w:rPr>
                <w:rFonts w:ascii="Georgia" w:hAnsi="Georgia"/>
                <w:sz w:val="22"/>
                <w:szCs w:val="22"/>
              </w:rPr>
              <w:t>Enhance relationships, personal health, and the health of others through social awareness and effective communication.</w:t>
            </w:r>
          </w:p>
        </w:tc>
      </w:tr>
      <w:tr w:rsidR="00936813" w14:paraId="3552CB24" w14:textId="77777777" w:rsidTr="00712A05">
        <w:tc>
          <w:tcPr>
            <w:tcW w:w="9540" w:type="dxa"/>
            <w:gridSpan w:val="2"/>
          </w:tcPr>
          <w:p w14:paraId="63A468BB" w14:textId="77777777" w:rsidR="00936813" w:rsidRPr="00BE7B45" w:rsidRDefault="00936813" w:rsidP="000B59B5">
            <w:pPr>
              <w:spacing w:after="120"/>
              <w:rPr>
                <w:rFonts w:ascii="Georgia" w:hAnsi="Georgia"/>
                <w:b/>
                <w:bCs/>
                <w:color w:val="4472C4" w:themeColor="accent1"/>
                <w:sz w:val="22"/>
                <w:szCs w:val="22"/>
              </w:rPr>
            </w:pPr>
            <w:r w:rsidRPr="00BE7B45">
              <w:rPr>
                <w:rFonts w:ascii="Georgia" w:hAnsi="Georgia"/>
                <w:b/>
                <w:bCs/>
                <w:color w:val="4472C4" w:themeColor="accent1"/>
                <w:sz w:val="22"/>
                <w:szCs w:val="22"/>
              </w:rPr>
              <w:t xml:space="preserve">Movement Skills. </w:t>
            </w:r>
            <w:r w:rsidRPr="00BE7B45">
              <w:rPr>
                <w:rFonts w:ascii="Georgia" w:hAnsi="Georgia"/>
                <w:sz w:val="22"/>
                <w:szCs w:val="22"/>
              </w:rPr>
              <w:t xml:space="preserve">Demonstrate competence in, and knowledge of, a variety of movement concepts, principles, motor skills, and physical fitness components </w:t>
            </w:r>
            <w:proofErr w:type="gramStart"/>
            <w:r w:rsidRPr="00BE7B45">
              <w:rPr>
                <w:rFonts w:ascii="Georgia" w:hAnsi="Georgia"/>
                <w:sz w:val="22"/>
                <w:szCs w:val="22"/>
              </w:rPr>
              <w:t>in order to</w:t>
            </w:r>
            <w:proofErr w:type="gramEnd"/>
            <w:r w:rsidRPr="00BE7B45">
              <w:rPr>
                <w:rFonts w:ascii="Georgia" w:hAnsi="Georgia"/>
                <w:sz w:val="22"/>
                <w:szCs w:val="22"/>
              </w:rPr>
              <w:t xml:space="preserve"> engage in purposeful and health-promoting physical activity, including sports and games.</w:t>
            </w:r>
          </w:p>
        </w:tc>
      </w:tr>
      <w:tr w:rsidR="00936813" w14:paraId="1624B1BB" w14:textId="77777777" w:rsidTr="00712A05">
        <w:tc>
          <w:tcPr>
            <w:tcW w:w="9540" w:type="dxa"/>
            <w:gridSpan w:val="2"/>
          </w:tcPr>
          <w:p w14:paraId="4447EB8F" w14:textId="77777777" w:rsidR="00936813" w:rsidRPr="00BE7B45" w:rsidRDefault="00936813" w:rsidP="000B59B5">
            <w:pPr>
              <w:spacing w:after="120"/>
              <w:rPr>
                <w:color w:val="000000"/>
                <w:sz w:val="22"/>
                <w:szCs w:val="22"/>
              </w:rPr>
            </w:pPr>
            <w:r w:rsidRPr="00BE7B45">
              <w:rPr>
                <w:rFonts w:ascii="Georgia" w:hAnsi="Georgia"/>
                <w:b/>
                <w:bCs/>
                <w:color w:val="4472C4" w:themeColor="accent1"/>
                <w:sz w:val="22"/>
                <w:szCs w:val="22"/>
              </w:rPr>
              <w:t xml:space="preserve">Self-awareness and Analyzing Influences. </w:t>
            </w:r>
            <w:r w:rsidRPr="00BE7B45">
              <w:rPr>
                <w:rFonts w:ascii="Georgia" w:hAnsi="Georgia"/>
                <w:sz w:val="22"/>
                <w:szCs w:val="22"/>
              </w:rPr>
              <w:t>Examine how emotions, thoughts, needs, values, beliefs, and other factors (both internal and external) influence behaviors and articulate how these influences impact health behavior and outcomes.</w:t>
            </w:r>
          </w:p>
        </w:tc>
      </w:tr>
      <w:tr w:rsidR="00936813" w14:paraId="0E9D0784" w14:textId="77777777" w:rsidTr="00712A05">
        <w:tc>
          <w:tcPr>
            <w:tcW w:w="9540" w:type="dxa"/>
            <w:gridSpan w:val="2"/>
          </w:tcPr>
          <w:p w14:paraId="18C3122D" w14:textId="77777777" w:rsidR="00936813" w:rsidRPr="00BE7B45" w:rsidRDefault="00936813" w:rsidP="000B59B5">
            <w:pPr>
              <w:spacing w:after="120"/>
              <w:rPr>
                <w:color w:val="000000"/>
                <w:sz w:val="22"/>
                <w:szCs w:val="22"/>
              </w:rPr>
            </w:pPr>
            <w:r w:rsidRPr="00BE7B45">
              <w:rPr>
                <w:rFonts w:ascii="Georgia" w:hAnsi="Georgia"/>
                <w:b/>
                <w:bCs/>
                <w:color w:val="4472C4" w:themeColor="accent1"/>
                <w:sz w:val="22"/>
                <w:szCs w:val="22"/>
              </w:rPr>
              <w:t xml:space="preserve">Information and Resource Seeking. </w:t>
            </w:r>
            <w:r w:rsidRPr="00BE7B45">
              <w:rPr>
                <w:rFonts w:ascii="Georgia" w:hAnsi="Georgia"/>
                <w:sz w:val="22"/>
                <w:szCs w:val="22"/>
              </w:rPr>
              <w:t>Access, evaluate, and use valid and reliable health information, products, services, and related resources.</w:t>
            </w:r>
          </w:p>
        </w:tc>
      </w:tr>
      <w:tr w:rsidR="00936813" w14:paraId="6956937C" w14:textId="77777777" w:rsidTr="000B59B5">
        <w:trPr>
          <w:trHeight w:val="611"/>
        </w:trPr>
        <w:tc>
          <w:tcPr>
            <w:tcW w:w="9540" w:type="dxa"/>
            <w:gridSpan w:val="2"/>
          </w:tcPr>
          <w:p w14:paraId="39360B26" w14:textId="77777777" w:rsidR="00936813" w:rsidRPr="00BE7B45" w:rsidRDefault="00936813" w:rsidP="000B59B5">
            <w:pPr>
              <w:spacing w:after="120"/>
              <w:rPr>
                <w:rFonts w:ascii="Georgia" w:hAnsi="Georgia"/>
                <w:b/>
                <w:bCs/>
                <w:color w:val="4472C4" w:themeColor="accent1"/>
                <w:sz w:val="22"/>
                <w:szCs w:val="22"/>
              </w:rPr>
            </w:pPr>
            <w:r w:rsidRPr="00BE7B45">
              <w:rPr>
                <w:rFonts w:ascii="Georgia" w:hAnsi="Georgia"/>
                <w:b/>
                <w:bCs/>
                <w:color w:val="4472C4" w:themeColor="accent1"/>
                <w:sz w:val="22"/>
                <w:szCs w:val="22"/>
              </w:rPr>
              <w:t xml:space="preserve">Self-Advocacy and Health Promotion. </w:t>
            </w:r>
            <w:r w:rsidRPr="00BE7B45">
              <w:rPr>
                <w:rFonts w:ascii="Georgia" w:hAnsi="Georgia"/>
                <w:sz w:val="22"/>
                <w:szCs w:val="22"/>
              </w:rPr>
              <w:t>Promote personal, family, and community health and well-being.</w:t>
            </w:r>
          </w:p>
        </w:tc>
      </w:tr>
      <w:tr w:rsidR="00936813" w:rsidRPr="00663DD2" w14:paraId="085AD0C1" w14:textId="77777777" w:rsidTr="00712A05">
        <w:tc>
          <w:tcPr>
            <w:tcW w:w="9540" w:type="dxa"/>
            <w:gridSpan w:val="2"/>
            <w:shd w:val="clear" w:color="auto" w:fill="B4C6E7" w:themeFill="accent1" w:themeFillTint="66"/>
          </w:tcPr>
          <w:p w14:paraId="3964DE5B" w14:textId="77CF19B0" w:rsidR="00936813" w:rsidRDefault="00936813" w:rsidP="00712A05">
            <w:pPr>
              <w:jc w:val="center"/>
              <w:rPr>
                <w:rFonts w:ascii="Georgia" w:hAnsi="Georgia"/>
                <w:b/>
                <w:bCs/>
                <w:color w:val="44546A" w:themeColor="text2"/>
                <w:szCs w:val="28"/>
              </w:rPr>
            </w:pPr>
            <w:r>
              <w:rPr>
                <w:rFonts w:ascii="Georgia" w:hAnsi="Georgia"/>
                <w:b/>
                <w:bCs/>
                <w:color w:val="44546A" w:themeColor="text2"/>
                <w:sz w:val="28"/>
                <w:szCs w:val="28"/>
              </w:rPr>
              <w:t>Topics</w:t>
            </w:r>
            <w:r w:rsidR="00712A05">
              <w:rPr>
                <w:rFonts w:ascii="Georgia" w:hAnsi="Georgia"/>
                <w:b/>
                <w:bCs/>
                <w:color w:val="44546A" w:themeColor="text2"/>
                <w:sz w:val="28"/>
                <w:szCs w:val="28"/>
              </w:rPr>
              <w:t>*</w:t>
            </w:r>
            <w:r>
              <w:rPr>
                <w:rFonts w:ascii="Georgia" w:hAnsi="Georgia"/>
                <w:b/>
                <w:bCs/>
                <w:color w:val="44546A" w:themeColor="text2"/>
                <w:sz w:val="28"/>
                <w:szCs w:val="28"/>
              </w:rPr>
              <w:t xml:space="preserve"> </w:t>
            </w:r>
          </w:p>
          <w:p w14:paraId="6DB30885" w14:textId="3B56C760" w:rsidR="00936813" w:rsidRPr="00663DD2" w:rsidRDefault="00936813" w:rsidP="00712A05">
            <w:pPr>
              <w:jc w:val="center"/>
              <w:rPr>
                <w:b/>
                <w:bCs/>
                <w:color w:val="000000"/>
              </w:rPr>
            </w:pPr>
            <w:r>
              <w:rPr>
                <w:rFonts w:ascii="Calibri" w:hAnsi="Calibri" w:cs="Calibri"/>
                <w:color w:val="000000"/>
              </w:rPr>
              <w:t>(Wi</w:t>
            </w:r>
            <w:r w:rsidRPr="006D7E9C">
              <w:rPr>
                <w:rFonts w:ascii="Calibri" w:hAnsi="Calibri" w:cs="Calibri"/>
                <w:color w:val="000000"/>
              </w:rPr>
              <w:t>thin each practice, the standards are grouped by the following topics</w:t>
            </w:r>
            <w:r>
              <w:rPr>
                <w:rFonts w:ascii="Calibri" w:hAnsi="Calibri" w:cs="Calibri"/>
                <w:color w:val="000000"/>
              </w:rPr>
              <w:t>.)</w:t>
            </w:r>
          </w:p>
        </w:tc>
      </w:tr>
      <w:tr w:rsidR="00936813" w14:paraId="61C3085D" w14:textId="77777777" w:rsidTr="00712A05">
        <w:tc>
          <w:tcPr>
            <w:tcW w:w="4680" w:type="dxa"/>
          </w:tcPr>
          <w:p w14:paraId="1F072819" w14:textId="0B2B6FD1" w:rsidR="00936813" w:rsidRPr="0007252F" w:rsidRDefault="00936813" w:rsidP="00712A05">
            <w:pPr>
              <w:jc w:val="center"/>
              <w:rPr>
                <w:color w:val="000000"/>
              </w:rPr>
            </w:pPr>
            <w:r w:rsidRPr="006D7E9C">
              <w:rPr>
                <w:rFonts w:ascii="Calibri" w:hAnsi="Calibri" w:cs="Calibri"/>
                <w:color w:val="000000"/>
              </w:rPr>
              <w:t xml:space="preserve">Gender, Sexual </w:t>
            </w:r>
            <w:r>
              <w:rPr>
                <w:rFonts w:ascii="Calibri" w:hAnsi="Calibri" w:cs="Calibri"/>
                <w:color w:val="000000"/>
              </w:rPr>
              <w:t>Orientation</w:t>
            </w:r>
            <w:r w:rsidRPr="006D7E9C">
              <w:rPr>
                <w:rFonts w:ascii="Calibri" w:hAnsi="Calibri" w:cs="Calibri"/>
                <w:color w:val="000000"/>
              </w:rPr>
              <w:t xml:space="preserve">, </w:t>
            </w:r>
            <w:r w:rsidR="006B667D">
              <w:rPr>
                <w:rFonts w:ascii="Calibri" w:hAnsi="Calibri" w:cs="Calibri"/>
                <w:color w:val="000000"/>
              </w:rPr>
              <w:t>and</w:t>
            </w:r>
            <w:r w:rsidRPr="006D7E9C">
              <w:rPr>
                <w:rFonts w:ascii="Calibri" w:hAnsi="Calibri" w:cs="Calibri"/>
                <w:color w:val="000000"/>
              </w:rPr>
              <w:t xml:space="preserve"> Sexual Health</w:t>
            </w:r>
          </w:p>
        </w:tc>
        <w:tc>
          <w:tcPr>
            <w:tcW w:w="4860" w:type="dxa"/>
          </w:tcPr>
          <w:p w14:paraId="709A1275" w14:textId="0EE3AD63" w:rsidR="00936813" w:rsidRPr="0007252F" w:rsidRDefault="000019FE" w:rsidP="00712A05">
            <w:pPr>
              <w:jc w:val="center"/>
              <w:rPr>
                <w:color w:val="000000"/>
              </w:rPr>
            </w:pPr>
            <w:r>
              <w:rPr>
                <w:rFonts w:ascii="Calibri" w:hAnsi="Calibri" w:cs="Calibri"/>
              </w:rPr>
              <w:t>Physical Activity and Fitness</w:t>
            </w:r>
          </w:p>
        </w:tc>
      </w:tr>
      <w:tr w:rsidR="00936813" w14:paraId="33EC2F0C" w14:textId="77777777" w:rsidTr="00712A05">
        <w:tc>
          <w:tcPr>
            <w:tcW w:w="4680" w:type="dxa"/>
          </w:tcPr>
          <w:p w14:paraId="1224CD5A" w14:textId="77777777" w:rsidR="00936813" w:rsidRPr="0007252F" w:rsidRDefault="00936813" w:rsidP="00712A05">
            <w:pPr>
              <w:jc w:val="center"/>
              <w:rPr>
                <w:color w:val="000000"/>
              </w:rPr>
            </w:pPr>
            <w:r w:rsidRPr="006D7E9C">
              <w:rPr>
                <w:rFonts w:ascii="Calibri" w:hAnsi="Calibri" w:cs="Calibri"/>
                <w:color w:val="000000"/>
              </w:rPr>
              <w:t>Healthy Relationships</w:t>
            </w:r>
          </w:p>
        </w:tc>
        <w:tc>
          <w:tcPr>
            <w:tcW w:w="4860" w:type="dxa"/>
          </w:tcPr>
          <w:p w14:paraId="28E6A8F3" w14:textId="23F0434A" w:rsidR="00936813" w:rsidRPr="0007252F" w:rsidRDefault="000019FE" w:rsidP="00712A05">
            <w:pPr>
              <w:jc w:val="center"/>
              <w:rPr>
                <w:color w:val="000000"/>
              </w:rPr>
            </w:pPr>
            <w:r>
              <w:rPr>
                <w:rFonts w:ascii="Calibri" w:hAnsi="Calibri" w:cs="Calibri"/>
                <w:color w:val="000000"/>
              </w:rPr>
              <w:t>Physical</w:t>
            </w:r>
            <w:r w:rsidRPr="006D7E9C">
              <w:rPr>
                <w:rFonts w:ascii="Calibri" w:hAnsi="Calibri" w:cs="Calibri"/>
                <w:color w:val="000000"/>
              </w:rPr>
              <w:t xml:space="preserve"> Health</w:t>
            </w:r>
            <w:r>
              <w:rPr>
                <w:rFonts w:ascii="Calibri" w:hAnsi="Calibri" w:cs="Calibri"/>
                <w:color w:val="000000"/>
              </w:rPr>
              <w:t xml:space="preserve"> and Hygiene</w:t>
            </w:r>
          </w:p>
        </w:tc>
      </w:tr>
      <w:tr w:rsidR="00936813" w14:paraId="1A529984" w14:textId="77777777" w:rsidTr="00712A05">
        <w:tc>
          <w:tcPr>
            <w:tcW w:w="4680" w:type="dxa"/>
          </w:tcPr>
          <w:p w14:paraId="06D59EC1" w14:textId="77777777" w:rsidR="00936813" w:rsidRPr="0007252F" w:rsidRDefault="00936813" w:rsidP="00712A05">
            <w:pPr>
              <w:jc w:val="center"/>
              <w:rPr>
                <w:color w:val="000000"/>
              </w:rPr>
            </w:pPr>
            <w:r w:rsidRPr="006D7E9C">
              <w:rPr>
                <w:rFonts w:ascii="Calibri" w:hAnsi="Calibri" w:cs="Calibri"/>
                <w:color w:val="000000"/>
              </w:rPr>
              <w:t>Mental and Emotional Health</w:t>
            </w:r>
          </w:p>
        </w:tc>
        <w:tc>
          <w:tcPr>
            <w:tcW w:w="4860" w:type="dxa"/>
          </w:tcPr>
          <w:p w14:paraId="4C37F8DA" w14:textId="117A20AF" w:rsidR="00936813" w:rsidRPr="0007252F" w:rsidRDefault="00712A05" w:rsidP="00712A05">
            <w:pPr>
              <w:jc w:val="center"/>
              <w:rPr>
                <w:color w:val="000000"/>
              </w:rPr>
            </w:pPr>
            <w:r w:rsidRPr="006D7E9C">
              <w:rPr>
                <w:rFonts w:ascii="Calibri" w:hAnsi="Calibri" w:cs="Calibri"/>
                <w:color w:val="000000"/>
              </w:rPr>
              <w:t>Public, Community</w:t>
            </w:r>
            <w:r>
              <w:rPr>
                <w:rFonts w:ascii="Calibri" w:hAnsi="Calibri" w:cs="Calibri"/>
                <w:color w:val="000000"/>
              </w:rPr>
              <w:t>,</w:t>
            </w:r>
            <w:r w:rsidRPr="006D7E9C">
              <w:rPr>
                <w:rFonts w:ascii="Calibri" w:hAnsi="Calibri" w:cs="Calibri"/>
                <w:color w:val="000000"/>
              </w:rPr>
              <w:t xml:space="preserve"> </w:t>
            </w:r>
            <w:r>
              <w:rPr>
                <w:rFonts w:ascii="Calibri" w:hAnsi="Calibri" w:cs="Calibri"/>
                <w:color w:val="000000"/>
              </w:rPr>
              <w:t>and</w:t>
            </w:r>
            <w:r w:rsidRPr="006D7E9C">
              <w:rPr>
                <w:rFonts w:ascii="Calibri" w:hAnsi="Calibri" w:cs="Calibri"/>
                <w:color w:val="000000"/>
              </w:rPr>
              <w:t xml:space="preserve"> Environmental Health </w:t>
            </w:r>
          </w:p>
        </w:tc>
      </w:tr>
      <w:tr w:rsidR="00936813" w14:paraId="23E19B66" w14:textId="77777777" w:rsidTr="00712A05">
        <w:tc>
          <w:tcPr>
            <w:tcW w:w="4680" w:type="dxa"/>
          </w:tcPr>
          <w:p w14:paraId="6DD81A04" w14:textId="77777777" w:rsidR="00936813" w:rsidRPr="0007252F" w:rsidRDefault="00936813" w:rsidP="00712A05">
            <w:pPr>
              <w:jc w:val="center"/>
              <w:rPr>
                <w:color w:val="000000"/>
              </w:rPr>
            </w:pPr>
            <w:r w:rsidRPr="006D7E9C">
              <w:rPr>
                <w:rFonts w:ascii="Calibri" w:hAnsi="Calibri" w:cs="Calibri"/>
                <w:color w:val="000000"/>
              </w:rPr>
              <w:t>Nutrition and Balanced Eating</w:t>
            </w:r>
          </w:p>
        </w:tc>
        <w:tc>
          <w:tcPr>
            <w:tcW w:w="4860" w:type="dxa"/>
          </w:tcPr>
          <w:p w14:paraId="166B0D15" w14:textId="15448290" w:rsidR="00936813" w:rsidRPr="0007252F" w:rsidRDefault="00712A05" w:rsidP="00712A05">
            <w:pPr>
              <w:jc w:val="center"/>
              <w:rPr>
                <w:color w:val="000000"/>
              </w:rPr>
            </w:pPr>
            <w:r w:rsidRPr="006D7E9C">
              <w:rPr>
                <w:rFonts w:ascii="Calibri" w:hAnsi="Calibri" w:cs="Calibri"/>
                <w:color w:val="000000"/>
              </w:rPr>
              <w:t>Substance Use and Misuse</w:t>
            </w:r>
          </w:p>
        </w:tc>
      </w:tr>
      <w:tr w:rsidR="00936813" w14:paraId="0CF20746" w14:textId="77777777" w:rsidTr="00712A05">
        <w:tc>
          <w:tcPr>
            <w:tcW w:w="4680" w:type="dxa"/>
          </w:tcPr>
          <w:p w14:paraId="21135772" w14:textId="1CC36418" w:rsidR="00936813" w:rsidRPr="0007252F" w:rsidRDefault="000019FE" w:rsidP="00712A05">
            <w:pPr>
              <w:jc w:val="center"/>
              <w:rPr>
                <w:color w:val="000000"/>
              </w:rPr>
            </w:pPr>
            <w:r w:rsidRPr="006D7E9C">
              <w:rPr>
                <w:rFonts w:ascii="Calibri" w:hAnsi="Calibri" w:cs="Calibri"/>
                <w:color w:val="000000"/>
              </w:rPr>
              <w:t>Personal Safety</w:t>
            </w:r>
          </w:p>
        </w:tc>
        <w:tc>
          <w:tcPr>
            <w:tcW w:w="4860" w:type="dxa"/>
          </w:tcPr>
          <w:p w14:paraId="7E0E7D83" w14:textId="77777777" w:rsidR="00936813" w:rsidRPr="0007252F" w:rsidRDefault="00936813" w:rsidP="00712A05">
            <w:pPr>
              <w:jc w:val="center"/>
              <w:rPr>
                <w:color w:val="000000"/>
              </w:rPr>
            </w:pPr>
          </w:p>
        </w:tc>
      </w:tr>
    </w:tbl>
    <w:p w14:paraId="0425E936" w14:textId="77777777" w:rsidR="00712A05" w:rsidRPr="00712A05" w:rsidRDefault="00712A05" w:rsidP="00712A05">
      <w:pPr>
        <w:spacing w:after="120"/>
        <w:rPr>
          <w:rFonts w:ascii="Georgia" w:hAnsi="Georgia"/>
          <w:sz w:val="22"/>
          <w:szCs w:val="22"/>
        </w:rPr>
      </w:pPr>
      <w:r w:rsidRPr="00712A05">
        <w:rPr>
          <w:rFonts w:ascii="Georgia" w:hAnsi="Georgia"/>
          <w:sz w:val="22"/>
          <w:szCs w:val="22"/>
        </w:rPr>
        <w:t>*Topics are listed in alphabetical order, no implied sequencing or prioritization</w:t>
      </w:r>
    </w:p>
    <w:p w14:paraId="21E9BC5D" w14:textId="3E1C6D07" w:rsidR="0012266D" w:rsidRDefault="0012266D"/>
    <w:sectPr w:rsidR="0012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13"/>
    <w:rsid w:val="000019FE"/>
    <w:rsid w:val="000448A7"/>
    <w:rsid w:val="000B59B5"/>
    <w:rsid w:val="000C17C2"/>
    <w:rsid w:val="000D5CC8"/>
    <w:rsid w:val="0012266D"/>
    <w:rsid w:val="0021713A"/>
    <w:rsid w:val="002254DD"/>
    <w:rsid w:val="002428CF"/>
    <w:rsid w:val="002828B1"/>
    <w:rsid w:val="004731D6"/>
    <w:rsid w:val="005C4900"/>
    <w:rsid w:val="006B667D"/>
    <w:rsid w:val="00712A05"/>
    <w:rsid w:val="0074624D"/>
    <w:rsid w:val="007D58C7"/>
    <w:rsid w:val="008F713A"/>
    <w:rsid w:val="00936813"/>
    <w:rsid w:val="00A47795"/>
    <w:rsid w:val="00A90B25"/>
    <w:rsid w:val="00B42F5C"/>
    <w:rsid w:val="00B65560"/>
    <w:rsid w:val="00BA6659"/>
    <w:rsid w:val="00C1085C"/>
    <w:rsid w:val="00C34EC8"/>
    <w:rsid w:val="00C52C59"/>
    <w:rsid w:val="00C71803"/>
    <w:rsid w:val="00C92C1E"/>
    <w:rsid w:val="00D6129C"/>
    <w:rsid w:val="00EF07CE"/>
    <w:rsid w:val="00FF4EB4"/>
    <w:rsid w:val="1CED1002"/>
    <w:rsid w:val="32CA67E2"/>
    <w:rsid w:val="43AAB4B9"/>
    <w:rsid w:val="47F6C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FDDE"/>
  <w15:chartTrackingRefBased/>
  <w15:docId w15:val="{36388DCA-29D9-47F9-8522-BF3987AE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13"/>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81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6813"/>
    <w:rPr>
      <w:sz w:val="16"/>
      <w:szCs w:val="16"/>
    </w:rPr>
  </w:style>
  <w:style w:type="paragraph" w:styleId="CommentText">
    <w:name w:val="annotation text"/>
    <w:basedOn w:val="Normal"/>
    <w:link w:val="CommentTextChar"/>
    <w:uiPriority w:val="99"/>
    <w:unhideWhenUsed/>
    <w:rsid w:val="00936813"/>
    <w:rPr>
      <w:sz w:val="20"/>
    </w:rPr>
  </w:style>
  <w:style w:type="character" w:customStyle="1" w:styleId="CommentTextChar">
    <w:name w:val="Comment Text Char"/>
    <w:basedOn w:val="DefaultParagraphFont"/>
    <w:link w:val="CommentText"/>
    <w:uiPriority w:val="99"/>
    <w:rsid w:val="0093681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6129C"/>
    <w:rPr>
      <w:b/>
      <w:bCs/>
    </w:rPr>
  </w:style>
  <w:style w:type="character" w:customStyle="1" w:styleId="CommentSubjectChar">
    <w:name w:val="Comment Subject Char"/>
    <w:basedOn w:val="CommentTextChar"/>
    <w:link w:val="CommentSubject"/>
    <w:uiPriority w:val="99"/>
    <w:semiHidden/>
    <w:rsid w:val="00D6129C"/>
    <w:rPr>
      <w:rFonts w:ascii="Times New Roman" w:eastAsia="Times New Roman" w:hAnsi="Times New Roman" w:cs="Times New Roman"/>
      <w:b/>
      <w:bCs/>
      <w:snapToGrid w:val="0"/>
      <w:sz w:val="20"/>
      <w:szCs w:val="20"/>
    </w:rPr>
  </w:style>
  <w:style w:type="character" w:styleId="UnresolvedMention">
    <w:name w:val="Unresolved Mention"/>
    <w:basedOn w:val="DefaultParagraphFont"/>
    <w:uiPriority w:val="99"/>
    <w:unhideWhenUsed/>
    <w:rsid w:val="00C1085C"/>
    <w:rPr>
      <w:color w:val="605E5C"/>
      <w:shd w:val="clear" w:color="auto" w:fill="E1DFDD"/>
    </w:rPr>
  </w:style>
  <w:style w:type="character" w:styleId="Mention">
    <w:name w:val="Mention"/>
    <w:basedOn w:val="DefaultParagraphFont"/>
    <w:uiPriority w:val="99"/>
    <w:unhideWhenUsed/>
    <w:rsid w:val="00C108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777DF-A0D2-4F3E-B281-D5277EF5867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0128f6a2-0fe6-40ac-973e-bb0bf351512f"/>
    <ds:schemaRef ds:uri="7a12eb2f-f040-4639-9fb2-5a6588dc8035"/>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FC4A2A5-862E-4773-A3AD-BC16533D8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803A1-9059-4A6A-ADB6-6024CF9AF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BESE June 2023 Regular Meeting Item 1 Attachment:Organization and Scope of the Draft Updated Comprehensive Health and Physical Education Framework</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Regular Meeting Item 1 Attachment: Organization and Scope of the Draft Updated Comprehensive Health and Physical Education Framework</dc:title>
  <dc:subject/>
  <dc:creator>DESE</dc:creator>
  <cp:keywords/>
  <dc:description/>
  <cp:lastModifiedBy>Giovanni, Danielle (EOE)</cp:lastModifiedBy>
  <cp:revision>3</cp:revision>
  <dcterms:created xsi:type="dcterms:W3CDTF">2023-06-21T11:32:00Z</dcterms:created>
  <dcterms:modified xsi:type="dcterms:W3CDTF">2023-06-21T11:57:00Z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0x010100FC0EA0BB4E6A684694772750B001C800</vt:lpwstr>
  </property>
  <property fmtid="{D5CDD505-2E9C-101B-9397-08002B2CF9AE}" pid="3" name="MediaServiceImageTags">
    <vt:lpwstr/>
  </property>
  <property fmtid="{D5CDD505-2E9C-101B-9397-08002B2CF9AE}" pid="4" name="metadate">
    <vt:lpwstr>Jun 21 2023</vt:lpwstr>
  </property>
</Properties>
</file>