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F15B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4"/>
        <w:gridCol w:w="8166"/>
      </w:tblGrid>
      <w:tr w:rsidR="0059178C" w14:paraId="70787408" w14:textId="77777777" w:rsidTr="700DD22E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700DD22E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19A1257A" w:rsidR="003D4BE8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700DD22E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477E9B82" w:rsidR="000E5E95" w:rsidRDefault="00BE71E2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Nov. </w:t>
            </w:r>
            <w:r w:rsidRPr="003D4BE8">
              <w:t>1</w:t>
            </w:r>
            <w:r w:rsidR="0030721A" w:rsidRPr="003D4BE8">
              <w:t>4</w:t>
            </w:r>
            <w:r w:rsidRPr="003D4BE8">
              <w:t>,</w:t>
            </w:r>
            <w:r>
              <w:t xml:space="preserve"> 20</w:t>
            </w:r>
            <w:r w:rsidR="00475256">
              <w:t>23</w:t>
            </w:r>
          </w:p>
        </w:tc>
      </w:tr>
      <w:tr w:rsidR="000E5E95" w14:paraId="5D0D4861" w14:textId="77777777" w:rsidTr="700DD22E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3A3C77B8" w:rsidR="000E5E95" w:rsidRPr="007A22FF" w:rsidRDefault="002E5B69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Education-to-Career Research and Data Hub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1FA174EB" w14:textId="73E378EF" w:rsidR="0039533A" w:rsidRPr="00AC7076" w:rsidRDefault="00D371C3">
      <w:pPr>
        <w:rPr>
          <w:szCs w:val="24"/>
        </w:rPr>
      </w:pPr>
      <w:r w:rsidRPr="00AC7076">
        <w:rPr>
          <w:szCs w:val="24"/>
        </w:rPr>
        <w:t xml:space="preserve">At the November </w:t>
      </w:r>
      <w:r w:rsidR="00F91DB6" w:rsidRPr="00AC7076">
        <w:rPr>
          <w:szCs w:val="24"/>
        </w:rPr>
        <w:t xml:space="preserve">21, </w:t>
      </w:r>
      <w:r w:rsidRPr="00AC7076">
        <w:rPr>
          <w:szCs w:val="24"/>
        </w:rPr>
        <w:t>2023 meeting of the Board of Elementary and Secondary Education (Board), I will update the Board on</w:t>
      </w:r>
      <w:r w:rsidR="006D59C0" w:rsidRPr="00AC7076">
        <w:rPr>
          <w:szCs w:val="24"/>
        </w:rPr>
        <w:t xml:space="preserve"> </w:t>
      </w:r>
      <w:r w:rsidR="00177FDF" w:rsidRPr="00AC7076">
        <w:rPr>
          <w:szCs w:val="24"/>
        </w:rPr>
        <w:t xml:space="preserve">the </w:t>
      </w:r>
      <w:r w:rsidR="006D59C0" w:rsidRPr="00AC7076">
        <w:rPr>
          <w:szCs w:val="24"/>
        </w:rPr>
        <w:t xml:space="preserve">work </w:t>
      </w:r>
      <w:r w:rsidR="00177FDF" w:rsidRPr="00AC7076">
        <w:rPr>
          <w:szCs w:val="24"/>
        </w:rPr>
        <w:t xml:space="preserve">of the Department of Elementary and Secondary Education (DESE) </w:t>
      </w:r>
      <w:r w:rsidR="006D59C0" w:rsidRPr="00AC7076">
        <w:rPr>
          <w:szCs w:val="24"/>
        </w:rPr>
        <w:t xml:space="preserve">to build on our existing longitudinal data system to strengthen evidence-based policy making </w:t>
      </w:r>
      <w:r w:rsidR="00A4474A" w:rsidRPr="00AC7076">
        <w:rPr>
          <w:szCs w:val="24"/>
        </w:rPr>
        <w:t xml:space="preserve">through the launch of the </w:t>
      </w:r>
      <w:hyperlink r:id="rId12" w:history="1">
        <w:r w:rsidR="00A4474A" w:rsidRPr="00AC7076">
          <w:rPr>
            <w:rStyle w:val="Hyperlink"/>
            <w:szCs w:val="24"/>
          </w:rPr>
          <w:t>Education-to-Career Research and Data Hub</w:t>
        </w:r>
      </w:hyperlink>
      <w:r w:rsidR="00A4474A" w:rsidRPr="00AC7076">
        <w:rPr>
          <w:szCs w:val="24"/>
        </w:rPr>
        <w:t xml:space="preserve"> (E2C Hub). </w:t>
      </w:r>
    </w:p>
    <w:p w14:paraId="471DABD4" w14:textId="5855BEFA" w:rsidR="006D59C0" w:rsidRPr="00AC7076" w:rsidRDefault="006D59C0">
      <w:pPr>
        <w:rPr>
          <w:szCs w:val="24"/>
        </w:rPr>
      </w:pPr>
    </w:p>
    <w:p w14:paraId="3F170B56" w14:textId="6B8E265A" w:rsidR="006D59C0" w:rsidRPr="00AC7076" w:rsidRDefault="006D59C0" w:rsidP="003A1907">
      <w:pPr>
        <w:rPr>
          <w:szCs w:val="24"/>
        </w:rPr>
      </w:pPr>
      <w:r w:rsidRPr="00AC7076">
        <w:rPr>
          <w:szCs w:val="24"/>
        </w:rPr>
        <w:t>Since 2011, DESE has received three rounds of federal funding from the State Longitudinal Data Systems grant program (SLDS) to build a longitudinal data system that enables us to report on student trajectories through their time in K-12 education, into higher education and the workforce. Past grant rounds have supported the creation of</w:t>
      </w:r>
      <w:r w:rsidR="00C04535" w:rsidRPr="00AC7076">
        <w:rPr>
          <w:szCs w:val="24"/>
        </w:rPr>
        <w:t xml:space="preserve"> our </w:t>
      </w:r>
      <w:r w:rsidR="008D6854" w:rsidRPr="00AC7076">
        <w:rPr>
          <w:szCs w:val="24"/>
        </w:rPr>
        <w:t>secure dat</w:t>
      </w:r>
      <w:r w:rsidR="273FE78B" w:rsidRPr="00AC7076">
        <w:rPr>
          <w:szCs w:val="24"/>
        </w:rPr>
        <w:t>a</w:t>
      </w:r>
      <w:r w:rsidR="008D6854" w:rsidRPr="00AC7076">
        <w:rPr>
          <w:szCs w:val="24"/>
        </w:rPr>
        <w:t xml:space="preserve"> warehouse and reporting system (</w:t>
      </w:r>
      <w:hyperlink r:id="rId13">
        <w:r w:rsidRPr="00AC7076">
          <w:rPr>
            <w:rStyle w:val="Hyperlink"/>
            <w:szCs w:val="24"/>
          </w:rPr>
          <w:t>Edwin</w:t>
        </w:r>
      </w:hyperlink>
      <w:r w:rsidR="008D6854" w:rsidRPr="00AC7076">
        <w:rPr>
          <w:szCs w:val="24"/>
        </w:rPr>
        <w:t xml:space="preserve">) and </w:t>
      </w:r>
      <w:r w:rsidR="00183AB0" w:rsidRPr="00AC7076">
        <w:rPr>
          <w:szCs w:val="24"/>
        </w:rPr>
        <w:t xml:space="preserve">a collection of public reports </w:t>
      </w:r>
      <w:r w:rsidR="003A1907" w:rsidRPr="00AC7076">
        <w:rPr>
          <w:szCs w:val="24"/>
        </w:rPr>
        <w:t>on the long-term outcomes of our students (e.g.</w:t>
      </w:r>
      <w:r w:rsidR="006B1442" w:rsidRPr="00AC7076">
        <w:rPr>
          <w:szCs w:val="24"/>
        </w:rPr>
        <w:t>,</w:t>
      </w:r>
      <w:r w:rsidR="003A1907" w:rsidRPr="00AC7076">
        <w:rPr>
          <w:szCs w:val="24"/>
        </w:rPr>
        <w:t xml:space="preserve"> </w:t>
      </w:r>
      <w:hyperlink r:id="rId14">
        <w:r w:rsidRPr="00AC7076">
          <w:rPr>
            <w:rStyle w:val="Hyperlink"/>
            <w:szCs w:val="24"/>
          </w:rPr>
          <w:t>DART</w:t>
        </w:r>
      </w:hyperlink>
      <w:r w:rsidRPr="00AC7076">
        <w:rPr>
          <w:szCs w:val="24"/>
        </w:rPr>
        <w:t xml:space="preserve"> Success After High School report</w:t>
      </w:r>
      <w:r w:rsidR="003A1907" w:rsidRPr="00AC7076">
        <w:rPr>
          <w:szCs w:val="24"/>
        </w:rPr>
        <w:t>, the</w:t>
      </w:r>
      <w:r w:rsidRPr="00AC7076">
        <w:rPr>
          <w:szCs w:val="24"/>
        </w:rPr>
        <w:t xml:space="preserve"> </w:t>
      </w:r>
      <w:hyperlink r:id="rId15">
        <w:r w:rsidRPr="00AC7076">
          <w:rPr>
            <w:rStyle w:val="Hyperlink"/>
            <w:szCs w:val="24"/>
          </w:rPr>
          <w:t>workforce outcomes dashboard</w:t>
        </w:r>
      </w:hyperlink>
      <w:r w:rsidR="003A1907" w:rsidRPr="00AC7076">
        <w:rPr>
          <w:szCs w:val="24"/>
        </w:rPr>
        <w:t>).</w:t>
      </w:r>
    </w:p>
    <w:p w14:paraId="30BDAEBC" w14:textId="77777777" w:rsidR="006D59C0" w:rsidRPr="00AC7076" w:rsidRDefault="006D59C0" w:rsidP="006D59C0">
      <w:pPr>
        <w:rPr>
          <w:szCs w:val="24"/>
        </w:rPr>
      </w:pPr>
    </w:p>
    <w:p w14:paraId="1FFFA634" w14:textId="1C264ABA" w:rsidR="006D59C0" w:rsidRPr="00AC7076" w:rsidRDefault="006D59C0" w:rsidP="006D59C0">
      <w:pPr>
        <w:rPr>
          <w:szCs w:val="24"/>
        </w:rPr>
      </w:pPr>
      <w:r w:rsidRPr="00AC7076">
        <w:rPr>
          <w:szCs w:val="24"/>
        </w:rPr>
        <w:t xml:space="preserve">Past SLDS grants have also </w:t>
      </w:r>
      <w:r w:rsidR="007653D6" w:rsidRPr="00AC7076">
        <w:rPr>
          <w:szCs w:val="24"/>
        </w:rPr>
        <w:t xml:space="preserve">supported </w:t>
      </w:r>
      <w:r w:rsidRPr="00AC7076">
        <w:rPr>
          <w:szCs w:val="24"/>
        </w:rPr>
        <w:t xml:space="preserve">the data sharing agreements between DESE and </w:t>
      </w:r>
      <w:r w:rsidR="00DC1F96" w:rsidRPr="00AC7076">
        <w:rPr>
          <w:szCs w:val="24"/>
        </w:rPr>
        <w:t>the Department of Higher Education</w:t>
      </w:r>
      <w:r w:rsidRPr="00AC7076">
        <w:rPr>
          <w:szCs w:val="24"/>
        </w:rPr>
        <w:t>, and between DESE and the Department of Unemployment Assistance</w:t>
      </w:r>
      <w:r w:rsidR="00DC1F96" w:rsidRPr="00AC7076">
        <w:rPr>
          <w:szCs w:val="24"/>
        </w:rPr>
        <w:t>,</w:t>
      </w:r>
      <w:r w:rsidRPr="00AC7076">
        <w:rPr>
          <w:szCs w:val="24"/>
        </w:rPr>
        <w:t xml:space="preserve"> to make possible the linking of DESE data to college and career outcomes. These longitudinal datasets have been used for important policy-focused research, such as the work by John Papay </w:t>
      </w:r>
      <w:r w:rsidR="00D75ABA" w:rsidRPr="00AC7076">
        <w:rPr>
          <w:szCs w:val="24"/>
        </w:rPr>
        <w:t>(</w:t>
      </w:r>
      <w:r w:rsidR="00E35B14" w:rsidRPr="00AC7076">
        <w:rPr>
          <w:szCs w:val="24"/>
        </w:rPr>
        <w:t>A</w:t>
      </w:r>
      <w:r w:rsidR="00D75ABA" w:rsidRPr="00AC7076">
        <w:rPr>
          <w:szCs w:val="24"/>
        </w:rPr>
        <w:t xml:space="preserve">ssociate </w:t>
      </w:r>
      <w:r w:rsidR="00E35B14" w:rsidRPr="00AC7076">
        <w:rPr>
          <w:szCs w:val="24"/>
        </w:rPr>
        <w:t>P</w:t>
      </w:r>
      <w:r w:rsidR="00D75ABA" w:rsidRPr="00AC7076">
        <w:rPr>
          <w:szCs w:val="24"/>
        </w:rPr>
        <w:t xml:space="preserve">rofessor of </w:t>
      </w:r>
      <w:r w:rsidR="00E35B14" w:rsidRPr="00AC7076">
        <w:rPr>
          <w:szCs w:val="24"/>
        </w:rPr>
        <w:t>E</w:t>
      </w:r>
      <w:r w:rsidR="00D75ABA" w:rsidRPr="00AC7076">
        <w:rPr>
          <w:szCs w:val="24"/>
        </w:rPr>
        <w:t xml:space="preserve">ducation and </w:t>
      </w:r>
      <w:r w:rsidR="00E35B14" w:rsidRPr="00AC7076">
        <w:rPr>
          <w:szCs w:val="24"/>
        </w:rPr>
        <w:t>E</w:t>
      </w:r>
      <w:r w:rsidR="00D75ABA" w:rsidRPr="00AC7076">
        <w:rPr>
          <w:szCs w:val="24"/>
        </w:rPr>
        <w:t xml:space="preserve">conomics at Brown University and Annenberg </w:t>
      </w:r>
      <w:r w:rsidR="007E6983" w:rsidRPr="00AC7076">
        <w:rPr>
          <w:szCs w:val="24"/>
        </w:rPr>
        <w:t xml:space="preserve">Institute </w:t>
      </w:r>
      <w:r w:rsidR="00372DCF" w:rsidRPr="00AC7076">
        <w:rPr>
          <w:szCs w:val="24"/>
        </w:rPr>
        <w:t>D</w:t>
      </w:r>
      <w:r w:rsidR="007E6983" w:rsidRPr="00AC7076">
        <w:rPr>
          <w:szCs w:val="24"/>
        </w:rPr>
        <w:t xml:space="preserve">irector) </w:t>
      </w:r>
      <w:r w:rsidRPr="00AC7076">
        <w:rPr>
          <w:szCs w:val="24"/>
        </w:rPr>
        <w:t>and team on post-secondary outcomes.</w:t>
      </w:r>
    </w:p>
    <w:p w14:paraId="4E3522F1" w14:textId="77777777" w:rsidR="007E6983" w:rsidRPr="00AC7076" w:rsidRDefault="007E6983" w:rsidP="003A1907">
      <w:pPr>
        <w:rPr>
          <w:szCs w:val="24"/>
        </w:rPr>
      </w:pPr>
    </w:p>
    <w:p w14:paraId="525D95F0" w14:textId="1BD84F8E" w:rsidR="002E5B69" w:rsidRPr="00AC7076" w:rsidRDefault="000404F4" w:rsidP="003A1907">
      <w:pPr>
        <w:rPr>
          <w:szCs w:val="24"/>
        </w:rPr>
      </w:pPr>
      <w:r w:rsidRPr="00AC7076">
        <w:rPr>
          <w:szCs w:val="24"/>
        </w:rPr>
        <w:t>T</w:t>
      </w:r>
      <w:r w:rsidR="002E5B69" w:rsidRPr="00AC7076">
        <w:rPr>
          <w:szCs w:val="24"/>
        </w:rPr>
        <w:t xml:space="preserve">he E2C Hub </w:t>
      </w:r>
      <w:r w:rsidRPr="00AC7076">
        <w:rPr>
          <w:szCs w:val="24"/>
        </w:rPr>
        <w:t xml:space="preserve">recently </w:t>
      </w:r>
      <w:r w:rsidR="002E5B69" w:rsidRPr="00AC7076">
        <w:rPr>
          <w:szCs w:val="24"/>
        </w:rPr>
        <w:t>launched a website with the aim of improving access to data for a wide range of stakeholder groups: policymakers, educators, researchers</w:t>
      </w:r>
      <w:r w:rsidR="00E35B14" w:rsidRPr="00AC7076">
        <w:rPr>
          <w:szCs w:val="24"/>
        </w:rPr>
        <w:t>,</w:t>
      </w:r>
      <w:r w:rsidR="002E5B69" w:rsidRPr="00AC7076">
        <w:rPr>
          <w:szCs w:val="24"/>
        </w:rPr>
        <w:t xml:space="preserve"> and students and families. The new website already includes over a dozen datasets from across the three agencies and makes some key longitudinal datasets (wage outcomes) available for download for the first time. </w:t>
      </w:r>
    </w:p>
    <w:p w14:paraId="720F6EB9" w14:textId="5517A525" w:rsidR="000755D1" w:rsidRPr="00AC7076" w:rsidRDefault="000755D1" w:rsidP="003A1907">
      <w:pPr>
        <w:rPr>
          <w:szCs w:val="24"/>
        </w:rPr>
      </w:pPr>
    </w:p>
    <w:p w14:paraId="39599FEE" w14:textId="594F0425" w:rsidR="002E5B69" w:rsidRPr="00AC7076" w:rsidRDefault="000755D1" w:rsidP="0017544D">
      <w:pPr>
        <w:rPr>
          <w:szCs w:val="24"/>
        </w:rPr>
      </w:pPr>
      <w:r w:rsidRPr="00AC7076">
        <w:rPr>
          <w:szCs w:val="24"/>
        </w:rPr>
        <w:t xml:space="preserve">At the </w:t>
      </w:r>
      <w:r w:rsidR="00E35B14" w:rsidRPr="00AC7076">
        <w:rPr>
          <w:szCs w:val="24"/>
        </w:rPr>
        <w:t>B</w:t>
      </w:r>
      <w:r w:rsidRPr="00AC7076">
        <w:rPr>
          <w:szCs w:val="24"/>
        </w:rPr>
        <w:t>oard meeting, I will ask</w:t>
      </w:r>
      <w:r w:rsidR="0017544D" w:rsidRPr="00AC7076">
        <w:rPr>
          <w:szCs w:val="24"/>
        </w:rPr>
        <w:t xml:space="preserve"> </w:t>
      </w:r>
      <w:r w:rsidR="002A452C" w:rsidRPr="00AC7076">
        <w:rPr>
          <w:szCs w:val="24"/>
        </w:rPr>
        <w:t>Rob Curtin, Chief Officer for Data</w:t>
      </w:r>
      <w:r w:rsidR="00CE40CB" w:rsidRPr="00AC7076">
        <w:rPr>
          <w:szCs w:val="24"/>
        </w:rPr>
        <w:t>, Assessment, and Accountability</w:t>
      </w:r>
      <w:r w:rsidR="00FA4C45" w:rsidRPr="00AC7076">
        <w:rPr>
          <w:szCs w:val="24"/>
        </w:rPr>
        <w:t>, and</w:t>
      </w:r>
      <w:r w:rsidR="00CE40CB" w:rsidRPr="00AC7076">
        <w:rPr>
          <w:szCs w:val="24"/>
        </w:rPr>
        <w:t xml:space="preserve"> </w:t>
      </w:r>
      <w:r w:rsidR="0017544D" w:rsidRPr="00AC7076">
        <w:rPr>
          <w:szCs w:val="24"/>
        </w:rPr>
        <w:t>Sam Ribnick,</w:t>
      </w:r>
      <w:r w:rsidRPr="00AC7076">
        <w:rPr>
          <w:szCs w:val="24"/>
        </w:rPr>
        <w:t xml:space="preserve"> E2C Hub Executive Director</w:t>
      </w:r>
      <w:r w:rsidR="0017544D" w:rsidRPr="00AC7076">
        <w:rPr>
          <w:szCs w:val="24"/>
        </w:rPr>
        <w:t xml:space="preserve">, to </w:t>
      </w:r>
      <w:r w:rsidRPr="00AC7076">
        <w:rPr>
          <w:szCs w:val="24"/>
        </w:rPr>
        <w:t>present an overview of the project and demonstrate some of the new features of the E2C Hub</w:t>
      </w:r>
      <w:r w:rsidR="0017544D" w:rsidRPr="00AC7076">
        <w:rPr>
          <w:szCs w:val="24"/>
        </w:rPr>
        <w:t xml:space="preserve">, including recent data stories on </w:t>
      </w:r>
      <w:hyperlink r:id="rId16" w:history="1">
        <w:r w:rsidR="00A4474A" w:rsidRPr="00AC7076">
          <w:rPr>
            <w:rStyle w:val="Hyperlink"/>
            <w:szCs w:val="24"/>
          </w:rPr>
          <w:t>college &amp; career outcomes</w:t>
        </w:r>
      </w:hyperlink>
      <w:r w:rsidR="00A4474A" w:rsidRPr="00AC7076">
        <w:rPr>
          <w:szCs w:val="24"/>
        </w:rPr>
        <w:t xml:space="preserve"> for students</w:t>
      </w:r>
      <w:r w:rsidR="0017544D" w:rsidRPr="00AC7076">
        <w:rPr>
          <w:szCs w:val="24"/>
        </w:rPr>
        <w:t xml:space="preserve"> and </w:t>
      </w:r>
      <w:hyperlink r:id="rId17" w:history="1">
        <w:r w:rsidR="00A4474A" w:rsidRPr="00AC7076">
          <w:rPr>
            <w:rStyle w:val="Hyperlink"/>
            <w:szCs w:val="24"/>
          </w:rPr>
          <w:t>mental health staffing</w:t>
        </w:r>
      </w:hyperlink>
      <w:r w:rsidR="00A4474A" w:rsidRPr="00AC7076">
        <w:rPr>
          <w:szCs w:val="24"/>
        </w:rPr>
        <w:t xml:space="preserve"> in districts</w:t>
      </w:r>
      <w:r w:rsidR="0017544D" w:rsidRPr="00AC7076">
        <w:rPr>
          <w:szCs w:val="24"/>
        </w:rPr>
        <w:t>.</w:t>
      </w:r>
    </w:p>
    <w:p w14:paraId="171D3308" w14:textId="10904E0D" w:rsidR="00A4474A" w:rsidRPr="002E5B69" w:rsidRDefault="00A4474A" w:rsidP="002E5B69">
      <w:pPr>
        <w:widowControl/>
        <w:spacing w:after="160" w:line="259" w:lineRule="auto"/>
      </w:pPr>
    </w:p>
    <w:sectPr w:rsidR="00A4474A" w:rsidRPr="002E5B69" w:rsidSect="007B3EE1">
      <w:footerReference w:type="default" r:id="rId18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0384" w14:textId="77777777" w:rsidR="0009456D" w:rsidRDefault="0009456D">
      <w:r>
        <w:separator/>
      </w:r>
    </w:p>
  </w:endnote>
  <w:endnote w:type="continuationSeparator" w:id="0">
    <w:p w14:paraId="13203687" w14:textId="77777777" w:rsidR="0009456D" w:rsidRDefault="0009456D">
      <w:r>
        <w:continuationSeparator/>
      </w:r>
    </w:p>
  </w:endnote>
  <w:endnote w:type="continuationNotice" w:id="1">
    <w:p w14:paraId="72623BA7" w14:textId="77777777" w:rsidR="0009456D" w:rsidRDefault="00094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2568" w14:textId="77777777" w:rsidR="0009456D" w:rsidRDefault="0009456D">
      <w:r>
        <w:separator/>
      </w:r>
    </w:p>
  </w:footnote>
  <w:footnote w:type="continuationSeparator" w:id="0">
    <w:p w14:paraId="2AF5C73F" w14:textId="77777777" w:rsidR="0009456D" w:rsidRDefault="0009456D">
      <w:r>
        <w:continuationSeparator/>
      </w:r>
    </w:p>
  </w:footnote>
  <w:footnote w:type="continuationNotice" w:id="1">
    <w:p w14:paraId="663673DD" w14:textId="77777777" w:rsidR="0009456D" w:rsidRDefault="000945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5624E"/>
    <w:multiLevelType w:val="hybridMultilevel"/>
    <w:tmpl w:val="1AFE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34AA7"/>
    <w:multiLevelType w:val="hybridMultilevel"/>
    <w:tmpl w:val="FFFFFFFF"/>
    <w:lvl w:ilvl="0" w:tplc="3FB218EE">
      <w:start w:val="1"/>
      <w:numFmt w:val="decimal"/>
      <w:lvlText w:val="%1."/>
      <w:lvlJc w:val="left"/>
      <w:pPr>
        <w:ind w:left="720" w:hanging="360"/>
      </w:pPr>
    </w:lvl>
    <w:lvl w:ilvl="1" w:tplc="D9BEFB22">
      <w:start w:val="1"/>
      <w:numFmt w:val="lowerLetter"/>
      <w:lvlText w:val="%2."/>
      <w:lvlJc w:val="left"/>
      <w:pPr>
        <w:ind w:left="1440" w:hanging="360"/>
      </w:pPr>
    </w:lvl>
    <w:lvl w:ilvl="2" w:tplc="00622F08">
      <w:start w:val="1"/>
      <w:numFmt w:val="lowerRoman"/>
      <w:lvlText w:val="%3."/>
      <w:lvlJc w:val="right"/>
      <w:pPr>
        <w:ind w:left="2160" w:hanging="180"/>
      </w:pPr>
    </w:lvl>
    <w:lvl w:ilvl="3" w:tplc="A2FAFD60">
      <w:start w:val="1"/>
      <w:numFmt w:val="decimal"/>
      <w:lvlText w:val="%4."/>
      <w:lvlJc w:val="left"/>
      <w:pPr>
        <w:ind w:left="2880" w:hanging="360"/>
      </w:pPr>
    </w:lvl>
    <w:lvl w:ilvl="4" w:tplc="EAA8EB40">
      <w:start w:val="1"/>
      <w:numFmt w:val="lowerLetter"/>
      <w:lvlText w:val="%5."/>
      <w:lvlJc w:val="left"/>
      <w:pPr>
        <w:ind w:left="3600" w:hanging="360"/>
      </w:pPr>
    </w:lvl>
    <w:lvl w:ilvl="5" w:tplc="8B140680">
      <w:start w:val="1"/>
      <w:numFmt w:val="lowerRoman"/>
      <w:lvlText w:val="%6."/>
      <w:lvlJc w:val="right"/>
      <w:pPr>
        <w:ind w:left="4320" w:hanging="180"/>
      </w:pPr>
    </w:lvl>
    <w:lvl w:ilvl="6" w:tplc="AB520BAC">
      <w:start w:val="1"/>
      <w:numFmt w:val="decimal"/>
      <w:lvlText w:val="%7."/>
      <w:lvlJc w:val="left"/>
      <w:pPr>
        <w:ind w:left="5040" w:hanging="360"/>
      </w:pPr>
    </w:lvl>
    <w:lvl w:ilvl="7" w:tplc="214CC466">
      <w:start w:val="1"/>
      <w:numFmt w:val="lowerLetter"/>
      <w:lvlText w:val="%8."/>
      <w:lvlJc w:val="left"/>
      <w:pPr>
        <w:ind w:left="5760" w:hanging="360"/>
      </w:pPr>
    </w:lvl>
    <w:lvl w:ilvl="8" w:tplc="FC76F4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3434799">
    <w:abstractNumId w:val="6"/>
  </w:num>
  <w:num w:numId="2" w16cid:durableId="1294210553">
    <w:abstractNumId w:val="11"/>
  </w:num>
  <w:num w:numId="3" w16cid:durableId="1599176368">
    <w:abstractNumId w:val="3"/>
  </w:num>
  <w:num w:numId="4" w16cid:durableId="1957058287">
    <w:abstractNumId w:val="17"/>
  </w:num>
  <w:num w:numId="5" w16cid:durableId="1897818588">
    <w:abstractNumId w:val="7"/>
  </w:num>
  <w:num w:numId="6" w16cid:durableId="699471840">
    <w:abstractNumId w:val="14"/>
  </w:num>
  <w:num w:numId="7" w16cid:durableId="1399403460">
    <w:abstractNumId w:val="9"/>
  </w:num>
  <w:num w:numId="8" w16cid:durableId="2128620796">
    <w:abstractNumId w:val="2"/>
  </w:num>
  <w:num w:numId="9" w16cid:durableId="80638734">
    <w:abstractNumId w:val="1"/>
  </w:num>
  <w:num w:numId="10" w16cid:durableId="420028125">
    <w:abstractNumId w:val="0"/>
  </w:num>
  <w:num w:numId="11" w16cid:durableId="367147685">
    <w:abstractNumId w:val="18"/>
  </w:num>
  <w:num w:numId="12" w16cid:durableId="1328552718">
    <w:abstractNumId w:val="10"/>
  </w:num>
  <w:num w:numId="13" w16cid:durableId="896625031">
    <w:abstractNumId w:val="21"/>
  </w:num>
  <w:num w:numId="14" w16cid:durableId="1858762966">
    <w:abstractNumId w:val="13"/>
  </w:num>
  <w:num w:numId="15" w16cid:durableId="1072585304">
    <w:abstractNumId w:val="5"/>
  </w:num>
  <w:num w:numId="16" w16cid:durableId="10129500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810225">
    <w:abstractNumId w:val="23"/>
  </w:num>
  <w:num w:numId="18" w16cid:durableId="1002512043">
    <w:abstractNumId w:val="8"/>
  </w:num>
  <w:num w:numId="19" w16cid:durableId="694767395">
    <w:abstractNumId w:val="15"/>
  </w:num>
  <w:num w:numId="20" w16cid:durableId="705957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7508357">
    <w:abstractNumId w:val="22"/>
  </w:num>
  <w:num w:numId="22" w16cid:durableId="1072435809">
    <w:abstractNumId w:val="12"/>
  </w:num>
  <w:num w:numId="23" w16cid:durableId="707726425">
    <w:abstractNumId w:val="4"/>
  </w:num>
  <w:num w:numId="24" w16cid:durableId="1535848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4F4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755D1"/>
    <w:rsid w:val="00085950"/>
    <w:rsid w:val="0009456D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544D"/>
    <w:rsid w:val="00177FDF"/>
    <w:rsid w:val="00183AB0"/>
    <w:rsid w:val="00185E9E"/>
    <w:rsid w:val="00190AEB"/>
    <w:rsid w:val="00196311"/>
    <w:rsid w:val="001A3384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5CC"/>
    <w:rsid w:val="00243A55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452C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E5B69"/>
    <w:rsid w:val="002F3534"/>
    <w:rsid w:val="002F5424"/>
    <w:rsid w:val="00306095"/>
    <w:rsid w:val="0030721A"/>
    <w:rsid w:val="00307FDD"/>
    <w:rsid w:val="00315230"/>
    <w:rsid w:val="003166C8"/>
    <w:rsid w:val="00316F05"/>
    <w:rsid w:val="00329642"/>
    <w:rsid w:val="003300A8"/>
    <w:rsid w:val="00330D15"/>
    <w:rsid w:val="00341984"/>
    <w:rsid w:val="00347CED"/>
    <w:rsid w:val="0035445A"/>
    <w:rsid w:val="00354C15"/>
    <w:rsid w:val="003550DC"/>
    <w:rsid w:val="00360559"/>
    <w:rsid w:val="00361467"/>
    <w:rsid w:val="00363A77"/>
    <w:rsid w:val="00363EC5"/>
    <w:rsid w:val="00365F2F"/>
    <w:rsid w:val="00372DCF"/>
    <w:rsid w:val="0039194F"/>
    <w:rsid w:val="0039533A"/>
    <w:rsid w:val="003953C8"/>
    <w:rsid w:val="003A1907"/>
    <w:rsid w:val="003A2F60"/>
    <w:rsid w:val="003B43E3"/>
    <w:rsid w:val="003B6FC9"/>
    <w:rsid w:val="003C4139"/>
    <w:rsid w:val="003D0F91"/>
    <w:rsid w:val="003D25FA"/>
    <w:rsid w:val="003D335F"/>
    <w:rsid w:val="003D4BE8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621DF"/>
    <w:rsid w:val="00466D00"/>
    <w:rsid w:val="00471607"/>
    <w:rsid w:val="00473F1D"/>
    <w:rsid w:val="00475256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A7F51"/>
    <w:rsid w:val="004B2D72"/>
    <w:rsid w:val="004B3C8A"/>
    <w:rsid w:val="004D040A"/>
    <w:rsid w:val="004D2264"/>
    <w:rsid w:val="004D4CF2"/>
    <w:rsid w:val="004E060F"/>
    <w:rsid w:val="004E4835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7C24"/>
    <w:rsid w:val="00616E24"/>
    <w:rsid w:val="00620208"/>
    <w:rsid w:val="00622645"/>
    <w:rsid w:val="00630B70"/>
    <w:rsid w:val="00634EB6"/>
    <w:rsid w:val="00635070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B1442"/>
    <w:rsid w:val="006C0F45"/>
    <w:rsid w:val="006C32D4"/>
    <w:rsid w:val="006D4E62"/>
    <w:rsid w:val="006D59C0"/>
    <w:rsid w:val="006F339C"/>
    <w:rsid w:val="006F5210"/>
    <w:rsid w:val="006F57AE"/>
    <w:rsid w:val="0070548F"/>
    <w:rsid w:val="00706286"/>
    <w:rsid w:val="007072FB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53D6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CAF"/>
    <w:rsid w:val="007E2623"/>
    <w:rsid w:val="007E2E1E"/>
    <w:rsid w:val="007E62A6"/>
    <w:rsid w:val="007E6983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27"/>
    <w:rsid w:val="008D0443"/>
    <w:rsid w:val="008D1C58"/>
    <w:rsid w:val="008D470F"/>
    <w:rsid w:val="008D5853"/>
    <w:rsid w:val="008D6854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BC3"/>
    <w:rsid w:val="009448A9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13BC0"/>
    <w:rsid w:val="00A20194"/>
    <w:rsid w:val="00A327E4"/>
    <w:rsid w:val="00A37BA6"/>
    <w:rsid w:val="00A37CC3"/>
    <w:rsid w:val="00A4251A"/>
    <w:rsid w:val="00A4297E"/>
    <w:rsid w:val="00A4474A"/>
    <w:rsid w:val="00A464FB"/>
    <w:rsid w:val="00A555FD"/>
    <w:rsid w:val="00A64182"/>
    <w:rsid w:val="00A669F1"/>
    <w:rsid w:val="00A70FE3"/>
    <w:rsid w:val="00A73C30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C7076"/>
    <w:rsid w:val="00AD11F2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34968"/>
    <w:rsid w:val="00B3741A"/>
    <w:rsid w:val="00B37922"/>
    <w:rsid w:val="00B406F4"/>
    <w:rsid w:val="00B46222"/>
    <w:rsid w:val="00B6230A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E71E2"/>
    <w:rsid w:val="00BF4ECA"/>
    <w:rsid w:val="00BF65B8"/>
    <w:rsid w:val="00C003E1"/>
    <w:rsid w:val="00C01D4A"/>
    <w:rsid w:val="00C04535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572D5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6BD9"/>
    <w:rsid w:val="00CE40CB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36395"/>
    <w:rsid w:val="00D371C3"/>
    <w:rsid w:val="00D456B8"/>
    <w:rsid w:val="00D54AED"/>
    <w:rsid w:val="00D661CC"/>
    <w:rsid w:val="00D73B50"/>
    <w:rsid w:val="00D73C51"/>
    <w:rsid w:val="00D744BC"/>
    <w:rsid w:val="00D75ABA"/>
    <w:rsid w:val="00D854CB"/>
    <w:rsid w:val="00D875E3"/>
    <w:rsid w:val="00D87AA2"/>
    <w:rsid w:val="00D93DB6"/>
    <w:rsid w:val="00D9488D"/>
    <w:rsid w:val="00DA1886"/>
    <w:rsid w:val="00DA6385"/>
    <w:rsid w:val="00DB4613"/>
    <w:rsid w:val="00DB5DFB"/>
    <w:rsid w:val="00DC10F4"/>
    <w:rsid w:val="00DC1F96"/>
    <w:rsid w:val="00DD1603"/>
    <w:rsid w:val="00DD1E7A"/>
    <w:rsid w:val="00DD2CBF"/>
    <w:rsid w:val="00DE73A8"/>
    <w:rsid w:val="00DF544F"/>
    <w:rsid w:val="00E00E93"/>
    <w:rsid w:val="00E01297"/>
    <w:rsid w:val="00E03D02"/>
    <w:rsid w:val="00E06DAC"/>
    <w:rsid w:val="00E11954"/>
    <w:rsid w:val="00E25398"/>
    <w:rsid w:val="00E3387C"/>
    <w:rsid w:val="00E35B14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91DB6"/>
    <w:rsid w:val="00FA4B46"/>
    <w:rsid w:val="00FA4C45"/>
    <w:rsid w:val="00FB0D18"/>
    <w:rsid w:val="00FB1F4A"/>
    <w:rsid w:val="00FB46CC"/>
    <w:rsid w:val="00FB640A"/>
    <w:rsid w:val="00FB7A44"/>
    <w:rsid w:val="00FC4C0A"/>
    <w:rsid w:val="00FD5A0C"/>
    <w:rsid w:val="00FF111F"/>
    <w:rsid w:val="00FF160C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73FE78B"/>
    <w:rsid w:val="2A25B5FD"/>
    <w:rsid w:val="2CE303D2"/>
    <w:rsid w:val="2E3D2DBC"/>
    <w:rsid w:val="2EBA04B8"/>
    <w:rsid w:val="30CDA174"/>
    <w:rsid w:val="328A067C"/>
    <w:rsid w:val="34161E5B"/>
    <w:rsid w:val="36EB56B1"/>
    <w:rsid w:val="3D5D5370"/>
    <w:rsid w:val="3DD8A1C0"/>
    <w:rsid w:val="3E81E31A"/>
    <w:rsid w:val="41804814"/>
    <w:rsid w:val="41CB6526"/>
    <w:rsid w:val="420897ED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00DD22E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edwi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.gov/e2c" TargetMode="External"/><Relationship Id="rId17" Type="http://schemas.openxmlformats.org/officeDocument/2006/relationships/hyperlink" Target="https://educationtocareer.data.mass.gov/stories/s/abfc-q25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massachusetts-college-and-career-outcomes-dashboa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app.powerbigov.us/view?r=eyJrIjoiODA3NDU1NWMtOTJiMS00YTZiLTg1MmEtN2JhOTM4ZjNmNWExIiwidCI6IjNlODYxZDE2LTQ4YjctNGEwZS05ODA2LThjMDRkODFiN2IyYSJ9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d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D4568E70-16F7-44F0-BA42-46EE92534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2020 Item 1: Covid-19 update memo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2023 Regular Meeting Item 6: Education-to-Career Research and Data Hub</dc:title>
  <dc:subject/>
  <dc:creator>DESE</dc:creator>
  <cp:keywords/>
  <cp:lastModifiedBy>Zou, Dong (EOE)</cp:lastModifiedBy>
  <cp:revision>7</cp:revision>
  <cp:lastPrinted>2008-03-05T18:17:00Z</cp:lastPrinted>
  <dcterms:created xsi:type="dcterms:W3CDTF">2023-11-14T15:20:00Z</dcterms:created>
  <dcterms:modified xsi:type="dcterms:W3CDTF">2023-11-16T15:57:00Z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2023 12:00AM</vt:lpwstr>
  </property>
</Properties>
</file>