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419BBC7B">
        <w:tc>
          <w:tcPr>
            <w:tcW w:w="1184" w:type="dxa"/>
          </w:tcPr>
          <w:p w14:paraId="46F2DCD6" w14:textId="59138CBC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419BBC7B">
        <w:tc>
          <w:tcPr>
            <w:tcW w:w="1184" w:type="dxa"/>
          </w:tcPr>
          <w:p w14:paraId="2303ACC4" w14:textId="7F14DF7E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5F07A2FC" w14:textId="338921F2" w:rsidR="001D100A" w:rsidRPr="00947C0C" w:rsidRDefault="1AFDDBFE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419BBC7B">
        <w:tc>
          <w:tcPr>
            <w:tcW w:w="1184" w:type="dxa"/>
          </w:tcPr>
          <w:p w14:paraId="1D7621DD" w14:textId="131EF790" w:rsidR="003051F4" w:rsidRDefault="003051F4" w:rsidP="29833A94">
            <w:pPr>
              <w:rPr>
                <w:b/>
                <w:bCs/>
              </w:rPr>
            </w:pPr>
            <w:r w:rsidRPr="419BBC7B">
              <w:rPr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57FDDBF2" w14:textId="2854E25F" w:rsidR="003051F4" w:rsidRDefault="00AB437A">
            <w:pPr>
              <w:pStyle w:val="Footer"/>
              <w:widowControl w:val="0"/>
            </w:pPr>
            <w:r>
              <w:t xml:space="preserve">January </w:t>
            </w:r>
            <w:r w:rsidR="00805D32">
              <w:t>21</w:t>
            </w:r>
            <w:r w:rsidR="002A6E7F">
              <w:t>, 202</w:t>
            </w:r>
            <w:r>
              <w:t>5</w:t>
            </w:r>
          </w:p>
        </w:tc>
      </w:tr>
      <w:tr w:rsidR="003051F4" w14:paraId="252EA1D8" w14:textId="77777777" w:rsidTr="419BBC7B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4797E5A0" w:rsidR="003051F4" w:rsidRPr="003C4630" w:rsidRDefault="00B01BEA" w:rsidP="29833A94">
            <w:pPr>
              <w:pStyle w:val="Footer"/>
              <w:widowControl w:val="0"/>
            </w:pPr>
            <w:r>
              <w:rPr>
                <w:snapToGrid w:val="0"/>
              </w:rPr>
              <w:t xml:space="preserve">Discussion on </w:t>
            </w:r>
            <w:r w:rsidR="00AB437A">
              <w:rPr>
                <w:snapToGrid w:val="0"/>
              </w:rPr>
              <w:t>Use of Time</w:t>
            </w:r>
            <w:r w:rsidR="00B74E03">
              <w:rPr>
                <w:snapToGrid w:val="0"/>
              </w:rPr>
              <w:t>-</w:t>
            </w:r>
            <w:r w:rsidR="00AB437A">
              <w:rPr>
                <w:snapToGrid w:val="0"/>
              </w:rPr>
              <w:t xml:space="preserve">Out Practices </w:t>
            </w:r>
            <w:r w:rsidR="00805D32">
              <w:rPr>
                <w:snapToGrid w:val="0"/>
              </w:rPr>
              <w:t>under Current Regulations (</w:t>
            </w:r>
            <w:r w:rsidR="00AB437A">
              <w:rPr>
                <w:snapToGrid w:val="0"/>
              </w:rPr>
              <w:t xml:space="preserve">603 CMR </w:t>
            </w:r>
            <w:r w:rsidR="001F4562">
              <w:rPr>
                <w:snapToGrid w:val="0"/>
              </w:rPr>
              <w:t>46.00 and 603 CMR 18.00</w:t>
            </w:r>
            <w:r w:rsidR="00805D32">
              <w:rPr>
                <w:snapToGrid w:val="0"/>
              </w:rPr>
              <w:t>)</w:t>
            </w:r>
          </w:p>
        </w:tc>
      </w:tr>
    </w:tbl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70ACE450" w14:textId="50B700AB" w:rsidR="00A040F3" w:rsidRDefault="401EDDF0">
      <w:pPr>
        <w:rPr>
          <w:rFonts w:cs="Calibri"/>
        </w:rPr>
      </w:pPr>
      <w:r w:rsidRPr="419BBC7B">
        <w:rPr>
          <w:rFonts w:cs="Calibri"/>
        </w:rPr>
        <w:t>____________________________________________________________________________________</w:t>
      </w:r>
    </w:p>
    <w:p w14:paraId="54B2FB5F" w14:textId="49834F70" w:rsidR="419BBC7B" w:rsidRDefault="419BBC7B" w:rsidP="419BBC7B">
      <w:pPr>
        <w:rPr>
          <w:rFonts w:cs="Calibri"/>
        </w:rPr>
      </w:pPr>
    </w:p>
    <w:p w14:paraId="4757D0FB" w14:textId="27E8153F" w:rsidR="00E469D7" w:rsidRDefault="00FC4CED" w:rsidP="00FC4CED">
      <w:pPr>
        <w:rPr>
          <w:rFonts w:cs="Calibri"/>
        </w:rPr>
      </w:pPr>
      <w:r w:rsidRPr="00FC4CED">
        <w:rPr>
          <w:rFonts w:cs="Calibri"/>
        </w:rPr>
        <w:t xml:space="preserve">This memorandum provides </w:t>
      </w:r>
      <w:r w:rsidR="005A1A12">
        <w:rPr>
          <w:rFonts w:cs="Calibri"/>
        </w:rPr>
        <w:t>an update</w:t>
      </w:r>
      <w:r w:rsidRPr="00FC4CED">
        <w:rPr>
          <w:rFonts w:cs="Calibri"/>
        </w:rPr>
        <w:t xml:space="preserve"> to the Board of Elementary and Secondary Education </w:t>
      </w:r>
      <w:r w:rsidR="007B2FB9">
        <w:rPr>
          <w:rFonts w:cs="Calibri"/>
        </w:rPr>
        <w:t xml:space="preserve">(Board) </w:t>
      </w:r>
      <w:r w:rsidR="001F4562">
        <w:rPr>
          <w:rFonts w:cs="Calibri"/>
        </w:rPr>
        <w:t xml:space="preserve">on </w:t>
      </w:r>
      <w:r w:rsidR="001942CF">
        <w:rPr>
          <w:rFonts w:cs="Calibri"/>
        </w:rPr>
        <w:t xml:space="preserve">the use of </w:t>
      </w:r>
      <w:r w:rsidR="008E12D1">
        <w:rPr>
          <w:rFonts w:cs="Calibri"/>
        </w:rPr>
        <w:t>time</w:t>
      </w:r>
      <w:r w:rsidR="00B74E03">
        <w:rPr>
          <w:rFonts w:cs="Calibri"/>
        </w:rPr>
        <w:t>-</w:t>
      </w:r>
      <w:r w:rsidR="008E12D1">
        <w:rPr>
          <w:rFonts w:cs="Calibri"/>
        </w:rPr>
        <w:t xml:space="preserve">out practices </w:t>
      </w:r>
      <w:r w:rsidR="001942CF">
        <w:rPr>
          <w:rFonts w:cs="Calibri"/>
        </w:rPr>
        <w:t>in Mas</w:t>
      </w:r>
      <w:r w:rsidR="00784651">
        <w:rPr>
          <w:rFonts w:cs="Calibri"/>
        </w:rPr>
        <w:t>s</w:t>
      </w:r>
      <w:r w:rsidR="001942CF">
        <w:rPr>
          <w:rFonts w:cs="Calibri"/>
        </w:rPr>
        <w:t xml:space="preserve">achusetts </w:t>
      </w:r>
      <w:r w:rsidR="004D0E66">
        <w:rPr>
          <w:rFonts w:cs="Calibri"/>
        </w:rPr>
        <w:t xml:space="preserve">education settings, including public schools, </w:t>
      </w:r>
      <w:r w:rsidR="00B848D4">
        <w:rPr>
          <w:rFonts w:cs="Calibri"/>
        </w:rPr>
        <w:t xml:space="preserve">education </w:t>
      </w:r>
      <w:r w:rsidR="004D0E66">
        <w:rPr>
          <w:rFonts w:cs="Calibri"/>
        </w:rPr>
        <w:t>collaboratives</w:t>
      </w:r>
      <w:r w:rsidR="00B848D4">
        <w:rPr>
          <w:rFonts w:cs="Calibri"/>
        </w:rPr>
        <w:t>,</w:t>
      </w:r>
      <w:r w:rsidR="004D0E66">
        <w:rPr>
          <w:rFonts w:cs="Calibri"/>
        </w:rPr>
        <w:t xml:space="preserve"> and approved private special education schools. </w:t>
      </w:r>
    </w:p>
    <w:p w14:paraId="76481AF7" w14:textId="77777777" w:rsidR="008E12D1" w:rsidRDefault="008E12D1" w:rsidP="00FC4CED">
      <w:pPr>
        <w:rPr>
          <w:rFonts w:cs="Calibri"/>
        </w:rPr>
      </w:pPr>
    </w:p>
    <w:p w14:paraId="04FC26EC" w14:textId="13ABB567" w:rsidR="00E469D7" w:rsidRDefault="00955811" w:rsidP="00FC4CED">
      <w:pPr>
        <w:rPr>
          <w:rFonts w:cs="Calibri"/>
        </w:rPr>
      </w:pPr>
      <w:r w:rsidRPr="019B1728">
        <w:rPr>
          <w:rFonts w:cs="Calibri"/>
        </w:rPr>
        <w:t>T</w:t>
      </w:r>
      <w:r w:rsidR="00223E5C" w:rsidRPr="019B1728">
        <w:rPr>
          <w:rFonts w:cs="Calibri"/>
        </w:rPr>
        <w:t>ime</w:t>
      </w:r>
      <w:r w:rsidR="1F45F3AC" w:rsidRPr="019B1728">
        <w:rPr>
          <w:rFonts w:cs="Calibri"/>
        </w:rPr>
        <w:t>-</w:t>
      </w:r>
      <w:r w:rsidR="00223E5C" w:rsidRPr="019B1728">
        <w:rPr>
          <w:rFonts w:cs="Calibri"/>
        </w:rPr>
        <w:t>out</w:t>
      </w:r>
      <w:r>
        <w:rPr>
          <w:rFonts w:cs="Calibri"/>
        </w:rPr>
        <w:t xml:space="preserve"> is</w:t>
      </w:r>
      <w:r w:rsidR="00223E5C">
        <w:rPr>
          <w:rFonts w:cs="Calibri"/>
        </w:rPr>
        <w:t xml:space="preserve"> a behavioral </w:t>
      </w:r>
      <w:r w:rsidR="008D7363">
        <w:rPr>
          <w:rFonts w:cs="Calibri"/>
        </w:rPr>
        <w:t xml:space="preserve">support </w:t>
      </w:r>
      <w:r w:rsidR="00223E5C">
        <w:rPr>
          <w:rFonts w:cs="Calibri"/>
        </w:rPr>
        <w:t>strategy</w:t>
      </w:r>
      <w:r w:rsidR="009C4526">
        <w:rPr>
          <w:rFonts w:cs="Calibri"/>
        </w:rPr>
        <w:t xml:space="preserve"> </w:t>
      </w:r>
      <w:r w:rsidR="007A75B4">
        <w:rPr>
          <w:rFonts w:cs="Calibri"/>
        </w:rPr>
        <w:t xml:space="preserve">in which </w:t>
      </w:r>
      <w:r w:rsidR="009C4526">
        <w:rPr>
          <w:rFonts w:cs="Calibri"/>
        </w:rPr>
        <w:t xml:space="preserve">a student </w:t>
      </w:r>
      <w:r>
        <w:rPr>
          <w:rFonts w:cs="Calibri"/>
        </w:rPr>
        <w:t xml:space="preserve">temporarily </w:t>
      </w:r>
      <w:r w:rsidR="009C4526">
        <w:rPr>
          <w:rFonts w:cs="Calibri"/>
        </w:rPr>
        <w:t>separates from the learning environment</w:t>
      </w:r>
      <w:r w:rsidR="00384DE4">
        <w:rPr>
          <w:rFonts w:cs="Calibri"/>
        </w:rPr>
        <w:t>. It</w:t>
      </w:r>
      <w:r w:rsidR="00223E5C">
        <w:rPr>
          <w:rFonts w:cs="Calibri"/>
        </w:rPr>
        <w:t xml:space="preserve"> is </w:t>
      </w:r>
      <w:r w:rsidR="00F9271D">
        <w:rPr>
          <w:rFonts w:cs="Calibri"/>
        </w:rPr>
        <w:t xml:space="preserve">referenced </w:t>
      </w:r>
      <w:r w:rsidR="00167982">
        <w:rPr>
          <w:rFonts w:cs="Calibri"/>
        </w:rPr>
        <w:t xml:space="preserve">in </w:t>
      </w:r>
      <w:r w:rsidR="00223E5C">
        <w:rPr>
          <w:rFonts w:cs="Calibri"/>
        </w:rPr>
        <w:t xml:space="preserve">current </w:t>
      </w:r>
      <w:r w:rsidR="00167982">
        <w:rPr>
          <w:rFonts w:cs="Calibri"/>
        </w:rPr>
        <w:t xml:space="preserve">regulations, </w:t>
      </w:r>
      <w:r w:rsidR="009C4526">
        <w:rPr>
          <w:rFonts w:cs="Calibri"/>
        </w:rPr>
        <w:t>603 CMR 46.0</w:t>
      </w:r>
      <w:r w:rsidR="00220AFF">
        <w:rPr>
          <w:rFonts w:cs="Calibri"/>
        </w:rPr>
        <w:t>0</w:t>
      </w:r>
      <w:r w:rsidR="007A75B4">
        <w:rPr>
          <w:rFonts w:cs="Calibri"/>
        </w:rPr>
        <w:t>,</w:t>
      </w:r>
      <w:r w:rsidR="009C4526">
        <w:rPr>
          <w:rFonts w:cs="Calibri"/>
        </w:rPr>
        <w:t xml:space="preserve"> a</w:t>
      </w:r>
      <w:r w:rsidR="00694FA7">
        <w:rPr>
          <w:rFonts w:cs="Calibri"/>
        </w:rPr>
        <w:t>nd</w:t>
      </w:r>
      <w:r w:rsidR="00A271FB">
        <w:rPr>
          <w:rFonts w:cs="Calibri"/>
        </w:rPr>
        <w:t xml:space="preserve"> also in</w:t>
      </w:r>
      <w:r w:rsidR="00694FA7">
        <w:rPr>
          <w:rFonts w:cs="Calibri"/>
        </w:rPr>
        <w:t xml:space="preserve"> 603 CMR 18.00</w:t>
      </w:r>
      <w:r w:rsidR="00B16397">
        <w:rPr>
          <w:rFonts w:cs="Calibri"/>
        </w:rPr>
        <w:t>,</w:t>
      </w:r>
      <w:r w:rsidR="00694FA7">
        <w:rPr>
          <w:rFonts w:cs="Calibri"/>
        </w:rPr>
        <w:t xml:space="preserve"> as it relates to approved public and private special education programs.  </w:t>
      </w:r>
    </w:p>
    <w:p w14:paraId="4EE3981A" w14:textId="77777777" w:rsidR="0019704B" w:rsidRDefault="0019704B" w:rsidP="00FC4CED">
      <w:pPr>
        <w:rPr>
          <w:rFonts w:cs="Calibri"/>
        </w:rPr>
      </w:pPr>
    </w:p>
    <w:p w14:paraId="6E4D53D0" w14:textId="57BF7D92" w:rsidR="00E61216" w:rsidRDefault="00E61216" w:rsidP="00FC4CED">
      <w:pPr>
        <w:rPr>
          <w:rFonts w:cs="Calibri"/>
        </w:rPr>
      </w:pPr>
      <w:r>
        <w:rPr>
          <w:rFonts w:cs="Calibri"/>
        </w:rPr>
        <w:t>Currently</w:t>
      </w:r>
      <w:r w:rsidR="00B960AF">
        <w:rPr>
          <w:rFonts w:cs="Calibri"/>
        </w:rPr>
        <w:t>,</w:t>
      </w:r>
      <w:r>
        <w:rPr>
          <w:rFonts w:cs="Calibri"/>
        </w:rPr>
        <w:t xml:space="preserve"> time</w:t>
      </w:r>
      <w:r w:rsidR="000B6350">
        <w:rPr>
          <w:rFonts w:cs="Calibri"/>
        </w:rPr>
        <w:t>-</w:t>
      </w:r>
      <w:r>
        <w:rPr>
          <w:rFonts w:cs="Calibri"/>
        </w:rPr>
        <w:t>out is defined in the regulations as:</w:t>
      </w:r>
    </w:p>
    <w:p w14:paraId="3C4AA0CE" w14:textId="77777777" w:rsidR="0060368D" w:rsidRDefault="0060368D" w:rsidP="00FC4CED">
      <w:pPr>
        <w:rPr>
          <w:rFonts w:cs="Calibri"/>
        </w:rPr>
      </w:pPr>
    </w:p>
    <w:p w14:paraId="252055BC" w14:textId="77777777" w:rsidR="0060368D" w:rsidRDefault="00E61216" w:rsidP="0060368D">
      <w:pPr>
        <w:ind w:firstLine="720"/>
      </w:pPr>
      <w:r w:rsidRPr="00E61216">
        <w:t>a behavioral support strategy developed pursuant to 603 CMR 46.04(1)</w:t>
      </w:r>
    </w:p>
    <w:p w14:paraId="4718AA9F" w14:textId="68411EEE" w:rsidR="0060368D" w:rsidRDefault="00E61216" w:rsidP="0060368D">
      <w:pPr>
        <w:ind w:firstLine="720"/>
      </w:pPr>
      <w:r w:rsidRPr="00E61216">
        <w:t>in which a student temporarily separates from the learning activity or</w:t>
      </w:r>
    </w:p>
    <w:p w14:paraId="4AD734E2" w14:textId="77777777" w:rsidR="0060368D" w:rsidRDefault="00E61216" w:rsidP="0060368D">
      <w:pPr>
        <w:ind w:firstLine="720"/>
      </w:pPr>
      <w:r w:rsidRPr="00E61216">
        <w:t>the classroom, either by</w:t>
      </w:r>
      <w:r>
        <w:t xml:space="preserve"> </w:t>
      </w:r>
      <w:r w:rsidRPr="00E61216">
        <w:t>choice or by direction from staff, for the purpose</w:t>
      </w:r>
    </w:p>
    <w:p w14:paraId="7053969F" w14:textId="77777777" w:rsidR="0060368D" w:rsidRDefault="00E61216" w:rsidP="0060368D">
      <w:pPr>
        <w:ind w:firstLine="720"/>
      </w:pPr>
      <w:r w:rsidRPr="00E61216">
        <w:t>of calming. During time-out, a student must be continuously observed</w:t>
      </w:r>
    </w:p>
    <w:p w14:paraId="3C172449" w14:textId="77777777" w:rsidR="0060368D" w:rsidRDefault="00E61216" w:rsidP="0060368D">
      <w:pPr>
        <w:ind w:firstLine="720"/>
      </w:pPr>
      <w:r w:rsidRPr="00E61216">
        <w:t>by a staff member. Staff shall be with the student or immediately available</w:t>
      </w:r>
    </w:p>
    <w:p w14:paraId="19B10A26" w14:textId="77777777" w:rsidR="0060368D" w:rsidRDefault="00E61216" w:rsidP="0060368D">
      <w:pPr>
        <w:ind w:firstLine="720"/>
      </w:pPr>
      <w:r w:rsidRPr="00E61216">
        <w:t>to the student at all times. The space used for time-out must be clean,</w:t>
      </w:r>
    </w:p>
    <w:p w14:paraId="01B1F46C" w14:textId="77777777" w:rsidR="0060368D" w:rsidRDefault="00E61216" w:rsidP="0060368D">
      <w:pPr>
        <w:ind w:firstLine="720"/>
      </w:pPr>
      <w:r w:rsidRPr="00E61216">
        <w:t>safe, sanitary, and appropriate for the purpose of calming. Time-out shall</w:t>
      </w:r>
    </w:p>
    <w:p w14:paraId="04E081BC" w14:textId="00006671" w:rsidR="006C7702" w:rsidRDefault="0060368D" w:rsidP="0060368D">
      <w:pPr>
        <w:ind w:firstLine="720"/>
      </w:pPr>
      <w:r>
        <w:t>c</w:t>
      </w:r>
      <w:r w:rsidR="00E61216" w:rsidRPr="00E61216">
        <w:t>ease as soon as the student has calmed</w:t>
      </w:r>
      <w:r>
        <w:t>.</w:t>
      </w:r>
    </w:p>
    <w:p w14:paraId="39E56D57" w14:textId="77777777" w:rsidR="00E61216" w:rsidRDefault="00E61216" w:rsidP="00FC4CED">
      <w:pPr>
        <w:rPr>
          <w:rFonts w:cs="Calibri"/>
        </w:rPr>
      </w:pPr>
    </w:p>
    <w:p w14:paraId="746ADA37" w14:textId="7AEB1D3D" w:rsidR="00946867" w:rsidRDefault="00AD14C0" w:rsidP="008C1EED">
      <w:pPr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 xml:space="preserve">603 CMR 46.01. </w:t>
      </w:r>
      <w:r w:rsidR="00C91140">
        <w:rPr>
          <w:rFonts w:eastAsia="Times New Roman" w:cs="Segoe UI"/>
          <w:color w:val="212529"/>
        </w:rPr>
        <w:t xml:space="preserve">Over the last several years, there has been growing attention </w:t>
      </w:r>
      <w:r w:rsidR="00BA55F4">
        <w:rPr>
          <w:rFonts w:eastAsia="Times New Roman" w:cs="Segoe UI"/>
          <w:color w:val="212529"/>
        </w:rPr>
        <w:t xml:space="preserve">to </w:t>
      </w:r>
      <w:r w:rsidR="00B960AF">
        <w:rPr>
          <w:rFonts w:eastAsia="Times New Roman" w:cs="Segoe UI"/>
          <w:color w:val="212529"/>
        </w:rPr>
        <w:t>th</w:t>
      </w:r>
      <w:r w:rsidR="00422765">
        <w:rPr>
          <w:rFonts w:eastAsia="Times New Roman" w:cs="Segoe UI"/>
          <w:color w:val="212529"/>
        </w:rPr>
        <w:t>e use of time</w:t>
      </w:r>
      <w:r w:rsidR="00BA55F4">
        <w:rPr>
          <w:rFonts w:eastAsia="Times New Roman" w:cs="Segoe UI"/>
          <w:color w:val="212529"/>
        </w:rPr>
        <w:t>-</w:t>
      </w:r>
      <w:r w:rsidR="00422765">
        <w:rPr>
          <w:rFonts w:eastAsia="Times New Roman" w:cs="Segoe UI"/>
          <w:color w:val="212529"/>
        </w:rPr>
        <w:t>out</w:t>
      </w:r>
      <w:r w:rsidR="006C2E36">
        <w:rPr>
          <w:rFonts w:eastAsia="Times New Roman" w:cs="Segoe UI"/>
          <w:color w:val="212529"/>
        </w:rPr>
        <w:t xml:space="preserve"> and time</w:t>
      </w:r>
      <w:r w:rsidR="00BA55F4">
        <w:rPr>
          <w:rFonts w:eastAsia="Times New Roman" w:cs="Segoe UI"/>
          <w:color w:val="212529"/>
        </w:rPr>
        <w:t>-</w:t>
      </w:r>
      <w:r w:rsidR="006C2E36">
        <w:rPr>
          <w:rFonts w:eastAsia="Times New Roman" w:cs="Segoe UI"/>
          <w:color w:val="212529"/>
        </w:rPr>
        <w:t>out practices</w:t>
      </w:r>
      <w:r w:rsidR="00563F2B">
        <w:rPr>
          <w:rFonts w:eastAsia="Times New Roman" w:cs="Segoe UI"/>
          <w:color w:val="212529"/>
        </w:rPr>
        <w:t xml:space="preserve"> </w:t>
      </w:r>
      <w:r w:rsidR="002C5FD9">
        <w:rPr>
          <w:rFonts w:eastAsia="Times New Roman" w:cs="Segoe UI"/>
          <w:color w:val="212529"/>
        </w:rPr>
        <w:t>nationally</w:t>
      </w:r>
      <w:r w:rsidR="00816843">
        <w:rPr>
          <w:rFonts w:eastAsia="Times New Roman" w:cs="Segoe UI"/>
          <w:color w:val="212529"/>
        </w:rPr>
        <w:t xml:space="preserve"> as well as in Massachusetts</w:t>
      </w:r>
      <w:r w:rsidR="002C5FD9">
        <w:rPr>
          <w:rFonts w:eastAsia="Times New Roman" w:cs="Segoe UI"/>
          <w:color w:val="212529"/>
        </w:rPr>
        <w:t>.</w:t>
      </w:r>
      <w:r w:rsidR="008C1EED">
        <w:rPr>
          <w:rFonts w:eastAsia="Times New Roman" w:cs="Segoe UI"/>
          <w:color w:val="212529"/>
        </w:rPr>
        <w:t xml:space="preserve"> </w:t>
      </w:r>
      <w:r w:rsidR="00B83D7C">
        <w:rPr>
          <w:rFonts w:eastAsia="Times New Roman" w:cs="Segoe UI"/>
          <w:color w:val="212529"/>
        </w:rPr>
        <w:t>I</w:t>
      </w:r>
      <w:r w:rsidR="005E46A3">
        <w:rPr>
          <w:rFonts w:eastAsia="Times New Roman" w:cs="Segoe UI"/>
          <w:color w:val="212529"/>
        </w:rPr>
        <w:t xml:space="preserve">n the 2020-2021 school year, </w:t>
      </w:r>
      <w:r w:rsidR="002064AC">
        <w:rPr>
          <w:rFonts w:eastAsia="Times New Roman" w:cs="Segoe UI"/>
          <w:color w:val="212529"/>
        </w:rPr>
        <w:t>t</w:t>
      </w:r>
      <w:r w:rsidR="00695B01">
        <w:rPr>
          <w:rFonts w:eastAsia="Times New Roman" w:cs="Segoe UI"/>
          <w:color w:val="212529"/>
        </w:rPr>
        <w:t xml:space="preserve">he Department </w:t>
      </w:r>
      <w:r w:rsidR="00BA55F4">
        <w:rPr>
          <w:rFonts w:eastAsia="Times New Roman" w:cs="Segoe UI"/>
          <w:color w:val="212529"/>
        </w:rPr>
        <w:t xml:space="preserve">of Elementary and Secondary Education </w:t>
      </w:r>
      <w:r w:rsidR="00FC1E4F">
        <w:rPr>
          <w:rFonts w:eastAsia="Times New Roman" w:cs="Segoe UI"/>
          <w:color w:val="212529"/>
        </w:rPr>
        <w:t xml:space="preserve">(Department) </w:t>
      </w:r>
      <w:r w:rsidR="00B83D7C">
        <w:rPr>
          <w:rFonts w:eastAsia="Times New Roman" w:cs="Segoe UI"/>
          <w:color w:val="212529"/>
        </w:rPr>
        <w:t xml:space="preserve">began </w:t>
      </w:r>
      <w:r w:rsidR="00FB2BE3">
        <w:rPr>
          <w:rFonts w:eastAsia="Times New Roman" w:cs="Segoe UI"/>
          <w:color w:val="212529"/>
        </w:rPr>
        <w:t xml:space="preserve">engaging </w:t>
      </w:r>
      <w:r w:rsidR="00946867" w:rsidRPr="00946867">
        <w:rPr>
          <w:rFonts w:eastAsia="Times New Roman" w:cs="Segoe UI"/>
          <w:color w:val="212529"/>
        </w:rPr>
        <w:t xml:space="preserve">with </w:t>
      </w:r>
      <w:r w:rsidR="00A13F74">
        <w:rPr>
          <w:rFonts w:eastAsia="Times New Roman" w:cs="Segoe UI"/>
          <w:color w:val="212529"/>
        </w:rPr>
        <w:t>numerous</w:t>
      </w:r>
      <w:r w:rsidR="00DA18FE">
        <w:rPr>
          <w:rFonts w:eastAsia="Times New Roman" w:cs="Segoe UI"/>
          <w:color w:val="212529"/>
        </w:rPr>
        <w:t xml:space="preserve"> </w:t>
      </w:r>
      <w:r w:rsidR="00946867" w:rsidRPr="00946867">
        <w:rPr>
          <w:rFonts w:eastAsia="Times New Roman" w:cs="Segoe UI"/>
          <w:color w:val="212529"/>
        </w:rPr>
        <w:t xml:space="preserve">stakeholders with the goal of updating </w:t>
      </w:r>
      <w:r w:rsidR="00FB2BE3">
        <w:rPr>
          <w:rFonts w:eastAsia="Times New Roman" w:cs="Segoe UI"/>
          <w:color w:val="212529"/>
        </w:rPr>
        <w:t xml:space="preserve">state education </w:t>
      </w:r>
      <w:r w:rsidR="00946867" w:rsidRPr="00946867">
        <w:rPr>
          <w:rFonts w:eastAsia="Times New Roman" w:cs="Segoe UI"/>
          <w:color w:val="212529"/>
        </w:rPr>
        <w:t>guidance. </w:t>
      </w:r>
      <w:r w:rsidR="00EC18C6">
        <w:rPr>
          <w:rFonts w:eastAsia="Times New Roman" w:cs="Segoe UI"/>
          <w:color w:val="212529"/>
        </w:rPr>
        <w:t>This process resulted in t</w:t>
      </w:r>
      <w:r w:rsidR="00BC3DB7">
        <w:rPr>
          <w:rFonts w:eastAsia="Times New Roman" w:cs="Segoe UI"/>
          <w:color w:val="212529"/>
        </w:rPr>
        <w:t>he Department issu</w:t>
      </w:r>
      <w:r w:rsidR="00EC18C6">
        <w:rPr>
          <w:rFonts w:eastAsia="Times New Roman" w:cs="Segoe UI"/>
          <w:color w:val="212529"/>
        </w:rPr>
        <w:t>ing</w:t>
      </w:r>
      <w:r w:rsidR="00BC3DB7">
        <w:rPr>
          <w:rFonts w:eastAsia="Times New Roman" w:cs="Segoe UI"/>
          <w:color w:val="212529"/>
        </w:rPr>
        <w:t xml:space="preserve"> new guidance </w:t>
      </w:r>
      <w:r w:rsidR="00EC18C6">
        <w:rPr>
          <w:rFonts w:eastAsia="Times New Roman" w:cs="Segoe UI"/>
          <w:color w:val="212529"/>
        </w:rPr>
        <w:t xml:space="preserve">in </w:t>
      </w:r>
      <w:r w:rsidR="00A673E3">
        <w:rPr>
          <w:rFonts w:eastAsia="Times New Roman" w:cs="Segoe UI"/>
          <w:color w:val="212529"/>
        </w:rPr>
        <w:t>September</w:t>
      </w:r>
      <w:r w:rsidR="00EC18C6">
        <w:rPr>
          <w:rFonts w:eastAsia="Times New Roman" w:cs="Segoe UI"/>
          <w:color w:val="212529"/>
        </w:rPr>
        <w:t xml:space="preserve"> 2021, </w:t>
      </w:r>
      <w:r w:rsidR="00BC3DB7">
        <w:rPr>
          <w:rFonts w:eastAsia="Times New Roman" w:cs="Segoe UI"/>
          <w:color w:val="212529"/>
        </w:rPr>
        <w:t>entitled “</w:t>
      </w:r>
      <w:r w:rsidR="00946867" w:rsidRPr="00946867">
        <w:rPr>
          <w:rFonts w:eastAsia="Times New Roman" w:cs="Segoe UI"/>
          <w:color w:val="212529"/>
        </w:rPr>
        <w:t>Reducing or Eliminating the Use of Timeout Rooms</w:t>
      </w:r>
      <w:r w:rsidR="00C339E5">
        <w:rPr>
          <w:rFonts w:eastAsia="Times New Roman" w:cs="Segoe UI"/>
          <w:color w:val="212529"/>
        </w:rPr>
        <w:t xml:space="preserve"> during the 2021-2022 </w:t>
      </w:r>
      <w:r w:rsidR="00C339E5">
        <w:rPr>
          <w:rFonts w:eastAsia="Times New Roman" w:cs="Segoe UI"/>
          <w:color w:val="212529"/>
        </w:rPr>
        <w:lastRenderedPageBreak/>
        <w:t>School Year.</w:t>
      </w:r>
      <w:r w:rsidR="00BC3DB7">
        <w:rPr>
          <w:rFonts w:eastAsia="Times New Roman" w:cs="Segoe UI"/>
          <w:color w:val="212529"/>
        </w:rPr>
        <w:t xml:space="preserve">” </w:t>
      </w:r>
      <w:r w:rsidR="00085160">
        <w:rPr>
          <w:rFonts w:eastAsia="Times New Roman" w:cs="Segoe UI"/>
          <w:color w:val="212529"/>
        </w:rPr>
        <w:t xml:space="preserve"> Th</w:t>
      </w:r>
      <w:r w:rsidR="00C339E5">
        <w:rPr>
          <w:rFonts w:eastAsia="Times New Roman" w:cs="Segoe UI"/>
          <w:color w:val="212529"/>
        </w:rPr>
        <w:t>e</w:t>
      </w:r>
      <w:r w:rsidR="00085160">
        <w:rPr>
          <w:rFonts w:eastAsia="Times New Roman" w:cs="Segoe UI"/>
          <w:color w:val="212529"/>
        </w:rPr>
        <w:t xml:space="preserve"> document replaced exist</w:t>
      </w:r>
      <w:r w:rsidR="00C339E5">
        <w:rPr>
          <w:rFonts w:eastAsia="Times New Roman" w:cs="Segoe UI"/>
          <w:color w:val="212529"/>
        </w:rPr>
        <w:t>ing</w:t>
      </w:r>
      <w:r w:rsidR="00085160">
        <w:rPr>
          <w:rFonts w:eastAsia="Times New Roman" w:cs="Segoe UI"/>
          <w:color w:val="212529"/>
        </w:rPr>
        <w:t xml:space="preserve"> guidance </w:t>
      </w:r>
      <w:r w:rsidR="00CA3200">
        <w:rPr>
          <w:rFonts w:eastAsia="Times New Roman" w:cs="Segoe UI"/>
          <w:color w:val="212529"/>
        </w:rPr>
        <w:t xml:space="preserve">that </w:t>
      </w:r>
      <w:r w:rsidR="00085160">
        <w:rPr>
          <w:rFonts w:eastAsia="Times New Roman" w:cs="Segoe UI"/>
          <w:color w:val="212529"/>
        </w:rPr>
        <w:t xml:space="preserve">was outdated and required clarification. </w:t>
      </w:r>
      <w:r w:rsidR="00CA3200">
        <w:rPr>
          <w:rFonts w:eastAsia="Times New Roman" w:cs="Segoe UI"/>
          <w:color w:val="212529"/>
        </w:rPr>
        <w:t xml:space="preserve">The September </w:t>
      </w:r>
      <w:r w:rsidR="00C51BE9">
        <w:rPr>
          <w:rFonts w:eastAsia="Times New Roman" w:cs="Segoe UI"/>
          <w:color w:val="212529"/>
        </w:rPr>
        <w:t>2021</w:t>
      </w:r>
      <w:r w:rsidR="00CA3200">
        <w:rPr>
          <w:rFonts w:eastAsia="Times New Roman" w:cs="Segoe UI"/>
          <w:color w:val="212529"/>
        </w:rPr>
        <w:t xml:space="preserve"> guidance </w:t>
      </w:r>
      <w:r w:rsidR="005E681A">
        <w:rPr>
          <w:rFonts w:eastAsia="Times New Roman" w:cs="Segoe UI"/>
          <w:color w:val="212529"/>
        </w:rPr>
        <w:t xml:space="preserve">document </w:t>
      </w:r>
      <w:r w:rsidR="00C51BE9">
        <w:rPr>
          <w:rFonts w:eastAsia="Times New Roman" w:cs="Segoe UI"/>
          <w:color w:val="212529"/>
        </w:rPr>
        <w:t>continues in effect</w:t>
      </w:r>
      <w:r w:rsidR="00F85911">
        <w:rPr>
          <w:rFonts w:eastAsia="Times New Roman" w:cs="Segoe UI"/>
          <w:color w:val="212529"/>
        </w:rPr>
        <w:t xml:space="preserve"> today.</w:t>
      </w:r>
    </w:p>
    <w:p w14:paraId="552B35D3" w14:textId="77777777" w:rsidR="00C51BE9" w:rsidRDefault="00C51BE9" w:rsidP="00BC3DB7">
      <w:pPr>
        <w:tabs>
          <w:tab w:val="num" w:pos="720"/>
        </w:tabs>
        <w:rPr>
          <w:rFonts w:eastAsia="Times New Roman" w:cs="Segoe UI"/>
          <w:color w:val="212529"/>
        </w:rPr>
      </w:pPr>
    </w:p>
    <w:p w14:paraId="66135233" w14:textId="06FD2BD4" w:rsidR="00C51BE9" w:rsidRDefault="00D45E11" w:rsidP="00BC3DB7">
      <w:pPr>
        <w:tabs>
          <w:tab w:val="num" w:pos="720"/>
        </w:tabs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>In</w:t>
      </w:r>
      <w:r w:rsidR="00BD2901">
        <w:rPr>
          <w:rFonts w:eastAsia="Times New Roman" w:cs="Segoe UI"/>
          <w:color w:val="212529"/>
        </w:rPr>
        <w:t xml:space="preserve"> </w:t>
      </w:r>
      <w:r w:rsidR="005E681A">
        <w:rPr>
          <w:rFonts w:eastAsia="Times New Roman" w:cs="Segoe UI"/>
          <w:color w:val="212529"/>
        </w:rPr>
        <w:t>s</w:t>
      </w:r>
      <w:r w:rsidR="00BD2901">
        <w:rPr>
          <w:rFonts w:eastAsia="Times New Roman" w:cs="Segoe UI"/>
          <w:color w:val="212529"/>
        </w:rPr>
        <w:t>pring 2024</w:t>
      </w:r>
      <w:r>
        <w:rPr>
          <w:rFonts w:eastAsia="Times New Roman" w:cs="Segoe UI"/>
          <w:color w:val="212529"/>
        </w:rPr>
        <w:t xml:space="preserve">, the </w:t>
      </w:r>
      <w:r w:rsidR="001E626F">
        <w:rPr>
          <w:rFonts w:eastAsia="Times New Roman" w:cs="Segoe UI"/>
          <w:color w:val="212529"/>
        </w:rPr>
        <w:t xml:space="preserve">Department invested </w:t>
      </w:r>
      <w:r w:rsidR="00BD2901">
        <w:rPr>
          <w:rFonts w:eastAsia="Times New Roman" w:cs="Segoe UI"/>
          <w:color w:val="212529"/>
        </w:rPr>
        <w:t>more than $1.5 mil</w:t>
      </w:r>
      <w:r w:rsidR="005E681A">
        <w:rPr>
          <w:rFonts w:eastAsia="Times New Roman" w:cs="Segoe UI"/>
          <w:color w:val="212529"/>
        </w:rPr>
        <w:t>l</w:t>
      </w:r>
      <w:r w:rsidR="00BD2901">
        <w:rPr>
          <w:rFonts w:eastAsia="Times New Roman" w:cs="Segoe UI"/>
          <w:color w:val="212529"/>
        </w:rPr>
        <w:t xml:space="preserve">ion in competitive grants </w:t>
      </w:r>
      <w:r w:rsidR="00E223C3">
        <w:rPr>
          <w:rFonts w:eastAsia="Times New Roman" w:cs="Segoe UI"/>
          <w:color w:val="212529"/>
        </w:rPr>
        <w:t xml:space="preserve">to </w:t>
      </w:r>
      <w:r w:rsidR="00E203E3">
        <w:rPr>
          <w:rFonts w:eastAsia="Times New Roman" w:cs="Segoe UI"/>
          <w:color w:val="212529"/>
        </w:rPr>
        <w:t xml:space="preserve">school </w:t>
      </w:r>
      <w:r w:rsidR="003F0894" w:rsidRPr="003F0894">
        <w:rPr>
          <w:rFonts w:eastAsia="Times New Roman" w:cs="Segoe UI"/>
          <w:color w:val="212529"/>
        </w:rPr>
        <w:t xml:space="preserve">districts and educational collaboratives </w:t>
      </w:r>
      <w:r w:rsidR="00FF5C3B">
        <w:rPr>
          <w:rFonts w:eastAsia="Times New Roman" w:cs="Segoe UI"/>
          <w:color w:val="212529"/>
        </w:rPr>
        <w:t xml:space="preserve">with the goal </w:t>
      </w:r>
      <w:r w:rsidR="003F0894" w:rsidRPr="003F0894">
        <w:rPr>
          <w:rFonts w:eastAsia="Times New Roman" w:cs="Segoe UI"/>
          <w:color w:val="212529"/>
        </w:rPr>
        <w:t>to reduce or eliminate the use of exclusionary time-out rooms and increase the amount of time that students spend learning with their peers. Th</w:t>
      </w:r>
      <w:r w:rsidR="00FF5C3B">
        <w:rPr>
          <w:rFonts w:eastAsia="Times New Roman" w:cs="Segoe UI"/>
          <w:color w:val="212529"/>
        </w:rPr>
        <w:t>e</w:t>
      </w:r>
      <w:r w:rsidR="003F0894" w:rsidRPr="003F0894">
        <w:rPr>
          <w:rFonts w:eastAsia="Times New Roman" w:cs="Segoe UI"/>
          <w:color w:val="212529"/>
        </w:rPr>
        <w:t xml:space="preserve"> funding </w:t>
      </w:r>
      <w:r w:rsidR="00FF5C3B">
        <w:rPr>
          <w:rFonts w:eastAsia="Times New Roman" w:cs="Segoe UI"/>
          <w:color w:val="212529"/>
        </w:rPr>
        <w:t>was</w:t>
      </w:r>
      <w:r w:rsidR="003F0894" w:rsidRPr="003F0894">
        <w:rPr>
          <w:rFonts w:eastAsia="Times New Roman" w:cs="Segoe UI"/>
          <w:color w:val="212529"/>
        </w:rPr>
        <w:t xml:space="preserve"> intended to expand alternative behavioral supports and strategies for students, enable positive educational environments</w:t>
      </w:r>
      <w:r w:rsidR="005E681A">
        <w:rPr>
          <w:rFonts w:eastAsia="Times New Roman" w:cs="Segoe UI"/>
          <w:color w:val="212529"/>
        </w:rPr>
        <w:t>,</w:t>
      </w:r>
      <w:r w:rsidR="003F0894" w:rsidRPr="003F0894">
        <w:rPr>
          <w:rFonts w:eastAsia="Times New Roman" w:cs="Segoe UI"/>
          <w:color w:val="212529"/>
        </w:rPr>
        <w:t xml:space="preserve"> and improve communication and collaboration between schools, parents, and the community to establish holistic support systems.  </w:t>
      </w:r>
    </w:p>
    <w:p w14:paraId="42E064FE" w14:textId="77777777" w:rsidR="001E626F" w:rsidRDefault="001E626F" w:rsidP="00BC3DB7">
      <w:pPr>
        <w:tabs>
          <w:tab w:val="num" w:pos="720"/>
        </w:tabs>
        <w:rPr>
          <w:rFonts w:eastAsia="Times New Roman" w:cs="Segoe UI"/>
          <w:color w:val="212529"/>
        </w:rPr>
      </w:pPr>
    </w:p>
    <w:p w14:paraId="6515A4BB" w14:textId="36EB5DE7" w:rsidR="00D977FC" w:rsidRDefault="001E626F" w:rsidP="00A024AA">
      <w:pPr>
        <w:tabs>
          <w:tab w:val="num" w:pos="720"/>
        </w:tabs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>More recently, in</w:t>
      </w:r>
      <w:r w:rsidR="008D460B">
        <w:rPr>
          <w:rFonts w:eastAsia="Times New Roman" w:cs="Segoe UI"/>
          <w:color w:val="212529"/>
        </w:rPr>
        <w:t xml:space="preserve"> late </w:t>
      </w:r>
      <w:r w:rsidR="00683C3B">
        <w:rPr>
          <w:rFonts w:eastAsia="Times New Roman" w:cs="Segoe UI"/>
          <w:color w:val="212529"/>
        </w:rPr>
        <w:t>s</w:t>
      </w:r>
      <w:r w:rsidR="008D460B">
        <w:rPr>
          <w:rFonts w:eastAsia="Times New Roman" w:cs="Segoe UI"/>
          <w:color w:val="212529"/>
        </w:rPr>
        <w:t xml:space="preserve">ummer and early </w:t>
      </w:r>
      <w:r w:rsidR="00683C3B">
        <w:rPr>
          <w:rFonts w:eastAsia="Times New Roman" w:cs="Segoe UI"/>
          <w:color w:val="212529"/>
        </w:rPr>
        <w:t>f</w:t>
      </w:r>
      <w:r w:rsidR="008D460B">
        <w:rPr>
          <w:rFonts w:eastAsia="Times New Roman" w:cs="Segoe UI"/>
          <w:color w:val="212529"/>
        </w:rPr>
        <w:t>all</w:t>
      </w:r>
      <w:r w:rsidR="005E681A">
        <w:rPr>
          <w:rFonts w:eastAsia="Times New Roman" w:cs="Segoe UI"/>
          <w:color w:val="212529"/>
        </w:rPr>
        <w:t xml:space="preserve"> 2024</w:t>
      </w:r>
      <w:r w:rsidR="008D460B">
        <w:rPr>
          <w:rFonts w:eastAsia="Times New Roman" w:cs="Segoe UI"/>
          <w:color w:val="212529"/>
        </w:rPr>
        <w:t xml:space="preserve">, the Department established a working group to provide input regarding potential regulatory changes. </w:t>
      </w:r>
      <w:r w:rsidR="00255249">
        <w:rPr>
          <w:rFonts w:eastAsia="Times New Roman" w:cs="Segoe UI"/>
          <w:color w:val="212529"/>
        </w:rPr>
        <w:t xml:space="preserve">Members of the working group included </w:t>
      </w:r>
      <w:r w:rsidR="00A024AA">
        <w:rPr>
          <w:rFonts w:eastAsia="Times New Roman" w:cs="Segoe UI"/>
          <w:color w:val="212529"/>
        </w:rPr>
        <w:t xml:space="preserve">representatives from the following organizations: </w:t>
      </w:r>
      <w:r w:rsidR="00D977FC" w:rsidRPr="00D977FC">
        <w:rPr>
          <w:rFonts w:eastAsia="Times New Roman" w:cs="Segoe UI"/>
          <w:color w:val="212529"/>
        </w:rPr>
        <w:t>A</w:t>
      </w:r>
      <w:r w:rsidR="00A024AA">
        <w:rPr>
          <w:rFonts w:eastAsia="Times New Roman" w:cs="Segoe UI"/>
          <w:color w:val="212529"/>
        </w:rPr>
        <w:t xml:space="preserve">merican </w:t>
      </w:r>
      <w:r w:rsidR="00D977FC" w:rsidRPr="00D977FC">
        <w:rPr>
          <w:rFonts w:eastAsia="Times New Roman" w:cs="Segoe UI"/>
          <w:color w:val="212529"/>
        </w:rPr>
        <w:t>F</w:t>
      </w:r>
      <w:r w:rsidR="00A024AA">
        <w:rPr>
          <w:rFonts w:eastAsia="Times New Roman" w:cs="Segoe UI"/>
          <w:color w:val="212529"/>
        </w:rPr>
        <w:t xml:space="preserve">ederation of </w:t>
      </w:r>
      <w:r w:rsidR="00D977FC" w:rsidRPr="00D977FC">
        <w:rPr>
          <w:rFonts w:eastAsia="Times New Roman" w:cs="Segoe UI"/>
          <w:color w:val="212529"/>
        </w:rPr>
        <w:t>T</w:t>
      </w:r>
      <w:r w:rsidR="00A024AA">
        <w:rPr>
          <w:rFonts w:eastAsia="Times New Roman" w:cs="Segoe UI"/>
          <w:color w:val="212529"/>
        </w:rPr>
        <w:t xml:space="preserve">eachers, </w:t>
      </w:r>
      <w:r w:rsidR="00D977FC" w:rsidRPr="00D977FC">
        <w:rPr>
          <w:rFonts w:eastAsia="Times New Roman" w:cs="Segoe UI"/>
          <w:color w:val="212529"/>
        </w:rPr>
        <w:t>A</w:t>
      </w:r>
      <w:r w:rsidR="00A024AA">
        <w:rPr>
          <w:rFonts w:eastAsia="Times New Roman" w:cs="Segoe UI"/>
          <w:color w:val="212529"/>
        </w:rPr>
        <w:t xml:space="preserve">dministrators of Special Education, Disability Law Center, </w:t>
      </w:r>
      <w:proofErr w:type="spellStart"/>
      <w:r w:rsidR="00D977FC" w:rsidRPr="00D977FC">
        <w:rPr>
          <w:rFonts w:eastAsia="Times New Roman" w:cs="Segoe UI"/>
          <w:color w:val="212529"/>
        </w:rPr>
        <w:t>EdLaw</w:t>
      </w:r>
      <w:proofErr w:type="spellEnd"/>
      <w:r w:rsidR="00D977FC" w:rsidRPr="00D977FC">
        <w:rPr>
          <w:rFonts w:eastAsia="Times New Roman" w:cs="Segoe UI"/>
          <w:color w:val="212529"/>
        </w:rPr>
        <w:t xml:space="preserve"> Project</w:t>
      </w:r>
      <w:r w:rsidR="00A024AA">
        <w:rPr>
          <w:rFonts w:eastAsia="Times New Roman" w:cs="Segoe UI"/>
          <w:color w:val="212529"/>
        </w:rPr>
        <w:t xml:space="preserve">, Department of Early </w:t>
      </w:r>
      <w:r w:rsidR="00094345">
        <w:rPr>
          <w:rFonts w:eastAsia="Times New Roman" w:cs="Segoe UI"/>
          <w:color w:val="212529"/>
        </w:rPr>
        <w:t xml:space="preserve">Education and Care, Massachusetts Association of Approved Private Schools, </w:t>
      </w:r>
      <w:r w:rsidR="00A024AA">
        <w:rPr>
          <w:rFonts w:eastAsia="Times New Roman" w:cs="Segoe UI"/>
          <w:color w:val="212529"/>
        </w:rPr>
        <w:t>Massachusetts Advocates for Children</w:t>
      </w:r>
      <w:r w:rsidR="00094345">
        <w:rPr>
          <w:rFonts w:eastAsia="Times New Roman" w:cs="Segoe UI"/>
          <w:color w:val="212529"/>
        </w:rPr>
        <w:t>, Massachusetts Association of School Superintendents, Massachuset</w:t>
      </w:r>
      <w:r w:rsidR="00D771C3">
        <w:rPr>
          <w:rFonts w:eastAsia="Times New Roman" w:cs="Segoe UI"/>
          <w:color w:val="212529"/>
        </w:rPr>
        <w:t>ts</w:t>
      </w:r>
      <w:r w:rsidR="00094345">
        <w:rPr>
          <w:rFonts w:eastAsia="Times New Roman" w:cs="Segoe UI"/>
          <w:color w:val="212529"/>
        </w:rPr>
        <w:t xml:space="preserve"> </w:t>
      </w:r>
      <w:r w:rsidR="00D771C3">
        <w:rPr>
          <w:rFonts w:eastAsia="Times New Roman" w:cs="Segoe UI"/>
          <w:color w:val="212529"/>
        </w:rPr>
        <w:t xml:space="preserve">Charter Public School </w:t>
      </w:r>
      <w:r w:rsidR="007156F1">
        <w:rPr>
          <w:rFonts w:eastAsia="Times New Roman" w:cs="Segoe UI"/>
          <w:color w:val="212529"/>
        </w:rPr>
        <w:t>Association</w:t>
      </w:r>
      <w:r w:rsidR="00D771C3">
        <w:rPr>
          <w:rFonts w:eastAsia="Times New Roman" w:cs="Segoe UI"/>
          <w:color w:val="212529"/>
        </w:rPr>
        <w:t>, Massachusetts Ass</w:t>
      </w:r>
      <w:r w:rsidR="006A6FB8">
        <w:rPr>
          <w:rFonts w:eastAsia="Times New Roman" w:cs="Segoe UI"/>
          <w:color w:val="212529"/>
        </w:rPr>
        <w:t xml:space="preserve">ociation of School </w:t>
      </w:r>
      <w:r w:rsidR="007156F1">
        <w:rPr>
          <w:rFonts w:eastAsia="Times New Roman" w:cs="Segoe UI"/>
          <w:color w:val="212529"/>
        </w:rPr>
        <w:t>Administrators</w:t>
      </w:r>
      <w:r w:rsidR="006A6FB8">
        <w:rPr>
          <w:rFonts w:eastAsia="Times New Roman" w:cs="Segoe UI"/>
          <w:color w:val="212529"/>
        </w:rPr>
        <w:t>, Massachusetts Organization of Educational Collaborative</w:t>
      </w:r>
      <w:r w:rsidR="007156F1">
        <w:rPr>
          <w:rFonts w:eastAsia="Times New Roman" w:cs="Segoe UI"/>
          <w:color w:val="212529"/>
        </w:rPr>
        <w:t>s,</w:t>
      </w:r>
      <w:r w:rsidR="006A6FB8">
        <w:rPr>
          <w:rFonts w:eastAsia="Times New Roman" w:cs="Segoe UI"/>
          <w:color w:val="212529"/>
        </w:rPr>
        <w:t xml:space="preserve"> and the Massachusetts Teachers Association.  </w:t>
      </w:r>
    </w:p>
    <w:p w14:paraId="794F6F8D" w14:textId="77777777" w:rsidR="000F2525" w:rsidRDefault="000F2525" w:rsidP="00A024AA">
      <w:pPr>
        <w:tabs>
          <w:tab w:val="num" w:pos="720"/>
        </w:tabs>
        <w:rPr>
          <w:rFonts w:eastAsia="Times New Roman" w:cs="Segoe UI"/>
          <w:color w:val="212529"/>
        </w:rPr>
      </w:pPr>
    </w:p>
    <w:p w14:paraId="20E7AC86" w14:textId="3C9A8B0A" w:rsidR="000F2525" w:rsidRDefault="000F2525" w:rsidP="000F2525">
      <w:r>
        <w:rPr>
          <w:rFonts w:eastAsia="Times New Roman" w:cs="Segoe UI"/>
          <w:color w:val="212529"/>
        </w:rPr>
        <w:t>At the national level, the U</w:t>
      </w:r>
      <w:r w:rsidR="00E90645">
        <w:rPr>
          <w:rFonts w:eastAsia="Times New Roman" w:cs="Segoe UI"/>
          <w:color w:val="212529"/>
        </w:rPr>
        <w:t>.S.</w:t>
      </w:r>
      <w:r>
        <w:rPr>
          <w:rFonts w:eastAsia="Times New Roman" w:cs="Segoe UI"/>
          <w:color w:val="212529"/>
        </w:rPr>
        <w:t xml:space="preserve"> Department of Education, Office </w:t>
      </w:r>
      <w:r w:rsidR="00DE20DD">
        <w:rPr>
          <w:rFonts w:eastAsia="Times New Roman" w:cs="Segoe UI"/>
          <w:color w:val="212529"/>
        </w:rPr>
        <w:t xml:space="preserve">for </w:t>
      </w:r>
      <w:r>
        <w:rPr>
          <w:rFonts w:eastAsia="Times New Roman" w:cs="Segoe UI"/>
          <w:color w:val="212529"/>
        </w:rPr>
        <w:t>Civil Rights (OCR) issued a Dear Colleague letter in 2016 informing s</w:t>
      </w:r>
      <w:r w:rsidRPr="00584631">
        <w:t>chool districts how the use of seclusion</w:t>
      </w:r>
      <w:r w:rsidR="00987BC4">
        <w:rPr>
          <w:rStyle w:val="FootnoteReference"/>
        </w:rPr>
        <w:footnoteReference w:id="2"/>
      </w:r>
      <w:r w:rsidRPr="00584631">
        <w:t xml:space="preserve"> may result in discrimination against students with </w:t>
      </w:r>
      <w:r>
        <w:t>disabilities</w:t>
      </w:r>
      <w:r w:rsidR="00DE20DD">
        <w:t>,</w:t>
      </w:r>
      <w:r>
        <w:t xml:space="preserve"> </w:t>
      </w:r>
      <w:r w:rsidRPr="003F0F89">
        <w:t>violating Section 504 of the Rehabilitation Act of 1973 and Title II of the Americans with Disabilities Act of 1990</w:t>
      </w:r>
      <w:r>
        <w:t>. It also discussed the legal standards that OCR would use to determine whether seclusion practices violate Section 504 and offered resources to schools and districts. Then, in 2019, the U</w:t>
      </w:r>
      <w:r w:rsidR="004D6973">
        <w:t>.S.</w:t>
      </w:r>
      <w:r>
        <w:t xml:space="preserve"> General Accountability Office (GAO) testified before Congress and reported on the use of seclusion in schools nationwide. </w:t>
      </w:r>
      <w:r w:rsidRPr="002228DB">
        <w:t>Th</w:t>
      </w:r>
      <w:r>
        <w:t>e</w:t>
      </w:r>
      <w:r w:rsidRPr="002228DB">
        <w:t xml:space="preserve"> testimony </w:t>
      </w:r>
      <w:r>
        <w:t xml:space="preserve">also </w:t>
      </w:r>
      <w:r w:rsidRPr="002228DB">
        <w:t>discusse</w:t>
      </w:r>
      <w:r>
        <w:t>d</w:t>
      </w:r>
      <w:r w:rsidRPr="002228DB">
        <w:t xml:space="preserve"> how </w:t>
      </w:r>
      <w:r>
        <w:t>OCR</w:t>
      </w:r>
      <w:r w:rsidRPr="002228DB">
        <w:t xml:space="preserve"> collects data on the use of seclusion, what </w:t>
      </w:r>
      <w:r>
        <w:t xml:space="preserve">the </w:t>
      </w:r>
      <w:r w:rsidRPr="002228DB">
        <w:t xml:space="preserve">data tells us about the use of seclusion in public schools, and initiatives at the federal level to address the use of seclusion. </w:t>
      </w:r>
    </w:p>
    <w:p w14:paraId="72D25B28" w14:textId="77777777" w:rsidR="000F2525" w:rsidRDefault="000F2525" w:rsidP="000F2525"/>
    <w:p w14:paraId="0AFFFC81" w14:textId="1027D1FF" w:rsidR="000F2525" w:rsidRDefault="000F2525" w:rsidP="000F2525">
      <w:pPr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>Since 2021, the U</w:t>
      </w:r>
      <w:r w:rsidR="0009291C">
        <w:rPr>
          <w:rFonts w:eastAsia="Times New Roman" w:cs="Segoe UI"/>
          <w:color w:val="212529"/>
        </w:rPr>
        <w:t>.S.</w:t>
      </w:r>
      <w:r>
        <w:rPr>
          <w:rFonts w:eastAsia="Times New Roman" w:cs="Segoe UI"/>
          <w:color w:val="212529"/>
        </w:rPr>
        <w:t xml:space="preserve"> Department of Justice (DOJ) has brought enforcement actions against various school districts across the country related to time</w:t>
      </w:r>
      <w:r w:rsidR="00E33A9E">
        <w:rPr>
          <w:rFonts w:eastAsia="Times New Roman" w:cs="Segoe UI"/>
          <w:color w:val="212529"/>
        </w:rPr>
        <w:t>-</w:t>
      </w:r>
      <w:r>
        <w:rPr>
          <w:rFonts w:eastAsia="Times New Roman" w:cs="Segoe UI"/>
          <w:color w:val="212529"/>
        </w:rPr>
        <w:t xml:space="preserve">out and seclusion practices and </w:t>
      </w:r>
      <w:r w:rsidR="00271697">
        <w:rPr>
          <w:rFonts w:eastAsia="Times New Roman" w:cs="Segoe UI"/>
          <w:color w:val="212529"/>
        </w:rPr>
        <w:t xml:space="preserve">at least seven </w:t>
      </w:r>
      <w:r>
        <w:rPr>
          <w:rFonts w:eastAsia="Times New Roman" w:cs="Segoe UI"/>
          <w:color w:val="212529"/>
        </w:rPr>
        <w:t>have entered into settlement agreements</w:t>
      </w:r>
      <w:r w:rsidR="00271697">
        <w:rPr>
          <w:rFonts w:eastAsia="Times New Roman" w:cs="Segoe UI"/>
          <w:color w:val="212529"/>
        </w:rPr>
        <w:t>.</w:t>
      </w:r>
      <w:r>
        <w:rPr>
          <w:rFonts w:eastAsia="Times New Roman" w:cs="Segoe UI"/>
          <w:color w:val="212529"/>
        </w:rPr>
        <w:t xml:space="preserve"> </w:t>
      </w:r>
    </w:p>
    <w:p w14:paraId="551A04B7" w14:textId="61A00C74" w:rsidR="00D86307" w:rsidRDefault="00D86307" w:rsidP="004F7285">
      <w:pPr>
        <w:rPr>
          <w:rFonts w:eastAsia="Times New Roman" w:cs="Segoe UI"/>
          <w:color w:val="212529"/>
        </w:rPr>
      </w:pPr>
    </w:p>
    <w:p w14:paraId="317E40E2" w14:textId="4D7A3DE4" w:rsidR="00C82EE1" w:rsidRDefault="000E4C56" w:rsidP="004F7285">
      <w:pPr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 xml:space="preserve">Because the overuse or inappropriate use of time-out and time-out rooms may cause academic loss and trauma to students, it is in the best interest of our students and school communities to reduce or eliminate these practices. </w:t>
      </w:r>
      <w:r w:rsidR="0019178B">
        <w:rPr>
          <w:rFonts w:eastAsia="Times New Roman" w:cs="Segoe UI"/>
          <w:color w:val="212529"/>
        </w:rPr>
        <w:t>After</w:t>
      </w:r>
      <w:r>
        <w:rPr>
          <w:rFonts w:eastAsia="Times New Roman" w:cs="Segoe UI"/>
          <w:color w:val="212529"/>
        </w:rPr>
        <w:t xml:space="preserve"> </w:t>
      </w:r>
      <w:r w:rsidR="00EC0C79">
        <w:rPr>
          <w:rFonts w:eastAsia="Times New Roman" w:cs="Segoe UI"/>
          <w:color w:val="212529"/>
        </w:rPr>
        <w:t xml:space="preserve">analyzing </w:t>
      </w:r>
      <w:r w:rsidR="00915034">
        <w:rPr>
          <w:rFonts w:eastAsia="Times New Roman" w:cs="Segoe UI"/>
          <w:color w:val="212529"/>
        </w:rPr>
        <w:t xml:space="preserve">the </w:t>
      </w:r>
      <w:r w:rsidR="00EC0C79">
        <w:rPr>
          <w:rFonts w:eastAsia="Times New Roman" w:cs="Segoe UI"/>
          <w:color w:val="212529"/>
        </w:rPr>
        <w:t xml:space="preserve">feedback obtained </w:t>
      </w:r>
      <w:r w:rsidR="00EC0C79">
        <w:rPr>
          <w:rFonts w:eastAsia="Times New Roman" w:cs="Segoe UI"/>
          <w:color w:val="212529"/>
        </w:rPr>
        <w:lastRenderedPageBreak/>
        <w:t xml:space="preserve">from </w:t>
      </w:r>
      <w:r w:rsidR="0055504E">
        <w:rPr>
          <w:rFonts w:eastAsia="Times New Roman" w:cs="Segoe UI"/>
          <w:color w:val="212529"/>
        </w:rPr>
        <w:t xml:space="preserve">the </w:t>
      </w:r>
      <w:r w:rsidR="007A5A59">
        <w:rPr>
          <w:rFonts w:eastAsia="Times New Roman" w:cs="Segoe UI"/>
          <w:color w:val="212529"/>
        </w:rPr>
        <w:t xml:space="preserve">Department’s </w:t>
      </w:r>
      <w:r w:rsidR="00DF4248">
        <w:rPr>
          <w:rFonts w:eastAsia="Times New Roman" w:cs="Segoe UI"/>
          <w:color w:val="212529"/>
        </w:rPr>
        <w:t xml:space="preserve">summer-fall </w:t>
      </w:r>
      <w:r w:rsidR="005D437D">
        <w:rPr>
          <w:rFonts w:eastAsia="Times New Roman" w:cs="Segoe UI"/>
          <w:color w:val="212529"/>
        </w:rPr>
        <w:t xml:space="preserve">2024 </w:t>
      </w:r>
      <w:r w:rsidR="0055504E">
        <w:rPr>
          <w:rFonts w:eastAsia="Times New Roman" w:cs="Segoe UI"/>
          <w:color w:val="212529"/>
        </w:rPr>
        <w:t>working group</w:t>
      </w:r>
      <w:r w:rsidR="005C6FB7">
        <w:rPr>
          <w:rFonts w:eastAsia="Times New Roman" w:cs="Segoe UI"/>
          <w:color w:val="212529"/>
        </w:rPr>
        <w:t xml:space="preserve"> as well as </w:t>
      </w:r>
      <w:r w:rsidR="00066801">
        <w:rPr>
          <w:rFonts w:eastAsia="Times New Roman" w:cs="Segoe UI"/>
          <w:color w:val="212529"/>
        </w:rPr>
        <w:t>multiple discussions</w:t>
      </w:r>
      <w:r w:rsidR="005C6FB7">
        <w:rPr>
          <w:rFonts w:eastAsia="Times New Roman" w:cs="Segoe UI"/>
          <w:color w:val="212529"/>
        </w:rPr>
        <w:t xml:space="preserve"> with key stakeholders</w:t>
      </w:r>
      <w:r w:rsidR="002B65B5">
        <w:rPr>
          <w:rFonts w:eastAsia="Times New Roman" w:cs="Segoe UI"/>
          <w:color w:val="212529"/>
        </w:rPr>
        <w:t>,</w:t>
      </w:r>
      <w:r w:rsidR="0055504E">
        <w:rPr>
          <w:rFonts w:eastAsia="Times New Roman" w:cs="Segoe UI"/>
          <w:color w:val="212529"/>
        </w:rPr>
        <w:t xml:space="preserve"> </w:t>
      </w:r>
      <w:r w:rsidR="00703B96">
        <w:rPr>
          <w:rFonts w:eastAsia="Times New Roman" w:cs="Segoe UI"/>
          <w:color w:val="212529"/>
        </w:rPr>
        <w:t xml:space="preserve">I expect to </w:t>
      </w:r>
      <w:r w:rsidR="00915034">
        <w:rPr>
          <w:rFonts w:eastAsia="Times New Roman" w:cs="Segoe UI"/>
          <w:color w:val="212529"/>
        </w:rPr>
        <w:t xml:space="preserve">propose amended regulations </w:t>
      </w:r>
      <w:r w:rsidR="00C82EE1">
        <w:rPr>
          <w:rFonts w:eastAsia="Times New Roman" w:cs="Segoe UI"/>
          <w:color w:val="212529"/>
        </w:rPr>
        <w:t xml:space="preserve">for the Board’s consideration at the February </w:t>
      </w:r>
      <w:r w:rsidR="005E5C6A">
        <w:rPr>
          <w:rFonts w:eastAsia="Times New Roman" w:cs="Segoe UI"/>
          <w:color w:val="212529"/>
        </w:rPr>
        <w:t xml:space="preserve">2025 </w:t>
      </w:r>
      <w:r w:rsidR="00C82EE1">
        <w:rPr>
          <w:rFonts w:eastAsia="Times New Roman" w:cs="Segoe UI"/>
          <w:color w:val="212529"/>
        </w:rPr>
        <w:t>Board meeting.</w:t>
      </w:r>
      <w:r w:rsidR="005E5C6A">
        <w:rPr>
          <w:rFonts w:eastAsia="Times New Roman" w:cs="Segoe UI"/>
          <w:color w:val="212529"/>
        </w:rPr>
        <w:t xml:space="preserve"> </w:t>
      </w:r>
      <w:r w:rsidR="002C38C2">
        <w:rPr>
          <w:rFonts w:eastAsia="Times New Roman" w:cs="Segoe UI"/>
          <w:color w:val="212529"/>
        </w:rPr>
        <w:t xml:space="preserve">The proposals would </w:t>
      </w:r>
      <w:r w:rsidR="002535F6">
        <w:rPr>
          <w:rFonts w:eastAsia="Times New Roman" w:cs="Segoe UI"/>
          <w:color w:val="212529"/>
        </w:rPr>
        <w:t xml:space="preserve">further </w:t>
      </w:r>
      <w:r w:rsidR="00F92475">
        <w:rPr>
          <w:rFonts w:eastAsia="Times New Roman" w:cs="Segoe UI"/>
          <w:color w:val="212529"/>
        </w:rPr>
        <w:t>the</w:t>
      </w:r>
      <w:r w:rsidR="002535F6">
        <w:rPr>
          <w:rFonts w:eastAsia="Times New Roman" w:cs="Segoe UI"/>
          <w:color w:val="212529"/>
        </w:rPr>
        <w:t xml:space="preserve"> work </w:t>
      </w:r>
      <w:r w:rsidR="00F92475">
        <w:rPr>
          <w:rFonts w:eastAsia="Times New Roman" w:cs="Segoe UI"/>
          <w:color w:val="212529"/>
        </w:rPr>
        <w:t xml:space="preserve">we launched in September 2021 </w:t>
      </w:r>
      <w:r w:rsidR="00E64881">
        <w:rPr>
          <w:rFonts w:eastAsia="Times New Roman" w:cs="Segoe UI"/>
          <w:color w:val="212529"/>
        </w:rPr>
        <w:t xml:space="preserve">to reduce or eliminate </w:t>
      </w:r>
      <w:r w:rsidR="002535F6">
        <w:rPr>
          <w:rFonts w:eastAsia="Times New Roman" w:cs="Segoe UI"/>
          <w:color w:val="212529"/>
        </w:rPr>
        <w:t>the use of time</w:t>
      </w:r>
      <w:r w:rsidR="00E64881">
        <w:rPr>
          <w:rFonts w:eastAsia="Times New Roman" w:cs="Segoe UI"/>
          <w:color w:val="212529"/>
        </w:rPr>
        <w:t>-</w:t>
      </w:r>
      <w:r w:rsidR="002535F6">
        <w:rPr>
          <w:rFonts w:eastAsia="Times New Roman" w:cs="Segoe UI"/>
          <w:color w:val="212529"/>
        </w:rPr>
        <w:t>out</w:t>
      </w:r>
      <w:r w:rsidR="0047726C">
        <w:rPr>
          <w:rFonts w:eastAsia="Times New Roman" w:cs="Segoe UI"/>
          <w:color w:val="212529"/>
        </w:rPr>
        <w:t xml:space="preserve"> </w:t>
      </w:r>
      <w:r w:rsidR="00277B7E">
        <w:rPr>
          <w:rFonts w:eastAsia="Times New Roman" w:cs="Segoe UI"/>
          <w:color w:val="212529"/>
        </w:rPr>
        <w:t>practices</w:t>
      </w:r>
      <w:r w:rsidR="0047726C">
        <w:rPr>
          <w:rFonts w:eastAsia="Times New Roman" w:cs="Segoe UI"/>
          <w:color w:val="212529"/>
        </w:rPr>
        <w:t xml:space="preserve"> in Massachusetts educational settings.</w:t>
      </w:r>
      <w:r w:rsidR="005230B0">
        <w:rPr>
          <w:rFonts w:eastAsia="Times New Roman" w:cs="Segoe UI"/>
          <w:color w:val="212529"/>
        </w:rPr>
        <w:t xml:space="preserve">  </w:t>
      </w:r>
    </w:p>
    <w:p w14:paraId="0F2DFB90" w14:textId="77777777" w:rsidR="004F7285" w:rsidRDefault="004F7285" w:rsidP="004F7285">
      <w:pPr>
        <w:rPr>
          <w:rFonts w:eastAsia="Times New Roman" w:cs="Segoe UI"/>
          <w:color w:val="212529"/>
        </w:rPr>
      </w:pPr>
    </w:p>
    <w:p w14:paraId="0C04C48F" w14:textId="65A52BB8" w:rsidR="009B142D" w:rsidRDefault="009B142D" w:rsidP="0094216B">
      <w:pPr>
        <w:rPr>
          <w:rFonts w:ascii="Arial" w:eastAsia="Times New Roman" w:hAnsi="Arial" w:cs="Arial"/>
          <w:color w:val="212529"/>
        </w:rPr>
      </w:pPr>
      <w:r w:rsidRPr="42DBEE77">
        <w:rPr>
          <w:rFonts w:eastAsia="Times New Roman" w:cs="Segoe UI"/>
          <w:color w:val="212529"/>
        </w:rPr>
        <w:t xml:space="preserve">At the </w:t>
      </w:r>
      <w:r w:rsidR="00C72795">
        <w:rPr>
          <w:rFonts w:cs="Segoe UI"/>
          <w:color w:val="212529"/>
        </w:rPr>
        <w:t>January</w:t>
      </w:r>
      <w:r w:rsidRPr="42DBEE77">
        <w:rPr>
          <w:rFonts w:cs="Segoe UI"/>
          <w:color w:val="212529"/>
        </w:rPr>
        <w:t xml:space="preserve"> 2</w:t>
      </w:r>
      <w:r w:rsidR="002641D5">
        <w:rPr>
          <w:rFonts w:cs="Segoe UI"/>
          <w:color w:val="212529"/>
        </w:rPr>
        <w:t>8</w:t>
      </w:r>
      <w:r w:rsidRPr="42DBEE77">
        <w:rPr>
          <w:rFonts w:eastAsia="Times New Roman" w:cs="Segoe UI"/>
          <w:color w:val="212529"/>
        </w:rPr>
        <w:t xml:space="preserve"> meeting, </w:t>
      </w:r>
      <w:r w:rsidR="002641D5">
        <w:rPr>
          <w:rFonts w:eastAsia="Times New Roman" w:cs="Segoe UI"/>
          <w:color w:val="212529"/>
        </w:rPr>
        <w:t>Iraida J. Álvarez</w:t>
      </w:r>
      <w:r w:rsidR="0094216B">
        <w:rPr>
          <w:rFonts w:eastAsia="Times New Roman" w:cs="Segoe UI"/>
          <w:color w:val="212529"/>
        </w:rPr>
        <w:t xml:space="preserve">, </w:t>
      </w:r>
      <w:r w:rsidR="002641D5">
        <w:rPr>
          <w:rFonts w:eastAsia="Times New Roman" w:cs="Segoe UI"/>
          <w:color w:val="212529"/>
        </w:rPr>
        <w:t>Acting Executive Director of Special Education</w:t>
      </w:r>
      <w:r w:rsidR="00CA6531">
        <w:rPr>
          <w:rFonts w:eastAsia="Times New Roman" w:cs="Segoe UI"/>
          <w:color w:val="212529"/>
        </w:rPr>
        <w:t>,</w:t>
      </w:r>
      <w:r w:rsidR="00246EF3">
        <w:rPr>
          <w:rFonts w:eastAsia="Times New Roman" w:cs="Segoe UI"/>
          <w:color w:val="212529"/>
        </w:rPr>
        <w:t xml:space="preserve"> Jamie Camacho, Acting State Director of Special Education,</w:t>
      </w:r>
      <w:r w:rsidR="0094216B">
        <w:rPr>
          <w:rFonts w:eastAsia="Times New Roman" w:cs="Segoe UI"/>
          <w:color w:val="212529"/>
        </w:rPr>
        <w:t xml:space="preserve"> </w:t>
      </w:r>
      <w:r w:rsidR="00D10AFA">
        <w:rPr>
          <w:rFonts w:eastAsia="Times New Roman" w:cs="Segoe UI"/>
          <w:color w:val="212529"/>
        </w:rPr>
        <w:t>Janelle Rob</w:t>
      </w:r>
      <w:r w:rsidR="004B3CF7">
        <w:rPr>
          <w:rFonts w:eastAsia="Times New Roman" w:cs="Segoe UI"/>
          <w:color w:val="212529"/>
        </w:rPr>
        <w:t>e</w:t>
      </w:r>
      <w:r w:rsidR="00D10AFA">
        <w:rPr>
          <w:rFonts w:eastAsia="Times New Roman" w:cs="Segoe UI"/>
          <w:color w:val="212529"/>
        </w:rPr>
        <w:t>rts, Director of the Office of Approved Special Education Schools</w:t>
      </w:r>
      <w:r w:rsidR="00246EF3">
        <w:rPr>
          <w:rFonts w:eastAsia="Times New Roman" w:cs="Segoe UI"/>
          <w:color w:val="212529"/>
        </w:rPr>
        <w:t>,</w:t>
      </w:r>
      <w:r w:rsidR="00D10AFA">
        <w:rPr>
          <w:rFonts w:eastAsia="Times New Roman" w:cs="Segoe UI"/>
          <w:color w:val="212529"/>
        </w:rPr>
        <w:t xml:space="preserve"> and Arabela Thomas, Deputy General Coun</w:t>
      </w:r>
      <w:r w:rsidR="00473007">
        <w:rPr>
          <w:rFonts w:eastAsia="Times New Roman" w:cs="Segoe UI"/>
          <w:color w:val="212529"/>
        </w:rPr>
        <w:t>sel</w:t>
      </w:r>
      <w:r w:rsidR="004B3CF7">
        <w:rPr>
          <w:rFonts w:eastAsia="Times New Roman" w:cs="Segoe UI"/>
          <w:color w:val="212529"/>
        </w:rPr>
        <w:t>,</w:t>
      </w:r>
      <w:r w:rsidR="00473007">
        <w:rPr>
          <w:rFonts w:eastAsia="Times New Roman" w:cs="Segoe UI"/>
          <w:color w:val="212529"/>
        </w:rPr>
        <w:t xml:space="preserve"> </w:t>
      </w:r>
      <w:r w:rsidRPr="42DBEE77">
        <w:rPr>
          <w:rFonts w:eastAsia="Times New Roman" w:cs="Segoe UI"/>
          <w:color w:val="212529"/>
        </w:rPr>
        <w:t>will present to the Board</w:t>
      </w:r>
      <w:r w:rsidR="004E4952">
        <w:rPr>
          <w:rFonts w:eastAsia="Times New Roman" w:cs="Segoe UI"/>
          <w:color w:val="212529"/>
        </w:rPr>
        <w:t>,</w:t>
      </w:r>
      <w:r w:rsidRPr="42DBEE77">
        <w:rPr>
          <w:rFonts w:eastAsia="Times New Roman" w:cs="Segoe UI"/>
          <w:color w:val="212529"/>
        </w:rPr>
        <w:t xml:space="preserve"> invite discussion</w:t>
      </w:r>
      <w:r w:rsidR="00CA6531">
        <w:rPr>
          <w:rFonts w:eastAsia="Times New Roman" w:cs="Segoe UI"/>
          <w:color w:val="212529"/>
        </w:rPr>
        <w:t>,</w:t>
      </w:r>
      <w:r w:rsidR="00473007">
        <w:rPr>
          <w:rFonts w:eastAsia="Times New Roman" w:cs="Segoe UI"/>
          <w:color w:val="212529"/>
        </w:rPr>
        <w:t xml:space="preserve"> and respond to your </w:t>
      </w:r>
      <w:r w:rsidRPr="42DBEE77">
        <w:rPr>
          <w:rFonts w:eastAsia="Times New Roman" w:cs="Segoe UI"/>
          <w:color w:val="212529"/>
        </w:rPr>
        <w:t>questions.</w:t>
      </w:r>
      <w:r w:rsidRPr="42DBEE77">
        <w:rPr>
          <w:rFonts w:ascii="Arial" w:eastAsia="Times New Roman" w:hAnsi="Arial" w:cs="Arial"/>
          <w:color w:val="212529"/>
        </w:rPr>
        <w:t> </w:t>
      </w:r>
    </w:p>
    <w:p w14:paraId="260CBAE8" w14:textId="77777777" w:rsidR="003044DA" w:rsidRDefault="003044DA" w:rsidP="0094216B">
      <w:pPr>
        <w:rPr>
          <w:rFonts w:ascii="Arial" w:eastAsia="Times New Roman" w:hAnsi="Arial" w:cs="Arial"/>
          <w:color w:val="212529"/>
        </w:rPr>
      </w:pPr>
    </w:p>
    <w:p w14:paraId="1B94F948" w14:textId="77777777" w:rsidR="003044DA" w:rsidRPr="006A186F" w:rsidRDefault="003044DA" w:rsidP="00A67F5D">
      <w:pPr>
        <w:rPr>
          <w:rFonts w:cs="Segoe UI"/>
          <w:color w:val="212529"/>
        </w:rPr>
      </w:pPr>
    </w:p>
    <w:p w14:paraId="08C96056" w14:textId="77777777" w:rsidR="00583A97" w:rsidRDefault="00583A97" w:rsidP="00583A97">
      <w:pPr>
        <w:rPr>
          <w:rFonts w:cs="Segoe UI"/>
          <w:color w:val="212529"/>
        </w:rPr>
      </w:pPr>
    </w:p>
    <w:p w14:paraId="08EC158E" w14:textId="77777777" w:rsidR="00583A97" w:rsidRPr="00583A97" w:rsidRDefault="00583A97" w:rsidP="00583A97">
      <w:pPr>
        <w:ind w:left="720"/>
        <w:rPr>
          <w:rFonts w:cs="Segoe UI"/>
          <w:color w:val="212529"/>
        </w:rPr>
      </w:pPr>
    </w:p>
    <w:p w14:paraId="617D4E0E" w14:textId="77777777" w:rsidR="00B60F95" w:rsidRDefault="00B60F95" w:rsidP="00FC4CED">
      <w:pPr>
        <w:rPr>
          <w:rFonts w:cs="Calibri"/>
        </w:rPr>
      </w:pPr>
    </w:p>
    <w:p w14:paraId="6A0940AB" w14:textId="77777777" w:rsidR="00B60F95" w:rsidRDefault="00B60F95" w:rsidP="00FC4CED">
      <w:pPr>
        <w:rPr>
          <w:rFonts w:cs="Calibri"/>
        </w:rPr>
      </w:pPr>
    </w:p>
    <w:p w14:paraId="3C799DE1" w14:textId="77777777" w:rsidR="009B240E" w:rsidRPr="00503255" w:rsidRDefault="009B240E">
      <w:pPr>
        <w:rPr>
          <w:rFonts w:cs="Calibri"/>
        </w:rPr>
      </w:pPr>
    </w:p>
    <w:sectPr w:rsidR="009B240E" w:rsidRPr="00503255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AEE4" w14:textId="77777777" w:rsidR="00955D65" w:rsidRDefault="00955D65" w:rsidP="00ED5501">
      <w:r>
        <w:separator/>
      </w:r>
    </w:p>
  </w:endnote>
  <w:endnote w:type="continuationSeparator" w:id="0">
    <w:p w14:paraId="63BA53F9" w14:textId="77777777" w:rsidR="00955D65" w:rsidRDefault="00955D65" w:rsidP="00ED5501">
      <w:r>
        <w:continuationSeparator/>
      </w:r>
    </w:p>
  </w:endnote>
  <w:endnote w:type="continuationNotice" w:id="1">
    <w:p w14:paraId="3B83BB3A" w14:textId="77777777" w:rsidR="00955D65" w:rsidRDefault="00955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742A" w14:textId="77777777" w:rsidR="00955D65" w:rsidRDefault="00955D65" w:rsidP="00ED5501">
      <w:r>
        <w:separator/>
      </w:r>
    </w:p>
  </w:footnote>
  <w:footnote w:type="continuationSeparator" w:id="0">
    <w:p w14:paraId="76A32640" w14:textId="77777777" w:rsidR="00955D65" w:rsidRDefault="00955D65" w:rsidP="00ED5501">
      <w:r>
        <w:continuationSeparator/>
      </w:r>
    </w:p>
  </w:footnote>
  <w:footnote w:type="continuationNotice" w:id="1">
    <w:p w14:paraId="3BB3B534" w14:textId="77777777" w:rsidR="00955D65" w:rsidRDefault="00955D65"/>
  </w:footnote>
  <w:footnote w:id="2">
    <w:p w14:paraId="3B56C355" w14:textId="62D11879" w:rsidR="00987BC4" w:rsidRPr="00CF21B6" w:rsidRDefault="00987BC4" w:rsidP="00987BC4">
      <w:pPr>
        <w:rPr>
          <w:rFonts w:eastAsia="Times New Roman" w:cs="Segoe UI"/>
          <w:color w:val="212529"/>
          <w:sz w:val="22"/>
          <w:szCs w:val="22"/>
        </w:rPr>
      </w:pPr>
      <w:r w:rsidRPr="00CF21B6">
        <w:rPr>
          <w:rStyle w:val="FootnoteReference"/>
          <w:sz w:val="22"/>
          <w:szCs w:val="22"/>
        </w:rPr>
        <w:footnoteRef/>
      </w:r>
      <w:r w:rsidRPr="00CF21B6">
        <w:rPr>
          <w:sz w:val="22"/>
          <w:szCs w:val="22"/>
        </w:rPr>
        <w:t xml:space="preserve"> </w:t>
      </w:r>
      <w:r w:rsidR="00E42B0A" w:rsidRPr="00CF21B6">
        <w:rPr>
          <w:rFonts w:eastAsia="Times New Roman" w:cs="Segoe UI"/>
          <w:color w:val="212529"/>
          <w:sz w:val="22"/>
          <w:szCs w:val="22"/>
        </w:rPr>
        <w:t xml:space="preserve">Seclusion is </w:t>
      </w:r>
      <w:r w:rsidR="000C2DF1" w:rsidRPr="00CF21B6">
        <w:rPr>
          <w:rFonts w:eastAsia="Times New Roman" w:cs="Segoe UI"/>
          <w:color w:val="212529"/>
          <w:sz w:val="22"/>
          <w:szCs w:val="22"/>
        </w:rPr>
        <w:t xml:space="preserve">defined as </w:t>
      </w:r>
      <w:r w:rsidR="00E20715" w:rsidRPr="00CF21B6">
        <w:rPr>
          <w:rFonts w:eastAsia="Times New Roman" w:cs="Segoe UI"/>
          <w:color w:val="212529"/>
          <w:sz w:val="22"/>
          <w:szCs w:val="22"/>
        </w:rPr>
        <w:t xml:space="preserve">an involuntary confinement of a student alone in a room or area from which the student is physically prevented from leaving. </w:t>
      </w:r>
    </w:p>
    <w:p w14:paraId="0A90772A" w14:textId="77777777" w:rsidR="00987BC4" w:rsidRDefault="00987BC4" w:rsidP="00987BC4">
      <w:pPr>
        <w:rPr>
          <w:rFonts w:eastAsia="Times New Roman" w:cs="Segoe UI"/>
          <w:color w:val="212529"/>
        </w:rPr>
      </w:pPr>
    </w:p>
    <w:p w14:paraId="6EBC3270" w14:textId="63382D38" w:rsidR="00987BC4" w:rsidRDefault="00987B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043"/>
    <w:multiLevelType w:val="hybridMultilevel"/>
    <w:tmpl w:val="DB5ACE6C"/>
    <w:lvl w:ilvl="0" w:tplc="7F346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C0D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AA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0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B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E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4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0A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7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255E3E"/>
    <w:multiLevelType w:val="hybridMultilevel"/>
    <w:tmpl w:val="78A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70B6"/>
    <w:multiLevelType w:val="multilevel"/>
    <w:tmpl w:val="A46AFF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9664536"/>
    <w:multiLevelType w:val="hybridMultilevel"/>
    <w:tmpl w:val="D70EABE2"/>
    <w:lvl w:ilvl="0" w:tplc="7C5EA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06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EB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69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2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7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4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C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6A3498"/>
    <w:multiLevelType w:val="hybridMultilevel"/>
    <w:tmpl w:val="AF9805B2"/>
    <w:lvl w:ilvl="0" w:tplc="E80A4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CD9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42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65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8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E3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E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8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EC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F37D8"/>
    <w:multiLevelType w:val="hybridMultilevel"/>
    <w:tmpl w:val="4072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2AEE"/>
    <w:multiLevelType w:val="hybridMultilevel"/>
    <w:tmpl w:val="5EF2E7FC"/>
    <w:lvl w:ilvl="0" w:tplc="361A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82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C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AC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4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82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4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05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1CF4"/>
    <w:multiLevelType w:val="hybridMultilevel"/>
    <w:tmpl w:val="EBB8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3577">
    <w:abstractNumId w:val="7"/>
  </w:num>
  <w:num w:numId="2" w16cid:durableId="818886171">
    <w:abstractNumId w:val="5"/>
  </w:num>
  <w:num w:numId="3" w16cid:durableId="2039505382">
    <w:abstractNumId w:val="2"/>
  </w:num>
  <w:num w:numId="4" w16cid:durableId="1784307158">
    <w:abstractNumId w:val="1"/>
  </w:num>
  <w:num w:numId="5" w16cid:durableId="638075641">
    <w:abstractNumId w:val="8"/>
  </w:num>
  <w:num w:numId="6" w16cid:durableId="1680814487">
    <w:abstractNumId w:val="0"/>
  </w:num>
  <w:num w:numId="7" w16cid:durableId="1990478898">
    <w:abstractNumId w:val="4"/>
  </w:num>
  <w:num w:numId="8" w16cid:durableId="1319765319">
    <w:abstractNumId w:val="6"/>
  </w:num>
  <w:num w:numId="9" w16cid:durableId="32092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2818"/>
    <w:rsid w:val="00007584"/>
    <w:rsid w:val="00013471"/>
    <w:rsid w:val="00027CBB"/>
    <w:rsid w:val="00032C6B"/>
    <w:rsid w:val="00040A2B"/>
    <w:rsid w:val="0004206D"/>
    <w:rsid w:val="00043C97"/>
    <w:rsid w:val="00052537"/>
    <w:rsid w:val="0005757A"/>
    <w:rsid w:val="00060ABC"/>
    <w:rsid w:val="00066801"/>
    <w:rsid w:val="00067CC2"/>
    <w:rsid w:val="000722C1"/>
    <w:rsid w:val="000730E6"/>
    <w:rsid w:val="00075DB3"/>
    <w:rsid w:val="00076F97"/>
    <w:rsid w:val="000829E3"/>
    <w:rsid w:val="00085160"/>
    <w:rsid w:val="00087F3C"/>
    <w:rsid w:val="000922CF"/>
    <w:rsid w:val="0009291C"/>
    <w:rsid w:val="00094345"/>
    <w:rsid w:val="000A220E"/>
    <w:rsid w:val="000A649D"/>
    <w:rsid w:val="000A70B3"/>
    <w:rsid w:val="000B0B87"/>
    <w:rsid w:val="000B1DCA"/>
    <w:rsid w:val="000B44D6"/>
    <w:rsid w:val="000B6350"/>
    <w:rsid w:val="000C2DF1"/>
    <w:rsid w:val="000C48C8"/>
    <w:rsid w:val="000C6556"/>
    <w:rsid w:val="000C676E"/>
    <w:rsid w:val="000C7BE1"/>
    <w:rsid w:val="000D4E29"/>
    <w:rsid w:val="000E4C56"/>
    <w:rsid w:val="000E699C"/>
    <w:rsid w:val="000F2525"/>
    <w:rsid w:val="000F2898"/>
    <w:rsid w:val="000F6A18"/>
    <w:rsid w:val="0011108D"/>
    <w:rsid w:val="001130F2"/>
    <w:rsid w:val="00114748"/>
    <w:rsid w:val="00116B9F"/>
    <w:rsid w:val="00133800"/>
    <w:rsid w:val="00141ABD"/>
    <w:rsid w:val="00141E0C"/>
    <w:rsid w:val="00145C5D"/>
    <w:rsid w:val="00146D49"/>
    <w:rsid w:val="00152734"/>
    <w:rsid w:val="0015291B"/>
    <w:rsid w:val="00157497"/>
    <w:rsid w:val="00162E80"/>
    <w:rsid w:val="001677A6"/>
    <w:rsid w:val="00167982"/>
    <w:rsid w:val="00171673"/>
    <w:rsid w:val="00183BA0"/>
    <w:rsid w:val="00187FB1"/>
    <w:rsid w:val="0019178B"/>
    <w:rsid w:val="001919B3"/>
    <w:rsid w:val="00191E94"/>
    <w:rsid w:val="001923DB"/>
    <w:rsid w:val="001942CF"/>
    <w:rsid w:val="00195421"/>
    <w:rsid w:val="0019704B"/>
    <w:rsid w:val="00197E59"/>
    <w:rsid w:val="001A291B"/>
    <w:rsid w:val="001A56AE"/>
    <w:rsid w:val="001A6D46"/>
    <w:rsid w:val="001A6F97"/>
    <w:rsid w:val="001A6FA0"/>
    <w:rsid w:val="001B46E3"/>
    <w:rsid w:val="001B4C93"/>
    <w:rsid w:val="001C69B5"/>
    <w:rsid w:val="001D100A"/>
    <w:rsid w:val="001D2FD9"/>
    <w:rsid w:val="001D424C"/>
    <w:rsid w:val="001D4F47"/>
    <w:rsid w:val="001D7BCB"/>
    <w:rsid w:val="001E2C47"/>
    <w:rsid w:val="001E4D66"/>
    <w:rsid w:val="001E626F"/>
    <w:rsid w:val="001E726E"/>
    <w:rsid w:val="001F4562"/>
    <w:rsid w:val="001F74B1"/>
    <w:rsid w:val="0020140E"/>
    <w:rsid w:val="00203E1C"/>
    <w:rsid w:val="0020418C"/>
    <w:rsid w:val="002064AC"/>
    <w:rsid w:val="00220AFF"/>
    <w:rsid w:val="00223E5C"/>
    <w:rsid w:val="00236A9C"/>
    <w:rsid w:val="002442CA"/>
    <w:rsid w:val="00246117"/>
    <w:rsid w:val="00246EF3"/>
    <w:rsid w:val="0025295E"/>
    <w:rsid w:val="002535F6"/>
    <w:rsid w:val="00254147"/>
    <w:rsid w:val="00255249"/>
    <w:rsid w:val="002641D5"/>
    <w:rsid w:val="00264EED"/>
    <w:rsid w:val="00271697"/>
    <w:rsid w:val="00273A07"/>
    <w:rsid w:val="00277B7E"/>
    <w:rsid w:val="00280695"/>
    <w:rsid w:val="00281926"/>
    <w:rsid w:val="002914C1"/>
    <w:rsid w:val="002A2E76"/>
    <w:rsid w:val="002A4117"/>
    <w:rsid w:val="002A6D58"/>
    <w:rsid w:val="002A6E7F"/>
    <w:rsid w:val="002B2271"/>
    <w:rsid w:val="002B627A"/>
    <w:rsid w:val="002B65B5"/>
    <w:rsid w:val="002C38C2"/>
    <w:rsid w:val="002C3A10"/>
    <w:rsid w:val="002C5FD9"/>
    <w:rsid w:val="002C6F11"/>
    <w:rsid w:val="002D0A4E"/>
    <w:rsid w:val="002D721F"/>
    <w:rsid w:val="002D7CB8"/>
    <w:rsid w:val="002E3038"/>
    <w:rsid w:val="002E51E6"/>
    <w:rsid w:val="002E74DC"/>
    <w:rsid w:val="002E7E2C"/>
    <w:rsid w:val="002F082A"/>
    <w:rsid w:val="002F0A91"/>
    <w:rsid w:val="002F5EDE"/>
    <w:rsid w:val="002F658B"/>
    <w:rsid w:val="003044DA"/>
    <w:rsid w:val="003051F4"/>
    <w:rsid w:val="0030576C"/>
    <w:rsid w:val="00306877"/>
    <w:rsid w:val="00306916"/>
    <w:rsid w:val="003105FE"/>
    <w:rsid w:val="003121DD"/>
    <w:rsid w:val="00315D11"/>
    <w:rsid w:val="003246A4"/>
    <w:rsid w:val="00327D09"/>
    <w:rsid w:val="00331D5F"/>
    <w:rsid w:val="00331F74"/>
    <w:rsid w:val="0033795E"/>
    <w:rsid w:val="0034069E"/>
    <w:rsid w:val="00341AB6"/>
    <w:rsid w:val="00343C8D"/>
    <w:rsid w:val="00345855"/>
    <w:rsid w:val="00356087"/>
    <w:rsid w:val="00362241"/>
    <w:rsid w:val="00376E42"/>
    <w:rsid w:val="003807D9"/>
    <w:rsid w:val="00381D30"/>
    <w:rsid w:val="00384A24"/>
    <w:rsid w:val="00384DE4"/>
    <w:rsid w:val="003905DE"/>
    <w:rsid w:val="00396044"/>
    <w:rsid w:val="003B180D"/>
    <w:rsid w:val="003B67DB"/>
    <w:rsid w:val="003B73CC"/>
    <w:rsid w:val="003C2139"/>
    <w:rsid w:val="003C2368"/>
    <w:rsid w:val="003C4630"/>
    <w:rsid w:val="003D3430"/>
    <w:rsid w:val="003D5024"/>
    <w:rsid w:val="003D72C8"/>
    <w:rsid w:val="003E6E7B"/>
    <w:rsid w:val="003F0894"/>
    <w:rsid w:val="00401027"/>
    <w:rsid w:val="00410384"/>
    <w:rsid w:val="00410B31"/>
    <w:rsid w:val="00411702"/>
    <w:rsid w:val="00411F70"/>
    <w:rsid w:val="00414B19"/>
    <w:rsid w:val="00414EAB"/>
    <w:rsid w:val="0041649E"/>
    <w:rsid w:val="004176EE"/>
    <w:rsid w:val="00420A6A"/>
    <w:rsid w:val="00422765"/>
    <w:rsid w:val="00425C5B"/>
    <w:rsid w:val="00434C49"/>
    <w:rsid w:val="00437C0C"/>
    <w:rsid w:val="00455A3F"/>
    <w:rsid w:val="00456F34"/>
    <w:rsid w:val="0046693C"/>
    <w:rsid w:val="0047136A"/>
    <w:rsid w:val="00473007"/>
    <w:rsid w:val="0047726C"/>
    <w:rsid w:val="004772FA"/>
    <w:rsid w:val="00482DC0"/>
    <w:rsid w:val="004873A1"/>
    <w:rsid w:val="00491764"/>
    <w:rsid w:val="00493796"/>
    <w:rsid w:val="00494AD0"/>
    <w:rsid w:val="004A403E"/>
    <w:rsid w:val="004B060E"/>
    <w:rsid w:val="004B3255"/>
    <w:rsid w:val="004B3CF7"/>
    <w:rsid w:val="004B3D17"/>
    <w:rsid w:val="004B4BD7"/>
    <w:rsid w:val="004B75B8"/>
    <w:rsid w:val="004B7AE4"/>
    <w:rsid w:val="004B7E7A"/>
    <w:rsid w:val="004C2CD2"/>
    <w:rsid w:val="004C40B2"/>
    <w:rsid w:val="004C53BC"/>
    <w:rsid w:val="004D0E66"/>
    <w:rsid w:val="004D6973"/>
    <w:rsid w:val="004D7973"/>
    <w:rsid w:val="004E1A14"/>
    <w:rsid w:val="004E4952"/>
    <w:rsid w:val="004E6C5A"/>
    <w:rsid w:val="004E7807"/>
    <w:rsid w:val="004F504B"/>
    <w:rsid w:val="004F5386"/>
    <w:rsid w:val="004F5B88"/>
    <w:rsid w:val="004F7285"/>
    <w:rsid w:val="005002AF"/>
    <w:rsid w:val="00503255"/>
    <w:rsid w:val="00504FDA"/>
    <w:rsid w:val="005173E7"/>
    <w:rsid w:val="00521BFE"/>
    <w:rsid w:val="005230B0"/>
    <w:rsid w:val="00523D8F"/>
    <w:rsid w:val="0053222C"/>
    <w:rsid w:val="00534A19"/>
    <w:rsid w:val="00541237"/>
    <w:rsid w:val="00543A6E"/>
    <w:rsid w:val="0054619F"/>
    <w:rsid w:val="0055478D"/>
    <w:rsid w:val="0055504E"/>
    <w:rsid w:val="00560FF4"/>
    <w:rsid w:val="00563F2B"/>
    <w:rsid w:val="0057180B"/>
    <w:rsid w:val="005723C1"/>
    <w:rsid w:val="00573B8E"/>
    <w:rsid w:val="00583A97"/>
    <w:rsid w:val="00591E1A"/>
    <w:rsid w:val="005A1A12"/>
    <w:rsid w:val="005A1F33"/>
    <w:rsid w:val="005A2291"/>
    <w:rsid w:val="005A4B54"/>
    <w:rsid w:val="005A7294"/>
    <w:rsid w:val="005B1519"/>
    <w:rsid w:val="005B5E71"/>
    <w:rsid w:val="005C1F12"/>
    <w:rsid w:val="005C34B4"/>
    <w:rsid w:val="005C6FB7"/>
    <w:rsid w:val="005D2AE7"/>
    <w:rsid w:val="005D437D"/>
    <w:rsid w:val="005E46A3"/>
    <w:rsid w:val="005E5C6A"/>
    <w:rsid w:val="005E681A"/>
    <w:rsid w:val="005F3161"/>
    <w:rsid w:val="005F568C"/>
    <w:rsid w:val="005F715A"/>
    <w:rsid w:val="0060267A"/>
    <w:rsid w:val="0060368D"/>
    <w:rsid w:val="00604D7F"/>
    <w:rsid w:val="00605B77"/>
    <w:rsid w:val="00616B28"/>
    <w:rsid w:val="00624325"/>
    <w:rsid w:val="00626EF4"/>
    <w:rsid w:val="00635079"/>
    <w:rsid w:val="00643793"/>
    <w:rsid w:val="00661A20"/>
    <w:rsid w:val="00663848"/>
    <w:rsid w:val="00683992"/>
    <w:rsid w:val="00683C3B"/>
    <w:rsid w:val="006874ED"/>
    <w:rsid w:val="00690D7C"/>
    <w:rsid w:val="006937C1"/>
    <w:rsid w:val="00693A81"/>
    <w:rsid w:val="00694145"/>
    <w:rsid w:val="00694FA7"/>
    <w:rsid w:val="00695B01"/>
    <w:rsid w:val="006A186F"/>
    <w:rsid w:val="006A2784"/>
    <w:rsid w:val="006A6FB8"/>
    <w:rsid w:val="006B334C"/>
    <w:rsid w:val="006C2E36"/>
    <w:rsid w:val="006C51A0"/>
    <w:rsid w:val="006C7702"/>
    <w:rsid w:val="006D36DE"/>
    <w:rsid w:val="006F1BF0"/>
    <w:rsid w:val="006F4D8E"/>
    <w:rsid w:val="007031A6"/>
    <w:rsid w:val="007033DB"/>
    <w:rsid w:val="00703B96"/>
    <w:rsid w:val="007156F1"/>
    <w:rsid w:val="0071695E"/>
    <w:rsid w:val="00721A5C"/>
    <w:rsid w:val="00724F83"/>
    <w:rsid w:val="00725F48"/>
    <w:rsid w:val="007336A1"/>
    <w:rsid w:val="00740DB1"/>
    <w:rsid w:val="00743E82"/>
    <w:rsid w:val="007452AD"/>
    <w:rsid w:val="00745B78"/>
    <w:rsid w:val="00751D46"/>
    <w:rsid w:val="007609E1"/>
    <w:rsid w:val="007622E0"/>
    <w:rsid w:val="00765369"/>
    <w:rsid w:val="00776157"/>
    <w:rsid w:val="0077734B"/>
    <w:rsid w:val="00780418"/>
    <w:rsid w:val="00784651"/>
    <w:rsid w:val="00785431"/>
    <w:rsid w:val="00787373"/>
    <w:rsid w:val="0078756F"/>
    <w:rsid w:val="00787851"/>
    <w:rsid w:val="0079512B"/>
    <w:rsid w:val="007A0511"/>
    <w:rsid w:val="007A5A59"/>
    <w:rsid w:val="007A6260"/>
    <w:rsid w:val="007A75B4"/>
    <w:rsid w:val="007B2FB9"/>
    <w:rsid w:val="007B5BE4"/>
    <w:rsid w:val="007B6228"/>
    <w:rsid w:val="007B6DD9"/>
    <w:rsid w:val="007C1DE3"/>
    <w:rsid w:val="007C4838"/>
    <w:rsid w:val="007E68B5"/>
    <w:rsid w:val="007F39F6"/>
    <w:rsid w:val="007F5B0D"/>
    <w:rsid w:val="00804B5A"/>
    <w:rsid w:val="00805D32"/>
    <w:rsid w:val="00814CB9"/>
    <w:rsid w:val="00816843"/>
    <w:rsid w:val="00823C4B"/>
    <w:rsid w:val="0082558A"/>
    <w:rsid w:val="0083182E"/>
    <w:rsid w:val="00836453"/>
    <w:rsid w:val="0086369A"/>
    <w:rsid w:val="00864232"/>
    <w:rsid w:val="00871B0B"/>
    <w:rsid w:val="00883252"/>
    <w:rsid w:val="00886DF7"/>
    <w:rsid w:val="00887324"/>
    <w:rsid w:val="0089049C"/>
    <w:rsid w:val="008938FC"/>
    <w:rsid w:val="008B0350"/>
    <w:rsid w:val="008C1EED"/>
    <w:rsid w:val="008C4D6A"/>
    <w:rsid w:val="008C6FEC"/>
    <w:rsid w:val="008C7324"/>
    <w:rsid w:val="008D318F"/>
    <w:rsid w:val="008D460B"/>
    <w:rsid w:val="008D7363"/>
    <w:rsid w:val="008E12D1"/>
    <w:rsid w:val="008E53D3"/>
    <w:rsid w:val="008F1449"/>
    <w:rsid w:val="008F58CC"/>
    <w:rsid w:val="008F604F"/>
    <w:rsid w:val="0091138C"/>
    <w:rsid w:val="0091171D"/>
    <w:rsid w:val="00914D5C"/>
    <w:rsid w:val="00915034"/>
    <w:rsid w:val="00915303"/>
    <w:rsid w:val="00923898"/>
    <w:rsid w:val="00932088"/>
    <w:rsid w:val="009327E5"/>
    <w:rsid w:val="00934B6C"/>
    <w:rsid w:val="00934E6C"/>
    <w:rsid w:val="00937629"/>
    <w:rsid w:val="00937E15"/>
    <w:rsid w:val="0094216B"/>
    <w:rsid w:val="0094397E"/>
    <w:rsid w:val="00946867"/>
    <w:rsid w:val="00955811"/>
    <w:rsid w:val="00955D65"/>
    <w:rsid w:val="0096356B"/>
    <w:rsid w:val="0098351F"/>
    <w:rsid w:val="00987BC4"/>
    <w:rsid w:val="00993222"/>
    <w:rsid w:val="009A0E7B"/>
    <w:rsid w:val="009A2561"/>
    <w:rsid w:val="009A28ED"/>
    <w:rsid w:val="009A2CA9"/>
    <w:rsid w:val="009A4E11"/>
    <w:rsid w:val="009A5D40"/>
    <w:rsid w:val="009B0825"/>
    <w:rsid w:val="009B142D"/>
    <w:rsid w:val="009B240E"/>
    <w:rsid w:val="009B3A06"/>
    <w:rsid w:val="009B61D3"/>
    <w:rsid w:val="009C4526"/>
    <w:rsid w:val="009C4D2A"/>
    <w:rsid w:val="009D4E4F"/>
    <w:rsid w:val="009D5DC1"/>
    <w:rsid w:val="009E4172"/>
    <w:rsid w:val="00A024AA"/>
    <w:rsid w:val="00A040F3"/>
    <w:rsid w:val="00A0450B"/>
    <w:rsid w:val="00A05BB7"/>
    <w:rsid w:val="00A07771"/>
    <w:rsid w:val="00A13359"/>
    <w:rsid w:val="00A13F74"/>
    <w:rsid w:val="00A14460"/>
    <w:rsid w:val="00A14986"/>
    <w:rsid w:val="00A14B60"/>
    <w:rsid w:val="00A15C99"/>
    <w:rsid w:val="00A20D29"/>
    <w:rsid w:val="00A2534D"/>
    <w:rsid w:val="00A25357"/>
    <w:rsid w:val="00A26EF6"/>
    <w:rsid w:val="00A271FB"/>
    <w:rsid w:val="00A31860"/>
    <w:rsid w:val="00A3563E"/>
    <w:rsid w:val="00A374E5"/>
    <w:rsid w:val="00A47035"/>
    <w:rsid w:val="00A47DF7"/>
    <w:rsid w:val="00A504E1"/>
    <w:rsid w:val="00A51E59"/>
    <w:rsid w:val="00A576DA"/>
    <w:rsid w:val="00A60A98"/>
    <w:rsid w:val="00A63CD6"/>
    <w:rsid w:val="00A64B25"/>
    <w:rsid w:val="00A65D20"/>
    <w:rsid w:val="00A673E3"/>
    <w:rsid w:val="00A67F5D"/>
    <w:rsid w:val="00A70578"/>
    <w:rsid w:val="00A7794E"/>
    <w:rsid w:val="00A81177"/>
    <w:rsid w:val="00A836BB"/>
    <w:rsid w:val="00A9424C"/>
    <w:rsid w:val="00AA02D1"/>
    <w:rsid w:val="00AA6EE7"/>
    <w:rsid w:val="00AA7927"/>
    <w:rsid w:val="00AB386D"/>
    <w:rsid w:val="00AB437A"/>
    <w:rsid w:val="00AB606A"/>
    <w:rsid w:val="00AB70C2"/>
    <w:rsid w:val="00AC3FAE"/>
    <w:rsid w:val="00AC5766"/>
    <w:rsid w:val="00AD14C0"/>
    <w:rsid w:val="00AD2D14"/>
    <w:rsid w:val="00AF04C1"/>
    <w:rsid w:val="00AF26B9"/>
    <w:rsid w:val="00AF325A"/>
    <w:rsid w:val="00AF4651"/>
    <w:rsid w:val="00AF63BE"/>
    <w:rsid w:val="00B00B4E"/>
    <w:rsid w:val="00B01BEA"/>
    <w:rsid w:val="00B02FF3"/>
    <w:rsid w:val="00B06424"/>
    <w:rsid w:val="00B1058E"/>
    <w:rsid w:val="00B13B6E"/>
    <w:rsid w:val="00B16397"/>
    <w:rsid w:val="00B167E2"/>
    <w:rsid w:val="00B2033C"/>
    <w:rsid w:val="00B261CC"/>
    <w:rsid w:val="00B3660A"/>
    <w:rsid w:val="00B37610"/>
    <w:rsid w:val="00B4569E"/>
    <w:rsid w:val="00B531FF"/>
    <w:rsid w:val="00B558DD"/>
    <w:rsid w:val="00B57E83"/>
    <w:rsid w:val="00B60F95"/>
    <w:rsid w:val="00B654CE"/>
    <w:rsid w:val="00B67427"/>
    <w:rsid w:val="00B67E15"/>
    <w:rsid w:val="00B711AF"/>
    <w:rsid w:val="00B73D5C"/>
    <w:rsid w:val="00B744C8"/>
    <w:rsid w:val="00B74E03"/>
    <w:rsid w:val="00B83B96"/>
    <w:rsid w:val="00B83D7C"/>
    <w:rsid w:val="00B848D4"/>
    <w:rsid w:val="00B85C9C"/>
    <w:rsid w:val="00B86145"/>
    <w:rsid w:val="00B960AF"/>
    <w:rsid w:val="00BA080C"/>
    <w:rsid w:val="00BA0DD6"/>
    <w:rsid w:val="00BA55F4"/>
    <w:rsid w:val="00BB05D7"/>
    <w:rsid w:val="00BB0F02"/>
    <w:rsid w:val="00BB257D"/>
    <w:rsid w:val="00BC0CCB"/>
    <w:rsid w:val="00BC128B"/>
    <w:rsid w:val="00BC3DB7"/>
    <w:rsid w:val="00BC72DF"/>
    <w:rsid w:val="00BC7B59"/>
    <w:rsid w:val="00BD2901"/>
    <w:rsid w:val="00BD5F5B"/>
    <w:rsid w:val="00BD7178"/>
    <w:rsid w:val="00BE3860"/>
    <w:rsid w:val="00BE4F2B"/>
    <w:rsid w:val="00BF7695"/>
    <w:rsid w:val="00C03DF9"/>
    <w:rsid w:val="00C051BF"/>
    <w:rsid w:val="00C1498E"/>
    <w:rsid w:val="00C16F41"/>
    <w:rsid w:val="00C24F65"/>
    <w:rsid w:val="00C339E5"/>
    <w:rsid w:val="00C51BE9"/>
    <w:rsid w:val="00C60E59"/>
    <w:rsid w:val="00C63DAF"/>
    <w:rsid w:val="00C677F0"/>
    <w:rsid w:val="00C71290"/>
    <w:rsid w:val="00C72795"/>
    <w:rsid w:val="00C7284A"/>
    <w:rsid w:val="00C82EE1"/>
    <w:rsid w:val="00C87AD3"/>
    <w:rsid w:val="00C91140"/>
    <w:rsid w:val="00CA1663"/>
    <w:rsid w:val="00CA2414"/>
    <w:rsid w:val="00CA24FE"/>
    <w:rsid w:val="00CA26B3"/>
    <w:rsid w:val="00CA3200"/>
    <w:rsid w:val="00CA4D91"/>
    <w:rsid w:val="00CA6531"/>
    <w:rsid w:val="00CA6862"/>
    <w:rsid w:val="00CB2EB0"/>
    <w:rsid w:val="00CB4153"/>
    <w:rsid w:val="00CB5C7F"/>
    <w:rsid w:val="00CC255F"/>
    <w:rsid w:val="00CC2727"/>
    <w:rsid w:val="00CD0013"/>
    <w:rsid w:val="00CD59CB"/>
    <w:rsid w:val="00CE2BD6"/>
    <w:rsid w:val="00CE35E5"/>
    <w:rsid w:val="00CF21B6"/>
    <w:rsid w:val="00CF3054"/>
    <w:rsid w:val="00CF4F70"/>
    <w:rsid w:val="00CF7AD2"/>
    <w:rsid w:val="00D0029C"/>
    <w:rsid w:val="00D00D37"/>
    <w:rsid w:val="00D014F8"/>
    <w:rsid w:val="00D05C85"/>
    <w:rsid w:val="00D07090"/>
    <w:rsid w:val="00D07CC4"/>
    <w:rsid w:val="00D10AFA"/>
    <w:rsid w:val="00D111CB"/>
    <w:rsid w:val="00D449F8"/>
    <w:rsid w:val="00D45E11"/>
    <w:rsid w:val="00D602E3"/>
    <w:rsid w:val="00D61670"/>
    <w:rsid w:val="00D72A04"/>
    <w:rsid w:val="00D771C3"/>
    <w:rsid w:val="00D86307"/>
    <w:rsid w:val="00D864FB"/>
    <w:rsid w:val="00D94CBB"/>
    <w:rsid w:val="00D95730"/>
    <w:rsid w:val="00D95DD4"/>
    <w:rsid w:val="00D977FC"/>
    <w:rsid w:val="00DA18FE"/>
    <w:rsid w:val="00DA1A6E"/>
    <w:rsid w:val="00DB0427"/>
    <w:rsid w:val="00DB26CF"/>
    <w:rsid w:val="00DB6505"/>
    <w:rsid w:val="00DB72A7"/>
    <w:rsid w:val="00DC1F3E"/>
    <w:rsid w:val="00DC7307"/>
    <w:rsid w:val="00DD4F7C"/>
    <w:rsid w:val="00DD5E27"/>
    <w:rsid w:val="00DE16A1"/>
    <w:rsid w:val="00DE20DD"/>
    <w:rsid w:val="00DF3CC0"/>
    <w:rsid w:val="00DF4248"/>
    <w:rsid w:val="00DF45E6"/>
    <w:rsid w:val="00DF52F9"/>
    <w:rsid w:val="00E04676"/>
    <w:rsid w:val="00E0508B"/>
    <w:rsid w:val="00E12A9A"/>
    <w:rsid w:val="00E15C98"/>
    <w:rsid w:val="00E167C9"/>
    <w:rsid w:val="00E203E3"/>
    <w:rsid w:val="00E20715"/>
    <w:rsid w:val="00E223C3"/>
    <w:rsid w:val="00E23752"/>
    <w:rsid w:val="00E24B80"/>
    <w:rsid w:val="00E2551F"/>
    <w:rsid w:val="00E2624C"/>
    <w:rsid w:val="00E33A9E"/>
    <w:rsid w:val="00E3706A"/>
    <w:rsid w:val="00E40859"/>
    <w:rsid w:val="00E42B0A"/>
    <w:rsid w:val="00E437A4"/>
    <w:rsid w:val="00E43A16"/>
    <w:rsid w:val="00E469D7"/>
    <w:rsid w:val="00E50E57"/>
    <w:rsid w:val="00E51041"/>
    <w:rsid w:val="00E55F2B"/>
    <w:rsid w:val="00E57291"/>
    <w:rsid w:val="00E61216"/>
    <w:rsid w:val="00E64881"/>
    <w:rsid w:val="00E658DA"/>
    <w:rsid w:val="00E86673"/>
    <w:rsid w:val="00E90552"/>
    <w:rsid w:val="00E90645"/>
    <w:rsid w:val="00E9275F"/>
    <w:rsid w:val="00EB1578"/>
    <w:rsid w:val="00EC0C79"/>
    <w:rsid w:val="00EC18C6"/>
    <w:rsid w:val="00EC1C6F"/>
    <w:rsid w:val="00EC5C9A"/>
    <w:rsid w:val="00EC6146"/>
    <w:rsid w:val="00ED5501"/>
    <w:rsid w:val="00ED638F"/>
    <w:rsid w:val="00EF1E26"/>
    <w:rsid w:val="00EF2068"/>
    <w:rsid w:val="00EF42C6"/>
    <w:rsid w:val="00EF7A15"/>
    <w:rsid w:val="00F00298"/>
    <w:rsid w:val="00F0230C"/>
    <w:rsid w:val="00F03D79"/>
    <w:rsid w:val="00F04DB8"/>
    <w:rsid w:val="00F07801"/>
    <w:rsid w:val="00F1371E"/>
    <w:rsid w:val="00F1446C"/>
    <w:rsid w:val="00F214B6"/>
    <w:rsid w:val="00F21893"/>
    <w:rsid w:val="00F23FDB"/>
    <w:rsid w:val="00F24B03"/>
    <w:rsid w:val="00F25452"/>
    <w:rsid w:val="00F31184"/>
    <w:rsid w:val="00F33054"/>
    <w:rsid w:val="00F33A1C"/>
    <w:rsid w:val="00F34F60"/>
    <w:rsid w:val="00F438C7"/>
    <w:rsid w:val="00F502DB"/>
    <w:rsid w:val="00F51043"/>
    <w:rsid w:val="00F57EF0"/>
    <w:rsid w:val="00F62E74"/>
    <w:rsid w:val="00F6662E"/>
    <w:rsid w:val="00F66DD0"/>
    <w:rsid w:val="00F775EA"/>
    <w:rsid w:val="00F807AE"/>
    <w:rsid w:val="00F84789"/>
    <w:rsid w:val="00F85911"/>
    <w:rsid w:val="00F86A48"/>
    <w:rsid w:val="00F9134E"/>
    <w:rsid w:val="00F92475"/>
    <w:rsid w:val="00F9271D"/>
    <w:rsid w:val="00FA01C0"/>
    <w:rsid w:val="00FA5E17"/>
    <w:rsid w:val="00FB2BE3"/>
    <w:rsid w:val="00FC1575"/>
    <w:rsid w:val="00FC1E4F"/>
    <w:rsid w:val="00FC4CED"/>
    <w:rsid w:val="00FD1AD7"/>
    <w:rsid w:val="00FD1E95"/>
    <w:rsid w:val="00FD3488"/>
    <w:rsid w:val="00FD50EF"/>
    <w:rsid w:val="00FE4B15"/>
    <w:rsid w:val="00FF5C3B"/>
    <w:rsid w:val="019B1728"/>
    <w:rsid w:val="04AD8631"/>
    <w:rsid w:val="087F91BF"/>
    <w:rsid w:val="095BB215"/>
    <w:rsid w:val="0BEB49DC"/>
    <w:rsid w:val="10BC6790"/>
    <w:rsid w:val="1192965C"/>
    <w:rsid w:val="12B35FF4"/>
    <w:rsid w:val="1AFDDBFE"/>
    <w:rsid w:val="1D5F5CBC"/>
    <w:rsid w:val="1F45F3AC"/>
    <w:rsid w:val="20CD5BC6"/>
    <w:rsid w:val="243F96F8"/>
    <w:rsid w:val="24F27C9E"/>
    <w:rsid w:val="289437B1"/>
    <w:rsid w:val="29833A94"/>
    <w:rsid w:val="2C03F8E4"/>
    <w:rsid w:val="2CF14F1F"/>
    <w:rsid w:val="401EDDF0"/>
    <w:rsid w:val="419BBC7B"/>
    <w:rsid w:val="42DBEE77"/>
    <w:rsid w:val="44359B7E"/>
    <w:rsid w:val="484C0569"/>
    <w:rsid w:val="48B5F3B7"/>
    <w:rsid w:val="5255CC24"/>
    <w:rsid w:val="5AB3C6FB"/>
    <w:rsid w:val="62CABDC1"/>
    <w:rsid w:val="652714EC"/>
    <w:rsid w:val="6896030D"/>
    <w:rsid w:val="6BCEACEF"/>
    <w:rsid w:val="6CC9609E"/>
    <w:rsid w:val="6D047179"/>
    <w:rsid w:val="718F281B"/>
    <w:rsid w:val="71BBFFC2"/>
    <w:rsid w:val="720C5F0C"/>
    <w:rsid w:val="7272A25A"/>
    <w:rsid w:val="730CA637"/>
    <w:rsid w:val="736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E7F26845-CE1E-4FE3-A7AB-1A68D21D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C4D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7DF30-6542-4852-828F-3FC0667A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2024 Regular Meeting Item 3b: Strategic Objective 3: Accelerated Literacy Reviews in Educator Preparation and Registered Teacher Apprenticeship Program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2025 Regular Meeting Item 4: Discussion on Use of Time-Out Practices</dc:title>
  <dc:subject/>
  <dc:creator>DESE</dc:creator>
  <cp:keywords/>
  <dc:description/>
  <cp:lastModifiedBy>Zou, Dong (EOE)</cp:lastModifiedBy>
  <cp:revision>8</cp:revision>
  <cp:lastPrinted>2024-04-24T14:15:00Z</cp:lastPrinted>
  <dcterms:created xsi:type="dcterms:W3CDTF">2025-01-20T16:51:00Z</dcterms:created>
  <dcterms:modified xsi:type="dcterms:W3CDTF">2025-01-21T21:37:00Z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