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6B58" w14:textId="08D43C57" w:rsidR="004873A1" w:rsidRPr="00503255" w:rsidRDefault="004873A1">
      <w:pPr>
        <w:sectPr w:rsidR="004873A1" w:rsidRPr="00503255" w:rsidSect="0046693C">
          <w:headerReference w:type="default" r:id="rId11"/>
          <w:footerReference w:type="even" r:id="rId12"/>
          <w:footerReference w:type="default" r:id="rId13"/>
          <w:pgSz w:w="12240" w:h="15840"/>
          <w:pgMar w:top="2880" w:right="1440" w:bottom="1440" w:left="1440" w:header="576" w:footer="720" w:gutter="0"/>
          <w:cols w:space="720"/>
          <w:docGrid w:linePitch="360"/>
        </w:sectPr>
      </w:pPr>
    </w:p>
    <w:p w14:paraId="18F7C008" w14:textId="77777777" w:rsidR="003051F4" w:rsidRDefault="003051F4" w:rsidP="003051F4">
      <w:pPr>
        <w:pStyle w:val="Heading1"/>
        <w:jc w:val="center"/>
      </w:pPr>
      <w:r>
        <w:t>MEMORANDUM</w:t>
      </w:r>
    </w:p>
    <w:p w14:paraId="738EC39A" w14:textId="77777777" w:rsidR="003051F4" w:rsidRDefault="003051F4" w:rsidP="003051F4">
      <w:pPr>
        <w:pStyle w:val="Footer"/>
        <w:widowControl w:val="0"/>
        <w:rPr>
          <w:snapToGrid w:val="0"/>
          <w:szCs w:val="20"/>
        </w:rPr>
      </w:pPr>
    </w:p>
    <w:tbl>
      <w:tblPr>
        <w:tblW w:w="0" w:type="auto"/>
        <w:tblLook w:val="01E0" w:firstRow="1" w:lastRow="1" w:firstColumn="1" w:lastColumn="1" w:noHBand="0" w:noVBand="0"/>
      </w:tblPr>
      <w:tblGrid>
        <w:gridCol w:w="1184"/>
        <w:gridCol w:w="8176"/>
      </w:tblGrid>
      <w:tr w:rsidR="003051F4" w14:paraId="4AFB3A98" w14:textId="77777777" w:rsidTr="058B31EF">
        <w:tc>
          <w:tcPr>
            <w:tcW w:w="1184" w:type="dxa"/>
          </w:tcPr>
          <w:p w14:paraId="1CE2DCF6" w14:textId="05507A00" w:rsidR="003051F4" w:rsidRDefault="003051F4" w:rsidP="29833A94">
            <w:pPr>
              <w:rPr>
                <w:b/>
                <w:bCs/>
              </w:rPr>
            </w:pPr>
            <w:r w:rsidRPr="29833A94">
              <w:rPr>
                <w:b/>
                <w:bCs/>
              </w:rPr>
              <w:t>To:</w:t>
            </w:r>
          </w:p>
          <w:p w14:paraId="46F2DCD6" w14:textId="66162364" w:rsidR="003051F4" w:rsidRDefault="003051F4" w:rsidP="29833A94">
            <w:pPr>
              <w:rPr>
                <w:b/>
                <w:bCs/>
              </w:rPr>
            </w:pPr>
          </w:p>
        </w:tc>
        <w:tc>
          <w:tcPr>
            <w:tcW w:w="8176" w:type="dxa"/>
          </w:tcPr>
          <w:p w14:paraId="6E0EDB2D" w14:textId="0FB1D065" w:rsidR="003051F4" w:rsidRDefault="5255CC24" w:rsidP="29833A94">
            <w:pPr>
              <w:pStyle w:val="Footer"/>
              <w:widowControl w:val="0"/>
            </w:pPr>
            <w:r w:rsidRPr="24F27C9E">
              <w:t>Members of the Board of Elementary and Secondary Education</w:t>
            </w:r>
          </w:p>
        </w:tc>
      </w:tr>
      <w:tr w:rsidR="003051F4" w14:paraId="430477D6" w14:textId="77777777" w:rsidTr="058B31EF">
        <w:tc>
          <w:tcPr>
            <w:tcW w:w="1184" w:type="dxa"/>
          </w:tcPr>
          <w:p w14:paraId="32B340E8" w14:textId="25BC05BE" w:rsidR="003051F4" w:rsidRDefault="003051F4" w:rsidP="29833A94">
            <w:pPr>
              <w:rPr>
                <w:b/>
                <w:bCs/>
              </w:rPr>
            </w:pPr>
            <w:r w:rsidRPr="29833A94">
              <w:rPr>
                <w:b/>
                <w:bCs/>
              </w:rPr>
              <w:t>From:</w:t>
            </w:r>
          </w:p>
          <w:p w14:paraId="2303ACC4" w14:textId="49A812B0" w:rsidR="003051F4" w:rsidRDefault="003051F4" w:rsidP="29833A94">
            <w:pPr>
              <w:rPr>
                <w:b/>
                <w:bCs/>
              </w:rPr>
            </w:pPr>
          </w:p>
        </w:tc>
        <w:tc>
          <w:tcPr>
            <w:tcW w:w="8176" w:type="dxa"/>
          </w:tcPr>
          <w:p w14:paraId="5F07A2FC" w14:textId="62CA531B" w:rsidR="001D100A" w:rsidRPr="00947C0C" w:rsidRDefault="1AFDDBFE">
            <w:pPr>
              <w:pStyle w:val="Footer"/>
              <w:widowControl w:val="0"/>
            </w:pPr>
            <w:r w:rsidRPr="24F27C9E">
              <w:t xml:space="preserve">Russell D. Johnston, Acting Commissioner  </w:t>
            </w:r>
          </w:p>
        </w:tc>
      </w:tr>
      <w:tr w:rsidR="003051F4" w14:paraId="40EBC9C0" w14:textId="77777777" w:rsidTr="058B31EF">
        <w:tc>
          <w:tcPr>
            <w:tcW w:w="1184" w:type="dxa"/>
          </w:tcPr>
          <w:p w14:paraId="7A23D1C8" w14:textId="7ED380BD" w:rsidR="003051F4" w:rsidRDefault="003051F4" w:rsidP="29833A94">
            <w:pPr>
              <w:rPr>
                <w:b/>
                <w:bCs/>
              </w:rPr>
            </w:pPr>
            <w:r w:rsidRPr="29833A94">
              <w:rPr>
                <w:b/>
                <w:bCs/>
              </w:rPr>
              <w:t>Date:</w:t>
            </w:r>
          </w:p>
          <w:p w14:paraId="1D7621DD" w14:textId="5A67F8FF" w:rsidR="003051F4" w:rsidRDefault="003051F4" w:rsidP="29833A94">
            <w:pPr>
              <w:rPr>
                <w:b/>
                <w:bCs/>
              </w:rPr>
            </w:pPr>
          </w:p>
        </w:tc>
        <w:tc>
          <w:tcPr>
            <w:tcW w:w="8176" w:type="dxa"/>
          </w:tcPr>
          <w:p w14:paraId="57FDDBF2" w14:textId="6402D6D9" w:rsidR="003051F4" w:rsidRDefault="00135CB4">
            <w:pPr>
              <w:pStyle w:val="Footer"/>
              <w:widowControl w:val="0"/>
            </w:pPr>
            <w:r w:rsidRPr="00135CB4">
              <w:t>March 18, 2025</w:t>
            </w:r>
          </w:p>
        </w:tc>
      </w:tr>
      <w:tr w:rsidR="003051F4" w14:paraId="252EA1D8" w14:textId="77777777" w:rsidTr="058B31EF">
        <w:tc>
          <w:tcPr>
            <w:tcW w:w="1184" w:type="dxa"/>
          </w:tcPr>
          <w:p w14:paraId="30A7A7BD" w14:textId="77777777" w:rsidR="003051F4" w:rsidRDefault="003051F4">
            <w:pPr>
              <w:rPr>
                <w:b/>
              </w:rPr>
            </w:pPr>
            <w:r>
              <w:rPr>
                <w:b/>
              </w:rPr>
              <w:t>Subject:</w:t>
            </w:r>
          </w:p>
        </w:tc>
        <w:tc>
          <w:tcPr>
            <w:tcW w:w="8176" w:type="dxa"/>
          </w:tcPr>
          <w:p w14:paraId="2ADAC119" w14:textId="378E92DB" w:rsidR="003051F4" w:rsidRPr="006D2A10" w:rsidRDefault="7F8C076B" w:rsidP="0B93C4E5">
            <w:pPr>
              <w:pStyle w:val="Footer"/>
              <w:widowControl w:val="0"/>
            </w:pPr>
            <w:r w:rsidRPr="058B31EF">
              <w:rPr>
                <w:rFonts w:eastAsia="Times New Roman" w:cs="Times New Roman"/>
                <w:color w:val="000000" w:themeColor="text1"/>
              </w:rPr>
              <w:t xml:space="preserve">Commonwealth of Massachusetts Virtual Schools – </w:t>
            </w:r>
            <w:r w:rsidR="67F6AB7C" w:rsidRPr="058B31EF">
              <w:rPr>
                <w:rFonts w:eastAsia="Times New Roman" w:cs="Times New Roman"/>
                <w:color w:val="000000" w:themeColor="text1"/>
              </w:rPr>
              <w:t xml:space="preserve">Report </w:t>
            </w:r>
            <w:r w:rsidR="00375CE7" w:rsidRPr="058B31EF">
              <w:rPr>
                <w:rFonts w:eastAsia="Times New Roman" w:cs="Times New Roman"/>
                <w:color w:val="000000" w:themeColor="text1"/>
              </w:rPr>
              <w:t>on Conditions</w:t>
            </w:r>
            <w:r w:rsidR="007F76F7" w:rsidRPr="058B31EF">
              <w:rPr>
                <w:rFonts w:eastAsia="Times New Roman" w:cs="Times New Roman"/>
                <w:color w:val="000000" w:themeColor="text1"/>
              </w:rPr>
              <w:t xml:space="preserve"> for </w:t>
            </w:r>
            <w:r w:rsidR="006D2A10" w:rsidRPr="058B31EF">
              <w:rPr>
                <w:rFonts w:eastAsia="Times New Roman" w:cs="Times New Roman"/>
                <w:color w:val="000000" w:themeColor="text1"/>
              </w:rPr>
              <w:t>Greater</w:t>
            </w:r>
            <w:r w:rsidRPr="058B31EF">
              <w:rPr>
                <w:rFonts w:eastAsia="Times New Roman" w:cs="Times New Roman"/>
                <w:color w:val="000000" w:themeColor="text1"/>
              </w:rPr>
              <w:t xml:space="preserve"> Commonwealth Virtual School and TEC Connections Academy Commonwealth Virtual School</w:t>
            </w:r>
          </w:p>
        </w:tc>
      </w:tr>
    </w:tbl>
    <w:p w14:paraId="09039312" w14:textId="77777777" w:rsidR="003051F4" w:rsidRDefault="003051F4" w:rsidP="003051F4">
      <w:pPr>
        <w:pBdr>
          <w:bottom w:val="single" w:sz="4" w:space="1" w:color="auto"/>
        </w:pBdr>
      </w:pPr>
      <w:bookmarkStart w:id="0" w:name="TO"/>
      <w:bookmarkStart w:id="1" w:name="FROM"/>
      <w:bookmarkStart w:id="2" w:name="DATE"/>
      <w:bookmarkStart w:id="3" w:name="RE"/>
      <w:bookmarkEnd w:id="0"/>
      <w:bookmarkEnd w:id="1"/>
      <w:bookmarkEnd w:id="2"/>
      <w:bookmarkEnd w:id="3"/>
    </w:p>
    <w:p w14:paraId="692DC479" w14:textId="77777777" w:rsidR="003051F4" w:rsidRDefault="003051F4" w:rsidP="003051F4">
      <w:pPr>
        <w:rPr>
          <w:sz w:val="16"/>
        </w:rPr>
        <w:sectPr w:rsidR="003051F4" w:rsidSect="0046693C">
          <w:endnotePr>
            <w:numFmt w:val="decimal"/>
          </w:endnotePr>
          <w:type w:val="continuous"/>
          <w:pgSz w:w="12240" w:h="15840"/>
          <w:pgMar w:top="1440" w:right="1440" w:bottom="1440" w:left="1440" w:header="1440" w:footer="1440" w:gutter="0"/>
          <w:cols w:space="720"/>
          <w:noEndnote/>
        </w:sectPr>
      </w:pPr>
    </w:p>
    <w:p w14:paraId="09697612" w14:textId="77777777" w:rsidR="007E2FA1" w:rsidRDefault="00EF5536" w:rsidP="0B93C4E5">
      <w:pPr>
        <w:spacing w:before="240" w:after="240"/>
        <w:rPr>
          <w:rFonts w:eastAsia="Times New Roman" w:cs="Times New Roman"/>
          <w:color w:val="000000" w:themeColor="text1"/>
        </w:rPr>
      </w:pPr>
      <w:r>
        <w:rPr>
          <w:rFonts w:eastAsia="Times New Roman" w:cs="Times New Roman"/>
          <w:color w:val="000000" w:themeColor="text1"/>
        </w:rPr>
        <w:t xml:space="preserve">Massachusetts law, </w:t>
      </w:r>
      <w:r w:rsidR="007B69A8">
        <w:rPr>
          <w:rFonts w:eastAsia="Times New Roman" w:cs="Times New Roman"/>
          <w:color w:val="000000" w:themeColor="text1"/>
        </w:rPr>
        <w:t>G.L. c. 71</w:t>
      </w:r>
      <w:r w:rsidR="007B69A8" w:rsidRPr="007B69A8">
        <w:rPr>
          <w:rFonts w:eastAsia="Times New Roman" w:cs="Times New Roman"/>
          <w:color w:val="000000" w:themeColor="text1"/>
        </w:rPr>
        <w:t>, § 94, a</w:t>
      </w:r>
      <w:r w:rsidR="007B69A8">
        <w:rPr>
          <w:rFonts w:eastAsia="Times New Roman" w:cs="Times New Roman"/>
          <w:color w:val="000000" w:themeColor="text1"/>
        </w:rPr>
        <w:t xml:space="preserve">uthorizes </w:t>
      </w:r>
      <w:r w:rsidR="0087228C">
        <w:rPr>
          <w:rFonts w:eastAsia="Times New Roman" w:cs="Times New Roman"/>
          <w:color w:val="000000" w:themeColor="text1"/>
        </w:rPr>
        <w:t xml:space="preserve">the Board of Elementary and Secondary Education (Board) to adopt regulations governing publicly funded virtual schools and, through the Department of Elementary and Secondary Education (Department), to oversee the establishment and operation of </w:t>
      </w:r>
      <w:proofErr w:type="gramStart"/>
      <w:r w:rsidR="0087228C">
        <w:rPr>
          <w:rFonts w:eastAsia="Times New Roman" w:cs="Times New Roman"/>
          <w:color w:val="000000" w:themeColor="text1"/>
        </w:rPr>
        <w:t>Commonwealth</w:t>
      </w:r>
      <w:proofErr w:type="gramEnd"/>
      <w:r w:rsidR="0087228C">
        <w:rPr>
          <w:rFonts w:eastAsia="Times New Roman" w:cs="Times New Roman"/>
          <w:color w:val="000000" w:themeColor="text1"/>
        </w:rPr>
        <w:t xml:space="preserve"> of Massachusetts virtual schools (CMVS). A CMVS is a public school governed by a board of trustees where teachers primarily teach from a remote location using the Internet or other computer-based methods and students are not required to be located at the physical premises of the school. </w:t>
      </w:r>
    </w:p>
    <w:p w14:paraId="6F9FA2FA" w14:textId="1664381A" w:rsidR="00F869A3" w:rsidRDefault="00DF4E4B" w:rsidP="0B93C4E5">
      <w:pPr>
        <w:spacing w:before="240" w:after="240"/>
        <w:rPr>
          <w:rFonts w:eastAsia="Times New Roman" w:cs="Times New Roman"/>
          <w:color w:val="000000" w:themeColor="text1"/>
        </w:rPr>
      </w:pPr>
      <w:r>
        <w:rPr>
          <w:rFonts w:eastAsia="Times New Roman" w:cs="Times New Roman"/>
          <w:color w:val="000000" w:themeColor="text1"/>
        </w:rPr>
        <w:t>Two virtual schools current</w:t>
      </w:r>
      <w:r w:rsidR="00B927FC">
        <w:rPr>
          <w:rFonts w:eastAsia="Times New Roman" w:cs="Times New Roman"/>
          <w:color w:val="000000" w:themeColor="text1"/>
        </w:rPr>
        <w:t>ly</w:t>
      </w:r>
      <w:r>
        <w:rPr>
          <w:rFonts w:eastAsia="Times New Roman" w:cs="Times New Roman"/>
          <w:color w:val="000000" w:themeColor="text1"/>
        </w:rPr>
        <w:t xml:space="preserve"> operate in Massachusetts under certificates the Board granted: Greater Commonwealth Virtual School (GCVS) and TEC Connections Academy Commonwealth Virtual School (TECCA). </w:t>
      </w:r>
      <w:r w:rsidR="00C43EA4">
        <w:rPr>
          <w:rFonts w:eastAsia="Times New Roman" w:cs="Times New Roman"/>
          <w:color w:val="000000" w:themeColor="text1"/>
        </w:rPr>
        <w:t xml:space="preserve">Under </w:t>
      </w:r>
      <w:r w:rsidR="0066612D">
        <w:rPr>
          <w:rFonts w:eastAsia="Times New Roman" w:cs="Times New Roman"/>
          <w:color w:val="000000" w:themeColor="text1"/>
        </w:rPr>
        <w:t>G.L. c. 71</w:t>
      </w:r>
      <w:r w:rsidR="0066612D" w:rsidRPr="007B69A8">
        <w:rPr>
          <w:rFonts w:eastAsia="Times New Roman" w:cs="Times New Roman"/>
          <w:color w:val="000000" w:themeColor="text1"/>
        </w:rPr>
        <w:t>, § 94</w:t>
      </w:r>
      <w:r w:rsidR="00C43EA4">
        <w:rPr>
          <w:rFonts w:eastAsia="Times New Roman" w:cs="Times New Roman"/>
          <w:color w:val="000000" w:themeColor="text1"/>
        </w:rPr>
        <w:t>,</w:t>
      </w:r>
      <w:r w:rsidR="0066612D">
        <w:rPr>
          <w:rFonts w:eastAsia="Times New Roman" w:cs="Times New Roman"/>
          <w:color w:val="000000" w:themeColor="text1"/>
        </w:rPr>
        <w:t xml:space="preserve"> and </w:t>
      </w:r>
      <w:r w:rsidR="008A2BA2" w:rsidRPr="4FA79EB7">
        <w:rPr>
          <w:rFonts w:eastAsia="Times New Roman" w:cs="Times New Roman"/>
          <w:color w:val="000000" w:themeColor="text1"/>
        </w:rPr>
        <w:t>603 CMR</w:t>
      </w:r>
      <w:r w:rsidR="007C71CA" w:rsidRPr="4FA79EB7">
        <w:rPr>
          <w:rFonts w:eastAsia="Times New Roman" w:cs="Times New Roman"/>
          <w:color w:val="000000" w:themeColor="text1"/>
        </w:rPr>
        <w:t xml:space="preserve"> 52.11</w:t>
      </w:r>
      <w:r w:rsidR="0066612D">
        <w:rPr>
          <w:rFonts w:eastAsia="Times New Roman" w:cs="Times New Roman"/>
          <w:color w:val="000000" w:themeColor="text1"/>
        </w:rPr>
        <w:t xml:space="preserve">, the Board renewed the certificates of GCVS and TECCA on </w:t>
      </w:r>
      <w:hyperlink r:id="rId14" w:history="1">
        <w:r w:rsidR="0066612D" w:rsidRPr="00072EBE">
          <w:rPr>
            <w:rStyle w:val="Hyperlink"/>
            <w:rFonts w:eastAsia="Times New Roman" w:cs="Times New Roman"/>
          </w:rPr>
          <w:t xml:space="preserve">March </w:t>
        </w:r>
        <w:r w:rsidR="00C63A3D" w:rsidRPr="00072EBE">
          <w:rPr>
            <w:rStyle w:val="Hyperlink"/>
            <w:rFonts w:eastAsia="Times New Roman" w:cs="Times New Roman"/>
          </w:rPr>
          <w:t>22</w:t>
        </w:r>
        <w:r w:rsidR="00C07C26" w:rsidRPr="00072EBE">
          <w:rPr>
            <w:rStyle w:val="Hyperlink"/>
            <w:rFonts w:eastAsia="Times New Roman" w:cs="Times New Roman"/>
          </w:rPr>
          <w:t>, 2022</w:t>
        </w:r>
      </w:hyperlink>
      <w:r w:rsidR="00F869A3">
        <w:rPr>
          <w:rFonts w:eastAsia="Times New Roman" w:cs="Times New Roman"/>
          <w:color w:val="000000" w:themeColor="text1"/>
        </w:rPr>
        <w:t xml:space="preserve"> </w:t>
      </w:r>
      <w:r w:rsidR="00B62A40">
        <w:rPr>
          <w:rFonts w:eastAsia="Times New Roman" w:cs="Times New Roman"/>
          <w:color w:val="000000" w:themeColor="text1"/>
        </w:rPr>
        <w:t xml:space="preserve">and placed conditions on each school’s certificate to remedy concerns documented </w:t>
      </w:r>
      <w:r w:rsidR="00F869A3">
        <w:rPr>
          <w:rFonts w:eastAsia="Times New Roman" w:cs="Times New Roman"/>
          <w:color w:val="000000" w:themeColor="text1"/>
        </w:rPr>
        <w:t>during the renewal process</w:t>
      </w:r>
      <w:r w:rsidR="00B62A40">
        <w:rPr>
          <w:rFonts w:eastAsia="Times New Roman" w:cs="Times New Roman"/>
          <w:color w:val="000000" w:themeColor="text1"/>
        </w:rPr>
        <w:t>.</w:t>
      </w:r>
      <w:r w:rsidR="00B62A40" w:rsidDel="00B62A40">
        <w:rPr>
          <w:rFonts w:eastAsia="Times New Roman" w:cs="Times New Roman"/>
          <w:color w:val="000000" w:themeColor="text1"/>
        </w:rPr>
        <w:t xml:space="preserve"> </w:t>
      </w:r>
      <w:r w:rsidR="00013AAA">
        <w:rPr>
          <w:rFonts w:eastAsia="Times New Roman" w:cs="Times New Roman"/>
          <w:color w:val="000000" w:themeColor="text1"/>
        </w:rPr>
        <w:t xml:space="preserve">This memorandum provides a report on the progress made by each CMVS on the conditions imposed by the Board and includes </w:t>
      </w:r>
      <w:r w:rsidR="00D36815">
        <w:rPr>
          <w:rFonts w:eastAsia="Times New Roman" w:cs="Times New Roman"/>
          <w:color w:val="000000" w:themeColor="text1"/>
        </w:rPr>
        <w:t xml:space="preserve">rationales to support </w:t>
      </w:r>
      <w:r w:rsidR="00013AAA">
        <w:rPr>
          <w:rFonts w:eastAsia="Times New Roman" w:cs="Times New Roman"/>
          <w:color w:val="000000" w:themeColor="text1"/>
        </w:rPr>
        <w:t>my recommendation</w:t>
      </w:r>
      <w:r w:rsidR="00D36815">
        <w:rPr>
          <w:rFonts w:eastAsia="Times New Roman" w:cs="Times New Roman"/>
          <w:color w:val="000000" w:themeColor="text1"/>
        </w:rPr>
        <w:t>s</w:t>
      </w:r>
      <w:r w:rsidR="00013AAA">
        <w:rPr>
          <w:rFonts w:eastAsia="Times New Roman" w:cs="Times New Roman"/>
          <w:color w:val="000000" w:themeColor="text1"/>
        </w:rPr>
        <w:t xml:space="preserve"> </w:t>
      </w:r>
      <w:r w:rsidR="00C43EA4">
        <w:rPr>
          <w:rFonts w:eastAsia="Times New Roman" w:cs="Times New Roman"/>
          <w:color w:val="000000" w:themeColor="text1"/>
        </w:rPr>
        <w:t>regarding these conditions</w:t>
      </w:r>
      <w:r w:rsidR="009523DB">
        <w:rPr>
          <w:rFonts w:eastAsia="Times New Roman" w:cs="Times New Roman"/>
          <w:color w:val="000000" w:themeColor="text1"/>
        </w:rPr>
        <w:t xml:space="preserve">. </w:t>
      </w:r>
    </w:p>
    <w:p w14:paraId="65D7DAAD" w14:textId="2910BB03" w:rsidR="00632C84" w:rsidRPr="00E5397D" w:rsidRDefault="00257CF3" w:rsidP="0B93C4E5">
      <w:pPr>
        <w:spacing w:before="240" w:after="240"/>
        <w:rPr>
          <w:rFonts w:eastAsia="Times New Roman" w:cs="Times New Roman"/>
          <w:color w:val="000000" w:themeColor="text1"/>
        </w:rPr>
      </w:pPr>
      <w:r>
        <w:rPr>
          <w:rFonts w:eastAsia="Times New Roman" w:cs="Times New Roman"/>
          <w:color w:val="000000" w:themeColor="text1"/>
        </w:rPr>
        <w:t xml:space="preserve">Pursuant to the virtual school statute, </w:t>
      </w:r>
      <w:r w:rsidR="00B9607E">
        <w:rPr>
          <w:rFonts w:eastAsia="Times New Roman" w:cs="Times New Roman"/>
          <w:color w:val="000000" w:themeColor="text1"/>
        </w:rPr>
        <w:t>G.L. c. 71</w:t>
      </w:r>
      <w:r w:rsidR="00B9607E" w:rsidRPr="007B69A8">
        <w:rPr>
          <w:rFonts w:eastAsia="Times New Roman" w:cs="Times New Roman"/>
          <w:color w:val="000000" w:themeColor="text1"/>
        </w:rPr>
        <w:t>, § 94</w:t>
      </w:r>
      <w:r w:rsidR="00B9607E">
        <w:rPr>
          <w:rFonts w:eastAsia="Times New Roman" w:cs="Times New Roman"/>
          <w:color w:val="000000" w:themeColor="text1"/>
        </w:rPr>
        <w:t xml:space="preserve">(j), and the CMVS regulations at 603 CMR 52.12, </w:t>
      </w:r>
      <w:r w:rsidR="00D14EDE">
        <w:rPr>
          <w:rFonts w:eastAsia="Times New Roman" w:cs="Times New Roman"/>
          <w:color w:val="000000" w:themeColor="text1"/>
        </w:rPr>
        <w:t xml:space="preserve">I recommend that the Board </w:t>
      </w:r>
      <w:r w:rsidR="00463BD4">
        <w:rPr>
          <w:rFonts w:eastAsia="Times New Roman" w:cs="Times New Roman"/>
          <w:color w:val="000000" w:themeColor="text1"/>
        </w:rPr>
        <w:t xml:space="preserve">remove </w:t>
      </w:r>
      <w:r w:rsidR="004F3D49">
        <w:rPr>
          <w:rFonts w:eastAsia="Times New Roman" w:cs="Times New Roman"/>
          <w:color w:val="000000" w:themeColor="text1"/>
        </w:rPr>
        <w:t>seven conditions imposed on GCVS</w:t>
      </w:r>
      <w:r w:rsidR="007F7B6A">
        <w:rPr>
          <w:rFonts w:eastAsia="Times New Roman" w:cs="Times New Roman"/>
          <w:color w:val="000000" w:themeColor="text1"/>
        </w:rPr>
        <w:t xml:space="preserve"> and extend </w:t>
      </w:r>
      <w:r w:rsidR="00375CE7">
        <w:rPr>
          <w:rFonts w:eastAsia="Times New Roman" w:cs="Times New Roman"/>
          <w:color w:val="000000" w:themeColor="text1"/>
        </w:rPr>
        <w:t xml:space="preserve">one condition related to academic results. </w:t>
      </w:r>
      <w:r w:rsidR="001308FA">
        <w:rPr>
          <w:rFonts w:eastAsia="Times New Roman" w:cs="Times New Roman"/>
          <w:color w:val="000000" w:themeColor="text1"/>
        </w:rPr>
        <w:t xml:space="preserve">Further, I recommend that the Board </w:t>
      </w:r>
      <w:r w:rsidR="001F23B8">
        <w:rPr>
          <w:rFonts w:eastAsia="Times New Roman" w:cs="Times New Roman"/>
          <w:color w:val="000000" w:themeColor="text1"/>
        </w:rPr>
        <w:t xml:space="preserve">remove two conditions imposed on TECCA, extend one condition related to academic results, and impose a new condition </w:t>
      </w:r>
      <w:r w:rsidR="00117FBB">
        <w:rPr>
          <w:rFonts w:eastAsia="Times New Roman" w:cs="Times New Roman"/>
          <w:color w:val="000000" w:themeColor="text1"/>
        </w:rPr>
        <w:t xml:space="preserve">related to the school’s financial oversight. </w:t>
      </w:r>
    </w:p>
    <w:p w14:paraId="27C09126" w14:textId="143F9524" w:rsidR="000075D4" w:rsidRDefault="000075D4" w:rsidP="0B93C4E5">
      <w:pPr>
        <w:spacing w:before="240" w:after="240"/>
        <w:rPr>
          <w:rFonts w:eastAsia="Times New Roman" w:cs="Times New Roman"/>
          <w:color w:val="000000" w:themeColor="text1"/>
        </w:rPr>
      </w:pPr>
      <w:r>
        <w:rPr>
          <w:rFonts w:eastAsia="Times New Roman" w:cs="Times New Roman"/>
          <w:b/>
          <w:bCs/>
          <w:color w:val="000000" w:themeColor="text1"/>
        </w:rPr>
        <w:lastRenderedPageBreak/>
        <w:t>Greater Commonwealth Virtual School</w:t>
      </w:r>
    </w:p>
    <w:tbl>
      <w:tblPr>
        <w:tblStyle w:val="TableGrid"/>
        <w:tblW w:w="4900" w:type="pct"/>
        <w:jc w:val="center"/>
        <w:tblLook w:val="04A0" w:firstRow="1" w:lastRow="0" w:firstColumn="1" w:lastColumn="0" w:noHBand="0" w:noVBand="1"/>
      </w:tblPr>
      <w:tblGrid>
        <w:gridCol w:w="2289"/>
        <w:gridCol w:w="2291"/>
        <w:gridCol w:w="2291"/>
        <w:gridCol w:w="2283"/>
        <w:gridCol w:w="9"/>
      </w:tblGrid>
      <w:tr w:rsidR="00632C84" w14:paraId="729B6E06" w14:textId="77777777">
        <w:trPr>
          <w:jc w:val="center"/>
        </w:trPr>
        <w:tc>
          <w:tcPr>
            <w:tcW w:w="1249" w:type="pct"/>
            <w:shd w:val="clear" w:color="auto" w:fill="F2F2F2" w:themeFill="background1" w:themeFillShade="F2"/>
          </w:tcPr>
          <w:p w14:paraId="65BF28D4" w14:textId="77777777" w:rsidR="00632C84" w:rsidRPr="00211DC2" w:rsidRDefault="00632C84">
            <w:pPr>
              <w:pStyle w:val="Table"/>
              <w:rPr>
                <w:b/>
              </w:rPr>
            </w:pPr>
            <w:r w:rsidRPr="00211DC2">
              <w:rPr>
                <w:b/>
              </w:rPr>
              <w:t>Type of C</w:t>
            </w:r>
            <w:r>
              <w:rPr>
                <w:b/>
              </w:rPr>
              <w:t xml:space="preserve">MVS </w:t>
            </w:r>
          </w:p>
        </w:tc>
        <w:tc>
          <w:tcPr>
            <w:tcW w:w="1250" w:type="pct"/>
          </w:tcPr>
          <w:p w14:paraId="718E2FD8" w14:textId="77777777" w:rsidR="00632C84" w:rsidRDefault="00632C84">
            <w:pPr>
              <w:pStyle w:val="Table"/>
            </w:pPr>
            <w:r>
              <w:t>CMVS 1</w:t>
            </w:r>
          </w:p>
        </w:tc>
        <w:tc>
          <w:tcPr>
            <w:tcW w:w="1250" w:type="pct"/>
            <w:shd w:val="clear" w:color="auto" w:fill="F2F2F2" w:themeFill="background1" w:themeFillShade="F2"/>
          </w:tcPr>
          <w:p w14:paraId="76CE61B5" w14:textId="77777777" w:rsidR="00632C84" w:rsidRPr="00211DC2" w:rsidRDefault="00632C84">
            <w:pPr>
              <w:pStyle w:val="Table"/>
              <w:rPr>
                <w:b/>
              </w:rPr>
            </w:pPr>
            <w:r>
              <w:rPr>
                <w:b/>
              </w:rPr>
              <w:t>Number of D</w:t>
            </w:r>
            <w:r w:rsidRPr="00211DC2">
              <w:rPr>
                <w:b/>
              </w:rPr>
              <w:t xml:space="preserve">istricts </w:t>
            </w:r>
            <w:r>
              <w:rPr>
                <w:b/>
              </w:rPr>
              <w:t>Capped for Enrollment</w:t>
            </w:r>
            <w:r>
              <w:rPr>
                <w:rStyle w:val="FootnoteReference"/>
                <w:b/>
              </w:rPr>
              <w:footnoteReference w:id="2"/>
            </w:r>
          </w:p>
        </w:tc>
        <w:tc>
          <w:tcPr>
            <w:tcW w:w="1251" w:type="pct"/>
            <w:gridSpan w:val="2"/>
          </w:tcPr>
          <w:p w14:paraId="668760DA" w14:textId="77777777" w:rsidR="00632C84" w:rsidRDefault="00632C84">
            <w:pPr>
              <w:pStyle w:val="Table"/>
            </w:pPr>
            <w:r>
              <w:t>27</w:t>
            </w:r>
          </w:p>
        </w:tc>
      </w:tr>
      <w:tr w:rsidR="00632C84" w14:paraId="01111785" w14:textId="77777777">
        <w:trPr>
          <w:jc w:val="center"/>
        </w:trPr>
        <w:tc>
          <w:tcPr>
            <w:tcW w:w="1249" w:type="pct"/>
            <w:shd w:val="clear" w:color="auto" w:fill="F2F2F2" w:themeFill="background1" w:themeFillShade="F2"/>
          </w:tcPr>
          <w:p w14:paraId="4FD8CC6C" w14:textId="77777777" w:rsidR="00632C84" w:rsidRPr="00211DC2" w:rsidRDefault="00632C84">
            <w:pPr>
              <w:pStyle w:val="Table"/>
              <w:rPr>
                <w:b/>
              </w:rPr>
            </w:pPr>
            <w:r w:rsidRPr="00211DC2">
              <w:rPr>
                <w:b/>
              </w:rPr>
              <w:t>Year Opened</w:t>
            </w:r>
          </w:p>
        </w:tc>
        <w:tc>
          <w:tcPr>
            <w:tcW w:w="1250" w:type="pct"/>
          </w:tcPr>
          <w:p w14:paraId="4B2728F8" w14:textId="77777777" w:rsidR="00632C84" w:rsidRDefault="00632C84">
            <w:pPr>
              <w:pStyle w:val="Table"/>
            </w:pPr>
            <w:r>
              <w:t>2013</w:t>
            </w:r>
          </w:p>
        </w:tc>
        <w:tc>
          <w:tcPr>
            <w:tcW w:w="1250" w:type="pct"/>
            <w:shd w:val="clear" w:color="auto" w:fill="F2F2F2" w:themeFill="background1" w:themeFillShade="F2"/>
          </w:tcPr>
          <w:p w14:paraId="385B94DA" w14:textId="77777777" w:rsidR="00632C84" w:rsidRPr="00211DC2" w:rsidRDefault="00632C84">
            <w:pPr>
              <w:pStyle w:val="Table"/>
              <w:rPr>
                <w:b/>
              </w:rPr>
            </w:pPr>
            <w:r>
              <w:rPr>
                <w:b/>
              </w:rPr>
              <w:t>Current Age of School</w:t>
            </w:r>
          </w:p>
        </w:tc>
        <w:tc>
          <w:tcPr>
            <w:tcW w:w="1251" w:type="pct"/>
            <w:gridSpan w:val="2"/>
          </w:tcPr>
          <w:p w14:paraId="2C6A321C" w14:textId="36DC4D63" w:rsidR="00632C84" w:rsidRDefault="00632C84">
            <w:pPr>
              <w:pStyle w:val="Table"/>
            </w:pPr>
            <w:r>
              <w:t>1</w:t>
            </w:r>
            <w:r w:rsidR="00D427F6">
              <w:t>2</w:t>
            </w:r>
          </w:p>
        </w:tc>
      </w:tr>
      <w:tr w:rsidR="00632C84" w14:paraId="7BA4B902" w14:textId="77777777">
        <w:trPr>
          <w:jc w:val="center"/>
        </w:trPr>
        <w:tc>
          <w:tcPr>
            <w:tcW w:w="1249" w:type="pct"/>
            <w:shd w:val="clear" w:color="auto" w:fill="F2F2F2" w:themeFill="background1" w:themeFillShade="F2"/>
          </w:tcPr>
          <w:p w14:paraId="07BFF767" w14:textId="77777777" w:rsidR="00632C84" w:rsidRPr="00211DC2" w:rsidRDefault="00632C84">
            <w:pPr>
              <w:pStyle w:val="Table"/>
              <w:rPr>
                <w:b/>
              </w:rPr>
            </w:pPr>
            <w:r w:rsidRPr="00211DC2">
              <w:rPr>
                <w:b/>
              </w:rPr>
              <w:t>Maximum Enrollment</w:t>
            </w:r>
          </w:p>
        </w:tc>
        <w:tc>
          <w:tcPr>
            <w:tcW w:w="1250" w:type="pct"/>
          </w:tcPr>
          <w:p w14:paraId="6A82D2BA" w14:textId="77777777" w:rsidR="00632C84" w:rsidRDefault="00632C84">
            <w:pPr>
              <w:pStyle w:val="Table"/>
            </w:pPr>
            <w:r>
              <w:t>1,200</w:t>
            </w:r>
          </w:p>
        </w:tc>
        <w:tc>
          <w:tcPr>
            <w:tcW w:w="1250" w:type="pct"/>
            <w:shd w:val="clear" w:color="auto" w:fill="F2F2F2" w:themeFill="background1" w:themeFillShade="F2"/>
          </w:tcPr>
          <w:p w14:paraId="37DB2AA3" w14:textId="77777777" w:rsidR="00632C84" w:rsidRPr="00211DC2" w:rsidRDefault="00632C84">
            <w:pPr>
              <w:pStyle w:val="Table"/>
              <w:rPr>
                <w:b/>
              </w:rPr>
            </w:pPr>
            <w:r w:rsidRPr="00211DC2">
              <w:rPr>
                <w:b/>
              </w:rPr>
              <w:t>Current Enrollment</w:t>
            </w:r>
          </w:p>
        </w:tc>
        <w:tc>
          <w:tcPr>
            <w:tcW w:w="1251" w:type="pct"/>
            <w:gridSpan w:val="2"/>
          </w:tcPr>
          <w:p w14:paraId="6DFF7126" w14:textId="72AADB0C" w:rsidR="00632C84" w:rsidRDefault="00632C84">
            <w:pPr>
              <w:pStyle w:val="Table"/>
            </w:pPr>
            <w:r>
              <w:t>1,1</w:t>
            </w:r>
            <w:r w:rsidR="00D3449D">
              <w:t>84 (October 2024)</w:t>
            </w:r>
          </w:p>
        </w:tc>
      </w:tr>
      <w:tr w:rsidR="00632C84" w14:paraId="7EC0EACD" w14:textId="77777777">
        <w:trPr>
          <w:jc w:val="center"/>
        </w:trPr>
        <w:tc>
          <w:tcPr>
            <w:tcW w:w="1249" w:type="pct"/>
            <w:shd w:val="clear" w:color="auto" w:fill="F2F2F2" w:themeFill="background1" w:themeFillShade="F2"/>
          </w:tcPr>
          <w:p w14:paraId="795A8BD1" w14:textId="77777777" w:rsidR="00632C84" w:rsidRPr="00211DC2" w:rsidRDefault="00632C84">
            <w:pPr>
              <w:pStyle w:val="Table"/>
              <w:rPr>
                <w:b/>
              </w:rPr>
            </w:pPr>
            <w:r w:rsidRPr="00C349B7">
              <w:rPr>
                <w:b/>
              </w:rPr>
              <w:t>Current</w:t>
            </w:r>
            <w:r w:rsidRPr="00211DC2">
              <w:rPr>
                <w:b/>
              </w:rPr>
              <w:t xml:space="preserve"> Grade Span</w:t>
            </w:r>
          </w:p>
        </w:tc>
        <w:tc>
          <w:tcPr>
            <w:tcW w:w="1250" w:type="pct"/>
          </w:tcPr>
          <w:p w14:paraId="21B2C824" w14:textId="77777777" w:rsidR="00632C84" w:rsidRDefault="00632C84">
            <w:pPr>
              <w:pStyle w:val="Table"/>
            </w:pPr>
            <w:r>
              <w:t>K-12</w:t>
            </w:r>
          </w:p>
        </w:tc>
        <w:tc>
          <w:tcPr>
            <w:tcW w:w="1250" w:type="pct"/>
            <w:shd w:val="clear" w:color="auto" w:fill="F2F2F2" w:themeFill="background1" w:themeFillShade="F2"/>
          </w:tcPr>
          <w:p w14:paraId="62B4C041" w14:textId="77777777" w:rsidR="00632C84" w:rsidRPr="00211DC2" w:rsidRDefault="00632C84">
            <w:pPr>
              <w:pStyle w:val="Table"/>
              <w:rPr>
                <w:b/>
              </w:rPr>
            </w:pPr>
            <w:r>
              <w:rPr>
                <w:b/>
              </w:rPr>
              <w:t xml:space="preserve">Years Renewed </w:t>
            </w:r>
          </w:p>
        </w:tc>
        <w:tc>
          <w:tcPr>
            <w:tcW w:w="1251" w:type="pct"/>
            <w:gridSpan w:val="2"/>
          </w:tcPr>
          <w:p w14:paraId="4B4059C6" w14:textId="77777777" w:rsidR="00632C84" w:rsidRDefault="00632C84">
            <w:pPr>
              <w:pStyle w:val="Table"/>
            </w:pPr>
            <w:r>
              <w:t>2016, 2019, 2022</w:t>
            </w:r>
          </w:p>
        </w:tc>
      </w:tr>
      <w:tr w:rsidR="00632C84" w14:paraId="787DD841" w14:textId="77777777">
        <w:trPr>
          <w:jc w:val="center"/>
        </w:trPr>
        <w:tc>
          <w:tcPr>
            <w:tcW w:w="1249" w:type="pct"/>
            <w:shd w:val="clear" w:color="auto" w:fill="F2F2F2" w:themeFill="background1" w:themeFillShade="F2"/>
          </w:tcPr>
          <w:p w14:paraId="49FCAD90" w14:textId="77777777" w:rsidR="00632C84" w:rsidRPr="00211DC2" w:rsidRDefault="00632C84">
            <w:pPr>
              <w:pStyle w:val="Table"/>
              <w:rPr>
                <w:b/>
              </w:rPr>
            </w:pPr>
            <w:r w:rsidRPr="6082C894">
              <w:rPr>
                <w:b/>
                <w:bCs/>
              </w:rPr>
              <w:t>Students on Waitlist</w:t>
            </w:r>
          </w:p>
        </w:tc>
        <w:tc>
          <w:tcPr>
            <w:tcW w:w="1250" w:type="pct"/>
          </w:tcPr>
          <w:p w14:paraId="7D9B4726" w14:textId="06E6E4EE" w:rsidR="00632C84" w:rsidRDefault="0096331E">
            <w:pPr>
              <w:pStyle w:val="Table"/>
            </w:pPr>
            <w:r>
              <w:t>346</w:t>
            </w:r>
            <w:r w:rsidR="00C31999">
              <w:t xml:space="preserve"> (</w:t>
            </w:r>
            <w:r>
              <w:t>February 24, 2025</w:t>
            </w:r>
            <w:r w:rsidR="00C31999">
              <w:t>)</w:t>
            </w:r>
          </w:p>
        </w:tc>
        <w:tc>
          <w:tcPr>
            <w:tcW w:w="1250" w:type="pct"/>
            <w:shd w:val="clear" w:color="auto" w:fill="F2F2F2" w:themeFill="background1" w:themeFillShade="F2"/>
          </w:tcPr>
          <w:p w14:paraId="490574D7" w14:textId="77777777" w:rsidR="00632C84" w:rsidRPr="00211DC2" w:rsidRDefault="00632C84">
            <w:pPr>
              <w:pStyle w:val="Table"/>
              <w:rPr>
                <w:b/>
              </w:rPr>
            </w:pPr>
            <w:r>
              <w:rPr>
                <w:b/>
              </w:rPr>
              <w:t>Location of Administrative Offices</w:t>
            </w:r>
          </w:p>
        </w:tc>
        <w:tc>
          <w:tcPr>
            <w:tcW w:w="1251" w:type="pct"/>
            <w:gridSpan w:val="2"/>
          </w:tcPr>
          <w:p w14:paraId="716035A4" w14:textId="77777777" w:rsidR="00632C84" w:rsidRDefault="00632C84">
            <w:pPr>
              <w:pStyle w:val="Table"/>
              <w:spacing w:before="0" w:after="0"/>
            </w:pPr>
            <w:r>
              <w:t>238 Main Street</w:t>
            </w:r>
          </w:p>
          <w:p w14:paraId="12F6D71B" w14:textId="77777777" w:rsidR="00632C84" w:rsidRDefault="00632C84">
            <w:pPr>
              <w:pStyle w:val="Table"/>
              <w:spacing w:before="0" w:after="0"/>
            </w:pPr>
            <w:r>
              <w:t>3</w:t>
            </w:r>
            <w:r w:rsidRPr="0012477F">
              <w:rPr>
                <w:vertAlign w:val="superscript"/>
              </w:rPr>
              <w:t>rd</w:t>
            </w:r>
            <w:r>
              <w:t xml:space="preserve"> Floor</w:t>
            </w:r>
          </w:p>
          <w:p w14:paraId="22A6EA79" w14:textId="77777777" w:rsidR="00632C84" w:rsidRDefault="00632C84">
            <w:pPr>
              <w:pStyle w:val="Table"/>
              <w:spacing w:before="0" w:after="0"/>
            </w:pPr>
            <w:r>
              <w:t>Greenfield, MA 01301</w:t>
            </w:r>
          </w:p>
        </w:tc>
      </w:tr>
      <w:tr w:rsidR="00632C84" w14:paraId="69B87ADE" w14:textId="77777777">
        <w:trPr>
          <w:gridAfter w:val="1"/>
          <w:wAfter w:w="5" w:type="pct"/>
          <w:jc w:val="center"/>
        </w:trPr>
        <w:tc>
          <w:tcPr>
            <w:tcW w:w="4995" w:type="pct"/>
            <w:gridSpan w:val="4"/>
            <w:shd w:val="clear" w:color="auto" w:fill="F2F2F2" w:themeFill="background1" w:themeFillShade="F2"/>
          </w:tcPr>
          <w:p w14:paraId="0EDE2D94" w14:textId="77777777" w:rsidR="00632C84" w:rsidRDefault="00632C84">
            <w:pPr>
              <w:pStyle w:val="Table"/>
              <w:rPr>
                <w:b/>
              </w:rPr>
            </w:pPr>
            <w:r w:rsidRPr="006859F6">
              <w:rPr>
                <w:b/>
              </w:rPr>
              <w:t xml:space="preserve">Mission Statement: </w:t>
            </w:r>
          </w:p>
          <w:p w14:paraId="7C8732E5" w14:textId="77777777" w:rsidR="00632C84" w:rsidRPr="006859F6" w:rsidRDefault="00632C84">
            <w:pPr>
              <w:pStyle w:val="Table"/>
            </w:pPr>
            <w:bookmarkStart w:id="4" w:name="_Hlk171090423"/>
            <w:r>
              <w:t xml:space="preserve">The Greater Commonwealth Virtual School, a public school of choice, serves students from across Massachusetts who need a learning community that is accessible, flexible, and inclusive. As a pioneer of online learning, we empower our educators to tailor learning experiences to each student’s strengths, interests, and challenges. We redefine and change how students and teachers engage through innovative technology, while ensuring mastery of competencies embedded in a rigorous curriculum.   </w:t>
            </w:r>
            <w:bookmarkEnd w:id="4"/>
          </w:p>
        </w:tc>
      </w:tr>
    </w:tbl>
    <w:p w14:paraId="760402BD" w14:textId="77777777" w:rsidR="00245611" w:rsidRPr="00245611" w:rsidRDefault="00245611" w:rsidP="00245611">
      <w:pPr>
        <w:spacing w:before="240" w:after="240"/>
        <w:rPr>
          <w:rFonts w:eastAsia="Times New Roman" w:cs="Times New Roman"/>
          <w:b/>
          <w:bCs/>
          <w:color w:val="000000" w:themeColor="text1"/>
        </w:rPr>
      </w:pPr>
      <w:r w:rsidRPr="00245611">
        <w:rPr>
          <w:rFonts w:eastAsia="Times New Roman" w:cs="Times New Roman"/>
          <w:b/>
          <w:bCs/>
          <w:color w:val="000000" w:themeColor="text1"/>
        </w:rPr>
        <w:t xml:space="preserve">School History </w:t>
      </w:r>
    </w:p>
    <w:p w14:paraId="622AC1C9" w14:textId="2A390363" w:rsidR="00245611" w:rsidRPr="00245611" w:rsidRDefault="00245611" w:rsidP="00245611">
      <w:pPr>
        <w:spacing w:before="240" w:after="240"/>
        <w:rPr>
          <w:rFonts w:eastAsia="Times New Roman" w:cs="Times New Roman"/>
          <w:color w:val="000000" w:themeColor="text1"/>
        </w:rPr>
      </w:pPr>
      <w:r w:rsidRPr="00245611">
        <w:rPr>
          <w:rFonts w:eastAsia="Times New Roman" w:cs="Times New Roman"/>
          <w:color w:val="000000" w:themeColor="text1"/>
        </w:rPr>
        <w:t>The Department received an application from Greenfield on April 22, 2013, to establish a new CMVS beginning in the 2013-2014 school year. On June 25, 2013, the Board granted a three-year certificate to the board of trustees of GCVS, effective July 1, 2013</w:t>
      </w:r>
      <w:r w:rsidR="008D2C5F">
        <w:rPr>
          <w:rFonts w:eastAsia="Times New Roman" w:cs="Times New Roman"/>
          <w:color w:val="000000" w:themeColor="text1"/>
        </w:rPr>
        <w:t xml:space="preserve">, as required by </w:t>
      </w:r>
      <w:r w:rsidR="007764AC">
        <w:rPr>
          <w:rFonts w:eastAsia="Times New Roman" w:cs="Times New Roman"/>
          <w:color w:val="000000" w:themeColor="text1"/>
        </w:rPr>
        <w:t xml:space="preserve">Section 6 of </w:t>
      </w:r>
      <w:r w:rsidR="008D2C5F" w:rsidRPr="00245611">
        <w:rPr>
          <w:rFonts w:eastAsia="Times New Roman" w:cs="Times New Roman"/>
          <w:color w:val="000000" w:themeColor="text1"/>
        </w:rPr>
        <w:t>Chapter 379 of the Acts of 2012</w:t>
      </w:r>
      <w:r w:rsidRPr="00245611">
        <w:rPr>
          <w:rFonts w:eastAsia="Times New Roman" w:cs="Times New Roman"/>
          <w:color w:val="000000" w:themeColor="text1"/>
        </w:rPr>
        <w:t>.</w:t>
      </w:r>
      <w:r w:rsidR="003B535C">
        <w:rPr>
          <w:rStyle w:val="FootnoteReference"/>
          <w:rFonts w:eastAsia="Times New Roman" w:cs="Times New Roman"/>
          <w:color w:val="000000" w:themeColor="text1"/>
        </w:rPr>
        <w:footnoteReference w:id="3"/>
      </w:r>
      <w:r w:rsidRPr="00245611">
        <w:rPr>
          <w:rFonts w:eastAsia="Times New Roman" w:cs="Times New Roman"/>
          <w:color w:val="000000" w:themeColor="text1"/>
        </w:rPr>
        <w:t xml:space="preserve"> To assist GCVS in meeting the standards expected of a CMVS, the Board </w:t>
      </w:r>
      <w:r w:rsidR="00944CBC">
        <w:rPr>
          <w:rFonts w:eastAsia="Times New Roman" w:cs="Times New Roman"/>
          <w:color w:val="000000" w:themeColor="text1"/>
        </w:rPr>
        <w:t xml:space="preserve">imposed </w:t>
      </w:r>
      <w:r w:rsidRPr="00245611">
        <w:rPr>
          <w:rFonts w:eastAsia="Times New Roman" w:cs="Times New Roman"/>
          <w:color w:val="000000" w:themeColor="text1"/>
        </w:rPr>
        <w:t xml:space="preserve">several conditions </w:t>
      </w:r>
      <w:r w:rsidR="00944CBC">
        <w:rPr>
          <w:rFonts w:eastAsia="Times New Roman" w:cs="Times New Roman"/>
          <w:color w:val="000000" w:themeColor="text1"/>
        </w:rPr>
        <w:t>on its certificate</w:t>
      </w:r>
      <w:r w:rsidRPr="00245611">
        <w:rPr>
          <w:rFonts w:eastAsia="Times New Roman" w:cs="Times New Roman"/>
          <w:color w:val="000000" w:themeColor="text1"/>
        </w:rPr>
        <w:t>.</w:t>
      </w:r>
      <w:r w:rsidR="00C35331">
        <w:rPr>
          <w:rStyle w:val="FootnoteReference"/>
          <w:rFonts w:eastAsia="Times New Roman" w:cs="Times New Roman"/>
          <w:color w:val="000000" w:themeColor="text1"/>
        </w:rPr>
        <w:footnoteReference w:id="4"/>
      </w:r>
      <w:r w:rsidRPr="00245611">
        <w:rPr>
          <w:rFonts w:eastAsia="Times New Roman" w:cs="Times New Roman"/>
          <w:color w:val="000000" w:themeColor="text1"/>
        </w:rPr>
        <w:t xml:space="preserve"> </w:t>
      </w:r>
      <w:r w:rsidR="00304FA9">
        <w:rPr>
          <w:rFonts w:eastAsia="Times New Roman" w:cs="Times New Roman"/>
          <w:color w:val="000000" w:themeColor="text1"/>
        </w:rPr>
        <w:t xml:space="preserve"> </w:t>
      </w:r>
    </w:p>
    <w:p w14:paraId="0E04E6FF" w14:textId="3284E72A" w:rsidR="00F4493A" w:rsidRDefault="00944CBC" w:rsidP="00245611">
      <w:pPr>
        <w:spacing w:before="240" w:after="240"/>
        <w:rPr>
          <w:rFonts w:eastAsia="Times New Roman" w:cs="Times New Roman"/>
          <w:color w:val="000000" w:themeColor="text1"/>
        </w:rPr>
      </w:pPr>
      <w:r>
        <w:rPr>
          <w:rFonts w:eastAsia="Times New Roman" w:cs="Times New Roman"/>
          <w:color w:val="000000" w:themeColor="text1"/>
        </w:rPr>
        <w:lastRenderedPageBreak/>
        <w:t xml:space="preserve">GCVS continued to have challenges resulting in further conditions and </w:t>
      </w:r>
      <w:r w:rsidR="00C73CEC">
        <w:rPr>
          <w:rFonts w:eastAsia="Times New Roman" w:cs="Times New Roman"/>
          <w:color w:val="000000" w:themeColor="text1"/>
        </w:rPr>
        <w:t xml:space="preserve">placing the school on </w:t>
      </w:r>
      <w:r>
        <w:rPr>
          <w:rFonts w:eastAsia="Times New Roman" w:cs="Times New Roman"/>
          <w:color w:val="000000" w:themeColor="text1"/>
        </w:rPr>
        <w:t>probation. GCVS operated under probationary status from October 2014 until March 2019, with the Board modifying the conditions on the school’s certificate twice.</w:t>
      </w:r>
      <w:r w:rsidR="00C73CEC">
        <w:rPr>
          <w:rStyle w:val="FootnoteReference"/>
          <w:rFonts w:eastAsia="Times New Roman" w:cs="Times New Roman"/>
          <w:color w:val="000000" w:themeColor="text1"/>
        </w:rPr>
        <w:footnoteReference w:id="5"/>
      </w:r>
      <w:r>
        <w:rPr>
          <w:rFonts w:eastAsia="Times New Roman" w:cs="Times New Roman"/>
          <w:color w:val="000000" w:themeColor="text1"/>
        </w:rPr>
        <w:t xml:space="preserve"> </w:t>
      </w:r>
    </w:p>
    <w:p w14:paraId="11F041F9" w14:textId="4A3B3E7F" w:rsidR="000075D4" w:rsidRDefault="001C2A87" w:rsidP="00245611">
      <w:pPr>
        <w:spacing w:before="240" w:after="240"/>
        <w:rPr>
          <w:rFonts w:eastAsia="Times New Roman" w:cs="Times New Roman"/>
          <w:color w:val="000000" w:themeColor="text1"/>
        </w:rPr>
      </w:pPr>
      <w:r>
        <w:rPr>
          <w:rFonts w:eastAsia="Times New Roman" w:cs="Times New Roman"/>
          <w:color w:val="000000" w:themeColor="text1"/>
        </w:rPr>
        <w:t xml:space="preserve">In October 2022, the </w:t>
      </w:r>
      <w:r w:rsidR="002667C3">
        <w:rPr>
          <w:rFonts w:eastAsia="Times New Roman" w:cs="Times New Roman"/>
          <w:color w:val="000000" w:themeColor="text1"/>
        </w:rPr>
        <w:t xml:space="preserve">Board renewed the school’s certificate </w:t>
      </w:r>
      <w:r w:rsidR="003F7919">
        <w:rPr>
          <w:rFonts w:eastAsia="Times New Roman" w:cs="Times New Roman"/>
          <w:color w:val="000000" w:themeColor="text1"/>
        </w:rPr>
        <w:t>for a four-year period from July 1, 2022</w:t>
      </w:r>
      <w:r w:rsidR="00364BAE">
        <w:rPr>
          <w:rFonts w:eastAsia="Times New Roman" w:cs="Times New Roman"/>
          <w:color w:val="000000" w:themeColor="text1"/>
        </w:rPr>
        <w:t>,</w:t>
      </w:r>
      <w:r w:rsidR="003F7919">
        <w:rPr>
          <w:rFonts w:eastAsia="Times New Roman" w:cs="Times New Roman"/>
          <w:color w:val="000000" w:themeColor="text1"/>
        </w:rPr>
        <w:t xml:space="preserve"> through June 30, 2026</w:t>
      </w:r>
      <w:r w:rsidR="00364BAE">
        <w:rPr>
          <w:rFonts w:eastAsia="Times New Roman" w:cs="Times New Roman"/>
          <w:color w:val="000000" w:themeColor="text1"/>
        </w:rPr>
        <w:t>,</w:t>
      </w:r>
      <w:r w:rsidR="003F7919">
        <w:rPr>
          <w:rFonts w:eastAsia="Times New Roman" w:cs="Times New Roman"/>
          <w:color w:val="000000" w:themeColor="text1"/>
        </w:rPr>
        <w:t xml:space="preserve"> </w:t>
      </w:r>
      <w:r>
        <w:rPr>
          <w:rFonts w:eastAsia="Times New Roman" w:cs="Times New Roman"/>
          <w:color w:val="000000" w:themeColor="text1"/>
        </w:rPr>
        <w:t xml:space="preserve">with </w:t>
      </w:r>
      <w:r w:rsidR="00FA66BA">
        <w:rPr>
          <w:rFonts w:eastAsia="Times New Roman" w:cs="Times New Roman"/>
          <w:color w:val="000000" w:themeColor="text1"/>
        </w:rPr>
        <w:t>eight conditions</w:t>
      </w:r>
      <w:r w:rsidR="002B6387">
        <w:rPr>
          <w:rFonts w:eastAsia="Times New Roman" w:cs="Times New Roman"/>
          <w:color w:val="000000" w:themeColor="text1"/>
        </w:rPr>
        <w:t xml:space="preserve">. </w:t>
      </w:r>
      <w:r w:rsidR="00F211AB">
        <w:rPr>
          <w:rFonts w:eastAsia="Times New Roman" w:cs="Times New Roman"/>
          <w:color w:val="000000" w:themeColor="text1"/>
        </w:rPr>
        <w:t>While the school had implemented an action plan to improve its educational program, concerns remained about academic outcomes</w:t>
      </w:r>
      <w:r w:rsidR="002B6387">
        <w:rPr>
          <w:rFonts w:eastAsia="Times New Roman" w:cs="Times New Roman"/>
          <w:color w:val="000000" w:themeColor="text1"/>
        </w:rPr>
        <w:t>;</w:t>
      </w:r>
      <w:r w:rsidR="00F211AB">
        <w:rPr>
          <w:rFonts w:eastAsia="Times New Roman" w:cs="Times New Roman"/>
          <w:color w:val="000000" w:themeColor="text1"/>
        </w:rPr>
        <w:t xml:space="preserve"> quality of program delivery</w:t>
      </w:r>
      <w:r w:rsidR="002B6387">
        <w:rPr>
          <w:rFonts w:eastAsia="Times New Roman" w:cs="Times New Roman"/>
          <w:color w:val="000000" w:themeColor="text1"/>
        </w:rPr>
        <w:t xml:space="preserve">, particularly for English learners; and organizational capacity. </w:t>
      </w:r>
    </w:p>
    <w:p w14:paraId="0BEE8B27" w14:textId="60D72292" w:rsidR="000411F7" w:rsidRPr="000411F7" w:rsidRDefault="000411F7" w:rsidP="00245611">
      <w:pPr>
        <w:spacing w:before="240" w:after="240"/>
        <w:rPr>
          <w:rFonts w:eastAsia="Times New Roman" w:cs="Times New Roman"/>
          <w:b/>
          <w:bCs/>
          <w:color w:val="000000" w:themeColor="text1"/>
        </w:rPr>
      </w:pPr>
      <w:r w:rsidRPr="000411F7">
        <w:rPr>
          <w:rFonts w:eastAsia="Times New Roman" w:cs="Times New Roman"/>
          <w:b/>
          <w:bCs/>
          <w:color w:val="000000" w:themeColor="text1"/>
        </w:rPr>
        <w:t>Progress Toward Meeting Conditions</w:t>
      </w:r>
    </w:p>
    <w:p w14:paraId="688FD856" w14:textId="588F9862" w:rsidR="00BE04F5" w:rsidRDefault="00DB62E0" w:rsidP="00245611">
      <w:pPr>
        <w:spacing w:before="240" w:after="240"/>
        <w:rPr>
          <w:rFonts w:eastAsia="Times New Roman" w:cs="Times New Roman"/>
          <w:color w:val="000000" w:themeColor="text1"/>
        </w:rPr>
      </w:pPr>
      <w:r>
        <w:rPr>
          <w:rFonts w:eastAsia="Times New Roman" w:cs="Times New Roman"/>
          <w:color w:val="000000" w:themeColor="text1"/>
        </w:rPr>
        <w:t xml:space="preserve">The </w:t>
      </w:r>
      <w:r w:rsidR="009D5E71">
        <w:rPr>
          <w:rFonts w:eastAsia="Times New Roman" w:cs="Times New Roman"/>
          <w:color w:val="000000" w:themeColor="text1"/>
        </w:rPr>
        <w:t xml:space="preserve">existing </w:t>
      </w:r>
      <w:r>
        <w:rPr>
          <w:rFonts w:eastAsia="Times New Roman" w:cs="Times New Roman"/>
          <w:color w:val="000000" w:themeColor="text1"/>
        </w:rPr>
        <w:t xml:space="preserve">conditions and a summary of key evidence related to each condition follow. </w:t>
      </w:r>
    </w:p>
    <w:p w14:paraId="3A9DDE7D" w14:textId="61E56D96" w:rsidR="00DB62E0" w:rsidRDefault="00DB62E0" w:rsidP="00245611">
      <w:pPr>
        <w:spacing w:before="240" w:after="240"/>
        <w:rPr>
          <w:rFonts w:eastAsia="Times New Roman" w:cs="Times New Roman"/>
          <w:color w:val="000000" w:themeColor="text1"/>
        </w:rPr>
      </w:pPr>
      <w:r>
        <w:rPr>
          <w:rFonts w:eastAsia="Times New Roman" w:cs="Times New Roman"/>
          <w:b/>
          <w:bCs/>
          <w:color w:val="000000" w:themeColor="text1"/>
        </w:rPr>
        <w:t xml:space="preserve">Condition 1: </w:t>
      </w:r>
      <w:r w:rsidR="00983F97">
        <w:rPr>
          <w:rFonts w:eastAsia="Times New Roman" w:cs="Times New Roman"/>
          <w:color w:val="000000" w:themeColor="text1"/>
        </w:rPr>
        <w:t xml:space="preserve">Greater Commonwealth Virtual School must continue to submit to the Department, at </w:t>
      </w:r>
      <w:hyperlink r:id="rId15" w:history="1">
        <w:r w:rsidR="00983F97" w:rsidRPr="002F09DA">
          <w:rPr>
            <w:rStyle w:val="Hyperlink"/>
            <w:rFonts w:eastAsia="Times New Roman" w:cs="Times New Roman"/>
          </w:rPr>
          <w:t>virtualschools@mass.gov</w:t>
        </w:r>
      </w:hyperlink>
      <w:r w:rsidR="00983F97">
        <w:rPr>
          <w:rFonts w:eastAsia="Times New Roman" w:cs="Times New Roman"/>
          <w:color w:val="000000" w:themeColor="text1"/>
        </w:rPr>
        <w:t xml:space="preserve">, board meeting agendas and materials prior to each board meeting at the same time that these items are sent to the school’s board members. Further, the school must submit to the Department the minutes of these proceedings as soon as the school’s board approves them. The Department reserves the right to </w:t>
      </w:r>
      <w:proofErr w:type="gramStart"/>
      <w:r w:rsidR="00983F97">
        <w:rPr>
          <w:rFonts w:eastAsia="Times New Roman" w:cs="Times New Roman"/>
          <w:color w:val="000000" w:themeColor="text1"/>
        </w:rPr>
        <w:t>require</w:t>
      </w:r>
      <w:proofErr w:type="gramEnd"/>
      <w:r w:rsidR="00983F97">
        <w:rPr>
          <w:rFonts w:eastAsia="Times New Roman" w:cs="Times New Roman"/>
          <w:color w:val="000000" w:themeColor="text1"/>
        </w:rPr>
        <w:t xml:space="preserve"> the submission of additional information, such as quarterly or monthly financial statements, if board materials do not already include this information. The school must provide </w:t>
      </w:r>
      <w:proofErr w:type="gramStart"/>
      <w:r w:rsidR="00983F97">
        <w:rPr>
          <w:rFonts w:eastAsia="Times New Roman" w:cs="Times New Roman"/>
          <w:color w:val="000000" w:themeColor="text1"/>
        </w:rPr>
        <w:t>such additional</w:t>
      </w:r>
      <w:proofErr w:type="gramEnd"/>
      <w:r w:rsidR="00983F97">
        <w:rPr>
          <w:rFonts w:eastAsia="Times New Roman" w:cs="Times New Roman"/>
          <w:color w:val="000000" w:themeColor="text1"/>
        </w:rPr>
        <w:t xml:space="preserve"> information within two business days. </w:t>
      </w:r>
    </w:p>
    <w:p w14:paraId="2F06A9DB" w14:textId="535F410A" w:rsidR="00FC1A2C" w:rsidRDefault="00FC1A2C" w:rsidP="00245611">
      <w:pPr>
        <w:spacing w:before="240" w:after="240"/>
        <w:contextualSpacing/>
        <w:rPr>
          <w:rFonts w:eastAsia="Times New Roman" w:cs="Times New Roman"/>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236E23C7" w14:textId="424FF6E6" w:rsidR="00FC1A2C" w:rsidRPr="00FC1A2C" w:rsidRDefault="00F530AC" w:rsidP="00672B4C">
      <w:pPr>
        <w:spacing w:before="240" w:after="240"/>
        <w:ind w:left="720"/>
        <w:rPr>
          <w:rFonts w:eastAsia="Times New Roman" w:cs="Times New Roman"/>
          <w:color w:val="000000" w:themeColor="text1"/>
        </w:rPr>
      </w:pPr>
      <w:r>
        <w:rPr>
          <w:rFonts w:eastAsia="Times New Roman" w:cs="Times New Roman"/>
          <w:color w:val="000000" w:themeColor="text1"/>
        </w:rPr>
        <w:t>Since July 2022, the school has submitted board and committee meeting minutes prior to each meeting</w:t>
      </w:r>
      <w:r w:rsidR="007155DC">
        <w:rPr>
          <w:rFonts w:eastAsia="Times New Roman" w:cs="Times New Roman"/>
          <w:color w:val="000000" w:themeColor="text1"/>
        </w:rPr>
        <w:t xml:space="preserve"> and meeting minutes to the Department as soon as the school’s board approves them. </w:t>
      </w:r>
    </w:p>
    <w:p w14:paraId="478401BB" w14:textId="119D1F21" w:rsidR="00983F97" w:rsidRDefault="00983F97" w:rsidP="00245611">
      <w:pPr>
        <w:spacing w:before="240" w:after="240"/>
        <w:rPr>
          <w:rFonts w:eastAsia="Times New Roman" w:cs="Times New Roman"/>
          <w:color w:val="000000" w:themeColor="text1"/>
        </w:rPr>
      </w:pPr>
      <w:r>
        <w:rPr>
          <w:rFonts w:eastAsia="Times New Roman" w:cs="Times New Roman"/>
          <w:b/>
          <w:bCs/>
          <w:color w:val="000000" w:themeColor="text1"/>
        </w:rPr>
        <w:t>Condition 2:</w:t>
      </w:r>
      <w:r>
        <w:rPr>
          <w:rFonts w:eastAsia="Times New Roman" w:cs="Times New Roman"/>
          <w:color w:val="000000" w:themeColor="text1"/>
        </w:rPr>
        <w:t xml:space="preserve"> By July 15, 2022, Greater Commonwealth Virtual School must conduct, document, and submit to the Department evaluations of its special education and English learner education (ELE) programs in a manner consistent with Department expectations. Such evaluations must include comparative data analyses, interpretation of results, and recommendations for needed changes to each program.</w:t>
      </w:r>
    </w:p>
    <w:p w14:paraId="59214851" w14:textId="40342F77" w:rsidR="00FC1A2C" w:rsidRDefault="00FC1A2C" w:rsidP="00245611">
      <w:pPr>
        <w:spacing w:before="240" w:after="240"/>
        <w:contextualSpacing/>
        <w:rPr>
          <w:rFonts w:eastAsia="Times New Roman" w:cs="Times New Roman"/>
          <w:b/>
          <w:bCs/>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02F7E86F" w14:textId="48F89F41" w:rsidR="00FC1A2C" w:rsidRPr="00FC1A2C" w:rsidRDefault="004E52DB" w:rsidP="004E52DB">
      <w:pPr>
        <w:spacing w:before="240" w:after="240"/>
        <w:ind w:left="720"/>
        <w:rPr>
          <w:rFonts w:eastAsia="Times New Roman" w:cs="Times New Roman"/>
          <w:color w:val="000000" w:themeColor="text1"/>
        </w:rPr>
      </w:pPr>
      <w:r>
        <w:rPr>
          <w:rFonts w:eastAsia="Times New Roman" w:cs="Times New Roman"/>
          <w:color w:val="000000" w:themeColor="text1"/>
        </w:rPr>
        <w:lastRenderedPageBreak/>
        <w:t xml:space="preserve">On July 15, 2022, the school submitted a draft of its special education and ELE program self-evaluations. The Department provided feedback, and the school submitted revised program self-evaluations on October 28, 2022. Both evaluations included comparative data analyses, interpretation of results, and recommendations for needed changes to each program. </w:t>
      </w:r>
    </w:p>
    <w:p w14:paraId="071D2E30" w14:textId="4D571F66" w:rsidR="00983F97" w:rsidRDefault="00983F97" w:rsidP="00245611">
      <w:pPr>
        <w:spacing w:before="240" w:after="240"/>
        <w:rPr>
          <w:rFonts w:eastAsia="Times New Roman" w:cs="Times New Roman"/>
          <w:color w:val="000000" w:themeColor="text1"/>
        </w:rPr>
      </w:pPr>
      <w:r>
        <w:rPr>
          <w:rFonts w:eastAsia="Times New Roman" w:cs="Times New Roman"/>
          <w:b/>
          <w:bCs/>
          <w:color w:val="000000" w:themeColor="text1"/>
        </w:rPr>
        <w:t>Condition 3:</w:t>
      </w:r>
      <w:r>
        <w:rPr>
          <w:rFonts w:eastAsia="Times New Roman" w:cs="Times New Roman"/>
          <w:color w:val="000000" w:themeColor="text1"/>
        </w:rPr>
        <w:t xml:space="preserve"> By August 1, 2022, Greater Commonwealth Virtual School must develop and include four-year goals for non-statewide assessments in its Accountability Plan. These goals must be sufficient to allow the school to demonstrate a track record of academic success during the certificate term.</w:t>
      </w:r>
    </w:p>
    <w:p w14:paraId="2E3D4C3C" w14:textId="77777777" w:rsidR="00FC1A2C" w:rsidRDefault="00FC1A2C" w:rsidP="00FC1A2C">
      <w:pPr>
        <w:spacing w:before="240" w:after="240"/>
        <w:contextualSpacing/>
        <w:rPr>
          <w:rFonts w:eastAsia="Times New Roman" w:cs="Times New Roman"/>
          <w:b/>
          <w:bCs/>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165FE44E" w14:textId="7253F1CD" w:rsidR="004C1B69" w:rsidRPr="004C1B69" w:rsidRDefault="004C1B69" w:rsidP="004C1B69">
      <w:pPr>
        <w:spacing w:before="240" w:after="240"/>
        <w:ind w:left="720"/>
        <w:rPr>
          <w:rFonts w:eastAsia="Times New Roman" w:cs="Times New Roman"/>
          <w:color w:val="000000" w:themeColor="text1"/>
        </w:rPr>
      </w:pPr>
      <w:r w:rsidRPr="004C1B69">
        <w:rPr>
          <w:rFonts w:eastAsia="Times New Roman" w:cs="Times New Roman"/>
          <w:color w:val="000000" w:themeColor="text1"/>
        </w:rPr>
        <w:t>On July 29, 2022</w:t>
      </w:r>
      <w:r>
        <w:rPr>
          <w:rFonts w:eastAsia="Times New Roman" w:cs="Times New Roman"/>
          <w:color w:val="000000" w:themeColor="text1"/>
        </w:rPr>
        <w:t>, the school submitted a final draft of its accountability plan that included four-year goals for non-statewide assessments. On November 10, 2022, the school</w:t>
      </w:r>
      <w:r w:rsidR="007843D9">
        <w:rPr>
          <w:rFonts w:eastAsia="Times New Roman" w:cs="Times New Roman"/>
          <w:color w:val="000000" w:themeColor="text1"/>
        </w:rPr>
        <w:t>’s</w:t>
      </w:r>
      <w:r>
        <w:rPr>
          <w:rFonts w:eastAsia="Times New Roman" w:cs="Times New Roman"/>
          <w:color w:val="000000" w:themeColor="text1"/>
        </w:rPr>
        <w:t xml:space="preserve"> </w:t>
      </w:r>
      <w:r w:rsidR="0047459E">
        <w:rPr>
          <w:rFonts w:eastAsia="Times New Roman" w:cs="Times New Roman"/>
          <w:color w:val="000000" w:themeColor="text1"/>
        </w:rPr>
        <w:t xml:space="preserve">revised accountability </w:t>
      </w:r>
      <w:proofErr w:type="gramStart"/>
      <w:r w:rsidR="0047459E">
        <w:rPr>
          <w:rFonts w:eastAsia="Times New Roman" w:cs="Times New Roman"/>
          <w:color w:val="000000" w:themeColor="text1"/>
        </w:rPr>
        <w:t>plan</w:t>
      </w:r>
      <w:proofErr w:type="gramEnd"/>
      <w:r w:rsidR="0047459E">
        <w:rPr>
          <w:rFonts w:eastAsia="Times New Roman" w:cs="Times New Roman"/>
          <w:color w:val="000000" w:themeColor="text1"/>
        </w:rPr>
        <w:t xml:space="preserve"> </w:t>
      </w:r>
      <w:r>
        <w:rPr>
          <w:rFonts w:eastAsia="Times New Roman" w:cs="Times New Roman"/>
          <w:color w:val="000000" w:themeColor="text1"/>
        </w:rPr>
        <w:t>received approval from the commissioner</w:t>
      </w:r>
      <w:r w:rsidR="0047459E">
        <w:rPr>
          <w:rFonts w:eastAsia="Times New Roman" w:cs="Times New Roman"/>
          <w:color w:val="000000" w:themeColor="text1"/>
        </w:rPr>
        <w:t>; the</w:t>
      </w:r>
      <w:r>
        <w:rPr>
          <w:rFonts w:eastAsia="Times New Roman" w:cs="Times New Roman"/>
          <w:color w:val="000000" w:themeColor="text1"/>
        </w:rPr>
        <w:t xml:space="preserve"> accountability plan establish</w:t>
      </w:r>
      <w:r w:rsidR="0047459E">
        <w:rPr>
          <w:rFonts w:eastAsia="Times New Roman" w:cs="Times New Roman"/>
          <w:color w:val="000000" w:themeColor="text1"/>
        </w:rPr>
        <w:t>e</w:t>
      </w:r>
      <w:r w:rsidR="003A6F3E">
        <w:rPr>
          <w:rFonts w:eastAsia="Times New Roman" w:cs="Times New Roman"/>
          <w:color w:val="000000" w:themeColor="text1"/>
        </w:rPr>
        <w:t>s</w:t>
      </w:r>
      <w:r>
        <w:rPr>
          <w:rFonts w:eastAsia="Times New Roman" w:cs="Times New Roman"/>
          <w:color w:val="000000" w:themeColor="text1"/>
        </w:rPr>
        <w:t xml:space="preserve"> goals and measures for its third certificate term</w:t>
      </w:r>
      <w:r w:rsidR="007E4085">
        <w:rPr>
          <w:rFonts w:eastAsia="Times New Roman" w:cs="Times New Roman"/>
          <w:color w:val="000000" w:themeColor="text1"/>
        </w:rPr>
        <w:t xml:space="preserve"> (2022-2026)</w:t>
      </w:r>
      <w:r>
        <w:rPr>
          <w:rFonts w:eastAsia="Times New Roman" w:cs="Times New Roman"/>
          <w:color w:val="000000" w:themeColor="text1"/>
        </w:rPr>
        <w:t xml:space="preserve">. </w:t>
      </w:r>
    </w:p>
    <w:p w14:paraId="4E396E4D" w14:textId="18F71555" w:rsidR="00983F97" w:rsidRDefault="00983F97" w:rsidP="00245611">
      <w:pPr>
        <w:spacing w:before="240" w:after="240"/>
        <w:rPr>
          <w:rFonts w:eastAsia="Times New Roman" w:cs="Times New Roman"/>
          <w:color w:val="000000" w:themeColor="text1"/>
        </w:rPr>
      </w:pPr>
      <w:r>
        <w:rPr>
          <w:rFonts w:eastAsia="Times New Roman" w:cs="Times New Roman"/>
          <w:b/>
          <w:bCs/>
          <w:color w:val="000000" w:themeColor="text1"/>
        </w:rPr>
        <w:t xml:space="preserve">Condition 4: </w:t>
      </w:r>
      <w:r>
        <w:rPr>
          <w:rFonts w:eastAsia="Times New Roman" w:cs="Times New Roman"/>
          <w:color w:val="000000" w:themeColor="text1"/>
        </w:rPr>
        <w:t xml:space="preserve">By August 15, 2022, Greater Commonwealth Virtual School must complete actions and reporting as required by the Department’s Office of Language Acquisition. </w:t>
      </w:r>
    </w:p>
    <w:p w14:paraId="0038FDB2" w14:textId="77777777" w:rsidR="00FC1A2C" w:rsidRDefault="00FC1A2C" w:rsidP="00FC1A2C">
      <w:pPr>
        <w:spacing w:before="240" w:after="240"/>
        <w:contextualSpacing/>
        <w:rPr>
          <w:rFonts w:eastAsia="Times New Roman" w:cs="Times New Roman"/>
          <w:b/>
          <w:bCs/>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0124EA31" w14:textId="06B45B96" w:rsidR="00FC1A2C" w:rsidRDefault="002A4741" w:rsidP="002A4741">
      <w:pPr>
        <w:spacing w:before="240" w:after="240"/>
        <w:ind w:left="720"/>
        <w:rPr>
          <w:rFonts w:eastAsia="Times New Roman" w:cs="Times New Roman"/>
          <w:color w:val="000000" w:themeColor="text1"/>
        </w:rPr>
      </w:pPr>
      <w:r>
        <w:rPr>
          <w:rFonts w:eastAsia="Times New Roman" w:cs="Times New Roman"/>
          <w:color w:val="000000" w:themeColor="text1"/>
        </w:rPr>
        <w:t>In November 2020, the Department’s Office of Language Acquisition conducted a Tiered Focused Monitoring (TFM) Review</w:t>
      </w:r>
      <w:r w:rsidRPr="1087E316">
        <w:rPr>
          <w:rFonts w:eastAsia="Times New Roman" w:cs="Times New Roman"/>
          <w:color w:val="000000" w:themeColor="text1"/>
        </w:rPr>
        <w:t xml:space="preserve"> </w:t>
      </w:r>
      <w:r w:rsidRPr="4BD50DBF">
        <w:rPr>
          <w:rFonts w:eastAsia="Times New Roman" w:cs="Times New Roman"/>
          <w:color w:val="000000" w:themeColor="text1"/>
        </w:rPr>
        <w:t>and</w:t>
      </w:r>
      <w:r>
        <w:rPr>
          <w:rFonts w:eastAsia="Times New Roman" w:cs="Times New Roman"/>
          <w:color w:val="000000" w:themeColor="text1"/>
        </w:rPr>
        <w:t xml:space="preserve"> </w:t>
      </w:r>
      <w:r w:rsidR="00C355A8">
        <w:rPr>
          <w:rFonts w:eastAsia="Times New Roman" w:cs="Times New Roman"/>
          <w:color w:val="000000" w:themeColor="text1"/>
        </w:rPr>
        <w:t>had three findings regarding the school’s English language education program. As of February 2022, GCVS had not fully met progress reporting requirements pertaining to two of the three findings</w:t>
      </w:r>
      <w:r w:rsidR="0035275D">
        <w:rPr>
          <w:rFonts w:eastAsia="Times New Roman" w:cs="Times New Roman"/>
          <w:color w:val="000000" w:themeColor="text1"/>
        </w:rPr>
        <w:t xml:space="preserve">, and the school had not made progress in effectively identifying an appropriate ESL curriculum or implementing a plan to provide translation services to families. On May 25, 2022, the Department’s Office of Language Acquisition notified GCVS that the school addressed </w:t>
      </w:r>
      <w:r w:rsidR="00F301CF">
        <w:rPr>
          <w:rFonts w:eastAsia="Times New Roman" w:cs="Times New Roman"/>
          <w:color w:val="000000" w:themeColor="text1"/>
        </w:rPr>
        <w:t xml:space="preserve">all three findings and no further progress reports were required. </w:t>
      </w:r>
    </w:p>
    <w:p w14:paraId="6DA5F19E" w14:textId="7D1A1463" w:rsidR="00983F97" w:rsidRDefault="00983F97" w:rsidP="00245611">
      <w:pPr>
        <w:spacing w:before="240" w:after="240"/>
        <w:rPr>
          <w:rFonts w:eastAsia="Times New Roman" w:cs="Times New Roman"/>
          <w:color w:val="000000" w:themeColor="text1"/>
        </w:rPr>
      </w:pPr>
      <w:r w:rsidRPr="00983F97">
        <w:rPr>
          <w:rFonts w:eastAsia="Times New Roman" w:cs="Times New Roman"/>
          <w:b/>
          <w:bCs/>
          <w:color w:val="000000" w:themeColor="text1"/>
        </w:rPr>
        <w:t>Condition 5:</w:t>
      </w:r>
      <w:r>
        <w:rPr>
          <w:rFonts w:eastAsia="Times New Roman" w:cs="Times New Roman"/>
          <w:color w:val="000000" w:themeColor="text1"/>
        </w:rPr>
        <w:t xml:space="preserve"> By September 1, 2022, Greater Commonwealth Virtual School must submit for Department approval an updated version of its comprehensive action plan from 2019 to improve academic performance and that addresses other areas for improvement outlined in the summary of review for 2022. The action plan must set clear and specific benchmarks with a timetable and deadlines for completion of key tasks that </w:t>
      </w:r>
      <w:proofErr w:type="gramStart"/>
      <w:r>
        <w:rPr>
          <w:rFonts w:eastAsia="Times New Roman" w:cs="Times New Roman"/>
          <w:color w:val="000000" w:themeColor="text1"/>
        </w:rPr>
        <w:t>is</w:t>
      </w:r>
      <w:proofErr w:type="gramEnd"/>
      <w:r>
        <w:rPr>
          <w:rFonts w:eastAsia="Times New Roman" w:cs="Times New Roman"/>
          <w:color w:val="000000" w:themeColor="text1"/>
        </w:rPr>
        <w:t xml:space="preserve"> sufficient to allow the school’s board of trustees and the Department to monitor implementation. </w:t>
      </w:r>
    </w:p>
    <w:p w14:paraId="71256ADA" w14:textId="77777777" w:rsidR="00FC1A2C" w:rsidRDefault="00FC1A2C" w:rsidP="00FC1A2C">
      <w:pPr>
        <w:spacing w:before="240" w:after="240"/>
        <w:contextualSpacing/>
        <w:rPr>
          <w:rFonts w:eastAsia="Times New Roman" w:cs="Times New Roman"/>
          <w:b/>
          <w:bCs/>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02E6F3D9" w14:textId="6FF9C99F" w:rsidR="00FC1A2C" w:rsidRDefault="00F301CF" w:rsidP="00F301CF">
      <w:pPr>
        <w:spacing w:before="240" w:after="240"/>
        <w:ind w:left="720"/>
        <w:rPr>
          <w:rFonts w:eastAsia="Times New Roman" w:cs="Times New Roman"/>
          <w:color w:val="000000" w:themeColor="text1"/>
        </w:rPr>
      </w:pPr>
      <w:r>
        <w:rPr>
          <w:rFonts w:eastAsia="Times New Roman" w:cs="Times New Roman"/>
          <w:color w:val="000000" w:themeColor="text1"/>
        </w:rPr>
        <w:t>On September 1, 2022, the school submitted a draft of its action plan to improve academic performance</w:t>
      </w:r>
      <w:r w:rsidR="00B460DA">
        <w:rPr>
          <w:rFonts w:eastAsia="Times New Roman" w:cs="Times New Roman"/>
          <w:color w:val="000000" w:themeColor="text1"/>
        </w:rPr>
        <w:t xml:space="preserve"> and other areas identified in the summary of review</w:t>
      </w:r>
      <w:r>
        <w:rPr>
          <w:rFonts w:eastAsia="Times New Roman" w:cs="Times New Roman"/>
          <w:color w:val="000000" w:themeColor="text1"/>
        </w:rPr>
        <w:t xml:space="preserve">. The Department provided feedback, and the school submitted a revised action plan on November 21, 2023. The Department approved the revised action plan. </w:t>
      </w:r>
      <w:r w:rsidR="009B3046">
        <w:rPr>
          <w:rFonts w:eastAsia="Times New Roman" w:cs="Times New Roman"/>
          <w:color w:val="000000" w:themeColor="text1"/>
        </w:rPr>
        <w:t>To address other areas for improvement</w:t>
      </w:r>
      <w:r w:rsidR="000C550D">
        <w:rPr>
          <w:rFonts w:eastAsia="Times New Roman" w:cs="Times New Roman"/>
          <w:color w:val="000000" w:themeColor="text1"/>
        </w:rPr>
        <w:t xml:space="preserve">, GCVS </w:t>
      </w:r>
      <w:r w:rsidR="009B3046">
        <w:rPr>
          <w:rFonts w:eastAsia="Times New Roman" w:cs="Times New Roman"/>
          <w:color w:val="000000" w:themeColor="text1"/>
        </w:rPr>
        <w:t xml:space="preserve">further developed a </w:t>
      </w:r>
      <w:r w:rsidR="00753FFD">
        <w:rPr>
          <w:rFonts w:eastAsia="Times New Roman" w:cs="Times New Roman"/>
          <w:color w:val="000000" w:themeColor="text1"/>
        </w:rPr>
        <w:t xml:space="preserve">system of student </w:t>
      </w:r>
      <w:proofErr w:type="gramStart"/>
      <w:r w:rsidR="00753FFD">
        <w:rPr>
          <w:rFonts w:eastAsia="Times New Roman" w:cs="Times New Roman"/>
          <w:color w:val="000000" w:themeColor="text1"/>
        </w:rPr>
        <w:lastRenderedPageBreak/>
        <w:t>supports</w:t>
      </w:r>
      <w:proofErr w:type="gramEnd"/>
      <w:r w:rsidR="00753FFD">
        <w:rPr>
          <w:rFonts w:eastAsia="Times New Roman" w:cs="Times New Roman"/>
          <w:color w:val="000000" w:themeColor="text1"/>
        </w:rPr>
        <w:t>, piloted new curricula, implemented academic screeners,</w:t>
      </w:r>
      <w:r w:rsidR="00D1481C">
        <w:rPr>
          <w:rFonts w:eastAsia="Times New Roman" w:cs="Times New Roman"/>
          <w:color w:val="000000" w:themeColor="text1"/>
        </w:rPr>
        <w:t xml:space="preserve"> created data review cycles, and worked to improve alignment of the school’s curriculum</w:t>
      </w:r>
      <w:r w:rsidR="0059097C">
        <w:rPr>
          <w:rFonts w:eastAsia="Times New Roman" w:cs="Times New Roman"/>
          <w:color w:val="000000" w:themeColor="text1"/>
        </w:rPr>
        <w:t xml:space="preserve"> with state standards</w:t>
      </w:r>
      <w:r w:rsidR="00D1481C">
        <w:rPr>
          <w:rFonts w:eastAsia="Times New Roman" w:cs="Times New Roman"/>
          <w:color w:val="000000" w:themeColor="text1"/>
        </w:rPr>
        <w:t xml:space="preserve">. </w:t>
      </w:r>
    </w:p>
    <w:p w14:paraId="7E315E58" w14:textId="46AF4919" w:rsidR="00983F97" w:rsidRDefault="00983F97" w:rsidP="00245611">
      <w:pPr>
        <w:spacing w:before="240" w:after="240"/>
        <w:rPr>
          <w:rFonts w:eastAsia="Times New Roman" w:cs="Times New Roman"/>
          <w:color w:val="000000" w:themeColor="text1"/>
        </w:rPr>
      </w:pPr>
      <w:r w:rsidRPr="00983F97">
        <w:rPr>
          <w:rFonts w:eastAsia="Times New Roman" w:cs="Times New Roman"/>
          <w:b/>
          <w:bCs/>
          <w:color w:val="000000" w:themeColor="text1"/>
        </w:rPr>
        <w:t>Condition 6:</w:t>
      </w:r>
      <w:r>
        <w:rPr>
          <w:rFonts w:eastAsia="Times New Roman" w:cs="Times New Roman"/>
          <w:b/>
          <w:bCs/>
          <w:color w:val="000000" w:themeColor="text1"/>
        </w:rPr>
        <w:t xml:space="preserve"> </w:t>
      </w:r>
      <w:r>
        <w:rPr>
          <w:rFonts w:eastAsia="Times New Roman" w:cs="Times New Roman"/>
          <w:color w:val="000000" w:themeColor="text1"/>
        </w:rPr>
        <w:t xml:space="preserve">The school must report on a quarterly basis to the Department and its board of trustees on the progress toward meeting the benchmarks in its updated comprehensive action plan, including the timetable and deadlines for completion of key tasks. </w:t>
      </w:r>
    </w:p>
    <w:p w14:paraId="3C7557E4" w14:textId="77777777" w:rsidR="00FC1A2C" w:rsidRDefault="00FC1A2C" w:rsidP="00FC1A2C">
      <w:pPr>
        <w:spacing w:before="240" w:after="240"/>
        <w:contextualSpacing/>
        <w:rPr>
          <w:rFonts w:eastAsia="Times New Roman" w:cs="Times New Roman"/>
          <w:b/>
          <w:bCs/>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788C6115" w14:textId="772CC19A" w:rsidR="00FC1A2C" w:rsidRDefault="009C357A" w:rsidP="009C357A">
      <w:pPr>
        <w:spacing w:before="240" w:after="240"/>
        <w:ind w:left="720"/>
        <w:rPr>
          <w:rFonts w:eastAsia="Times New Roman" w:cs="Times New Roman"/>
          <w:color w:val="000000" w:themeColor="text1"/>
        </w:rPr>
      </w:pPr>
      <w:r>
        <w:rPr>
          <w:rFonts w:eastAsia="Times New Roman" w:cs="Times New Roman"/>
          <w:color w:val="000000" w:themeColor="text1"/>
        </w:rPr>
        <w:t xml:space="preserve">Since April 2023, the school has submitted quarterly reports to the Department on the progress toward meeting the benchmarks noted in its action plan. The Department received the most recent quarterly update in </w:t>
      </w:r>
      <w:r w:rsidR="00933FE1">
        <w:rPr>
          <w:rFonts w:eastAsia="Times New Roman" w:cs="Times New Roman"/>
          <w:color w:val="000000" w:themeColor="text1"/>
        </w:rPr>
        <w:t>January</w:t>
      </w:r>
      <w:r>
        <w:rPr>
          <w:rFonts w:eastAsia="Times New Roman" w:cs="Times New Roman"/>
          <w:color w:val="000000" w:themeColor="text1"/>
        </w:rPr>
        <w:t xml:space="preserve"> 202</w:t>
      </w:r>
      <w:r w:rsidR="00933FE1">
        <w:rPr>
          <w:rFonts w:eastAsia="Times New Roman" w:cs="Times New Roman"/>
          <w:color w:val="000000" w:themeColor="text1"/>
        </w:rPr>
        <w:t>5</w:t>
      </w:r>
      <w:r>
        <w:rPr>
          <w:rFonts w:eastAsia="Times New Roman" w:cs="Times New Roman"/>
          <w:color w:val="000000" w:themeColor="text1"/>
        </w:rPr>
        <w:t>. According to board meeting minutes, the school</w:t>
      </w:r>
      <w:r w:rsidR="00422680">
        <w:rPr>
          <w:rFonts w:eastAsia="Times New Roman" w:cs="Times New Roman"/>
          <w:color w:val="000000" w:themeColor="text1"/>
        </w:rPr>
        <w:t xml:space="preserve"> provides </w:t>
      </w:r>
      <w:r>
        <w:rPr>
          <w:rFonts w:eastAsia="Times New Roman" w:cs="Times New Roman"/>
          <w:color w:val="000000" w:themeColor="text1"/>
        </w:rPr>
        <w:t xml:space="preserve">quarterly updates to the board of trustees </w:t>
      </w:r>
      <w:r w:rsidR="00B11776">
        <w:rPr>
          <w:rFonts w:eastAsia="Times New Roman" w:cs="Times New Roman"/>
          <w:color w:val="000000" w:themeColor="text1"/>
        </w:rPr>
        <w:t>on the progress toward meeting the benchmarks in its action plan</w:t>
      </w:r>
      <w:r>
        <w:rPr>
          <w:rFonts w:eastAsia="Times New Roman" w:cs="Times New Roman"/>
          <w:color w:val="000000" w:themeColor="text1"/>
        </w:rPr>
        <w:t xml:space="preserve">. </w:t>
      </w:r>
    </w:p>
    <w:p w14:paraId="475AEC40" w14:textId="533AED71" w:rsidR="00983F97" w:rsidRDefault="00983F97" w:rsidP="00245611">
      <w:pPr>
        <w:spacing w:before="240" w:after="240"/>
        <w:rPr>
          <w:rFonts w:eastAsia="Times New Roman" w:cs="Times New Roman"/>
          <w:color w:val="000000" w:themeColor="text1"/>
        </w:rPr>
      </w:pPr>
      <w:r>
        <w:rPr>
          <w:rFonts w:eastAsia="Times New Roman" w:cs="Times New Roman"/>
          <w:b/>
          <w:bCs/>
          <w:color w:val="000000" w:themeColor="text1"/>
        </w:rPr>
        <w:t>Condition 7:</w:t>
      </w:r>
      <w:r>
        <w:rPr>
          <w:rFonts w:eastAsia="Times New Roman" w:cs="Times New Roman"/>
          <w:color w:val="000000" w:themeColor="text1"/>
        </w:rPr>
        <w:t xml:space="preserve"> By September 1, 2022, the board of trustees must engage a consultant and participate in training about governance roles and responsibilities, including obligations related to the Open Meeting Law. By October 15, 2022, the board must develop an action plan and schedule for adequate oversight of the school according to the CMVS Performance Criteria, Criterion 8: Governance. </w:t>
      </w:r>
    </w:p>
    <w:p w14:paraId="2F9F2DFF" w14:textId="77777777" w:rsidR="00FC1A2C" w:rsidRDefault="00FC1A2C" w:rsidP="00FC1A2C">
      <w:pPr>
        <w:spacing w:before="240" w:after="240"/>
        <w:contextualSpacing/>
        <w:rPr>
          <w:rFonts w:eastAsia="Times New Roman" w:cs="Times New Roman"/>
          <w:b/>
          <w:bCs/>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37FE3E0C" w14:textId="1BDA3884" w:rsidR="00FC1A2C" w:rsidRDefault="00B11776" w:rsidP="00DD6477">
      <w:pPr>
        <w:spacing w:before="240" w:after="240"/>
        <w:ind w:left="720"/>
        <w:rPr>
          <w:rFonts w:eastAsia="Times New Roman" w:cs="Times New Roman"/>
          <w:color w:val="000000" w:themeColor="text1"/>
        </w:rPr>
      </w:pPr>
      <w:r>
        <w:rPr>
          <w:rFonts w:eastAsia="Times New Roman" w:cs="Times New Roman"/>
          <w:color w:val="000000" w:themeColor="text1"/>
        </w:rPr>
        <w:t xml:space="preserve">On August 31, 2022, the board of trustees engaged in a governance </w:t>
      </w:r>
      <w:proofErr w:type="gramStart"/>
      <w:r>
        <w:rPr>
          <w:rFonts w:eastAsia="Times New Roman" w:cs="Times New Roman"/>
          <w:color w:val="000000" w:themeColor="text1"/>
        </w:rPr>
        <w:t>training</w:t>
      </w:r>
      <w:proofErr w:type="gramEnd"/>
      <w:r>
        <w:rPr>
          <w:rFonts w:eastAsia="Times New Roman" w:cs="Times New Roman"/>
          <w:color w:val="000000" w:themeColor="text1"/>
        </w:rPr>
        <w:t xml:space="preserve"> with the Massachusetts Association of School Committees and discussed the board’s roles and responsibilities, including obligation</w:t>
      </w:r>
      <w:r w:rsidR="00021349">
        <w:rPr>
          <w:rFonts w:eastAsia="Times New Roman" w:cs="Times New Roman"/>
          <w:color w:val="000000" w:themeColor="text1"/>
        </w:rPr>
        <w:t>s</w:t>
      </w:r>
      <w:r>
        <w:rPr>
          <w:rFonts w:eastAsia="Times New Roman" w:cs="Times New Roman"/>
          <w:color w:val="000000" w:themeColor="text1"/>
        </w:rPr>
        <w:t xml:space="preserve"> related to the Open Meeting Law. On December 7, 2022, the </w:t>
      </w:r>
      <w:r w:rsidR="00DD6477">
        <w:rPr>
          <w:rFonts w:eastAsia="Times New Roman" w:cs="Times New Roman"/>
          <w:color w:val="000000" w:themeColor="text1"/>
        </w:rPr>
        <w:t xml:space="preserve">school’s </w:t>
      </w:r>
      <w:r>
        <w:rPr>
          <w:rFonts w:eastAsia="Times New Roman" w:cs="Times New Roman"/>
          <w:color w:val="000000" w:themeColor="text1"/>
        </w:rPr>
        <w:t xml:space="preserve">board </w:t>
      </w:r>
      <w:r w:rsidR="005A49E4">
        <w:rPr>
          <w:rFonts w:eastAsia="Times New Roman" w:cs="Times New Roman"/>
          <w:color w:val="000000" w:themeColor="text1"/>
        </w:rPr>
        <w:t xml:space="preserve">submitted a draft of its action plan to demonstrate adequate oversight of the school. The Department provided feedback, and the </w:t>
      </w:r>
      <w:r w:rsidR="00DD6477">
        <w:rPr>
          <w:rFonts w:eastAsia="Times New Roman" w:cs="Times New Roman"/>
          <w:color w:val="000000" w:themeColor="text1"/>
        </w:rPr>
        <w:t xml:space="preserve">school’s </w:t>
      </w:r>
      <w:r w:rsidR="005A49E4">
        <w:rPr>
          <w:rFonts w:eastAsia="Times New Roman" w:cs="Times New Roman"/>
          <w:color w:val="000000" w:themeColor="text1"/>
        </w:rPr>
        <w:t xml:space="preserve">board submitted </w:t>
      </w:r>
      <w:r w:rsidR="00DD6477">
        <w:rPr>
          <w:rFonts w:eastAsia="Times New Roman" w:cs="Times New Roman"/>
          <w:color w:val="000000" w:themeColor="text1"/>
        </w:rPr>
        <w:t xml:space="preserve">a revised action plan on March 7, 2023. The Department approved the revised action plan. </w:t>
      </w:r>
    </w:p>
    <w:p w14:paraId="0E1EAE4F" w14:textId="24F46855" w:rsidR="00983F97" w:rsidRPr="00983F97" w:rsidRDefault="00983F97" w:rsidP="00245611">
      <w:pPr>
        <w:spacing w:before="240" w:after="240"/>
        <w:rPr>
          <w:rFonts w:eastAsia="Times New Roman" w:cs="Times New Roman"/>
          <w:color w:val="000000" w:themeColor="text1"/>
        </w:rPr>
      </w:pPr>
      <w:r>
        <w:rPr>
          <w:rFonts w:eastAsia="Times New Roman" w:cs="Times New Roman"/>
          <w:b/>
          <w:bCs/>
          <w:color w:val="000000" w:themeColor="text1"/>
        </w:rPr>
        <w:t>Condition 8:</w:t>
      </w:r>
      <w:r>
        <w:rPr>
          <w:rFonts w:eastAsia="Times New Roman" w:cs="Times New Roman"/>
          <w:color w:val="000000" w:themeColor="text1"/>
        </w:rPr>
        <w:t xml:space="preserve"> By December 31, 2024, the school must demonstrate that it is an academic success by providing evidence of significant and sustained academic improvement in mathematics, English language arts, and science for all students and all student subgroups. </w:t>
      </w:r>
    </w:p>
    <w:p w14:paraId="0D16D54C" w14:textId="77777777" w:rsidR="00FC1A2C" w:rsidRDefault="00FC1A2C" w:rsidP="00FC1A2C">
      <w:pPr>
        <w:spacing w:before="240" w:after="240"/>
        <w:contextualSpacing/>
        <w:rPr>
          <w:rFonts w:eastAsia="Times New Roman" w:cs="Times New Roman"/>
          <w:b/>
          <w:bCs/>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49887D62" w14:textId="11A65E2A" w:rsidR="00D41933" w:rsidRDefault="00A70097" w:rsidP="008169B2">
      <w:pPr>
        <w:spacing w:before="240" w:after="240"/>
        <w:ind w:left="720"/>
        <w:rPr>
          <w:rFonts w:eastAsia="Times New Roman" w:cs="Times New Roman"/>
          <w:color w:val="000000" w:themeColor="text1"/>
        </w:rPr>
      </w:pPr>
      <w:r w:rsidRPr="4B59BA6C">
        <w:rPr>
          <w:rFonts w:eastAsia="Times New Roman" w:cs="Times New Roman"/>
          <w:color w:val="000000" w:themeColor="text1"/>
        </w:rPr>
        <w:t xml:space="preserve">According to the statewide system of accountability, the school has shown </w:t>
      </w:r>
      <w:r w:rsidR="008169B2" w:rsidRPr="4B59BA6C">
        <w:rPr>
          <w:rFonts w:eastAsia="Times New Roman" w:cs="Times New Roman"/>
          <w:color w:val="000000" w:themeColor="text1"/>
        </w:rPr>
        <w:t>some academic improvement</w:t>
      </w:r>
      <w:r w:rsidR="00536BCC" w:rsidRPr="4B59BA6C">
        <w:rPr>
          <w:rFonts w:eastAsia="Times New Roman" w:cs="Times New Roman"/>
          <w:color w:val="000000" w:themeColor="text1"/>
        </w:rPr>
        <w:t xml:space="preserve">, but </w:t>
      </w:r>
      <w:r w:rsidR="00BA00A6">
        <w:rPr>
          <w:rFonts w:eastAsia="Times New Roman" w:cs="Times New Roman"/>
          <w:color w:val="000000" w:themeColor="text1"/>
        </w:rPr>
        <w:t>that improvement</w:t>
      </w:r>
      <w:r w:rsidR="00BA00A6" w:rsidRPr="4B59BA6C">
        <w:rPr>
          <w:rFonts w:eastAsia="Times New Roman" w:cs="Times New Roman"/>
          <w:color w:val="000000" w:themeColor="text1"/>
        </w:rPr>
        <w:t xml:space="preserve"> </w:t>
      </w:r>
      <w:r w:rsidR="00536BCC" w:rsidRPr="4B59BA6C">
        <w:rPr>
          <w:rFonts w:eastAsia="Times New Roman" w:cs="Times New Roman"/>
          <w:color w:val="000000" w:themeColor="text1"/>
        </w:rPr>
        <w:t>is not yet significant or sustained.</w:t>
      </w:r>
      <w:r w:rsidRPr="4B59BA6C">
        <w:rPr>
          <w:rFonts w:eastAsia="Times New Roman" w:cs="Times New Roman"/>
          <w:color w:val="000000" w:themeColor="text1"/>
        </w:rPr>
        <w:t xml:space="preserve"> </w:t>
      </w:r>
      <w:r w:rsidR="008E4ABF" w:rsidRPr="4B59BA6C">
        <w:rPr>
          <w:rFonts w:eastAsia="Times New Roman" w:cs="Times New Roman"/>
          <w:color w:val="000000" w:themeColor="text1"/>
        </w:rPr>
        <w:t xml:space="preserve">Since the beginning of the implementation of the current </w:t>
      </w:r>
      <w:r w:rsidR="00314757" w:rsidRPr="4B59BA6C">
        <w:rPr>
          <w:rFonts w:eastAsia="Times New Roman" w:cs="Times New Roman"/>
          <w:color w:val="000000" w:themeColor="text1"/>
        </w:rPr>
        <w:t xml:space="preserve">statewide system of accountability, the school’s accountability </w:t>
      </w:r>
      <w:r w:rsidR="00F469AA" w:rsidRPr="4B59BA6C">
        <w:rPr>
          <w:rFonts w:eastAsia="Times New Roman" w:cs="Times New Roman"/>
          <w:color w:val="000000" w:themeColor="text1"/>
        </w:rPr>
        <w:t xml:space="preserve">percentile </w:t>
      </w:r>
      <w:r w:rsidR="004B1ADE" w:rsidRPr="4B59BA6C">
        <w:rPr>
          <w:rFonts w:eastAsia="Times New Roman" w:cs="Times New Roman"/>
          <w:color w:val="000000" w:themeColor="text1"/>
        </w:rPr>
        <w:t>rose</w:t>
      </w:r>
      <w:r w:rsidR="00220EB5" w:rsidRPr="4B59BA6C">
        <w:rPr>
          <w:rFonts w:eastAsia="Times New Roman" w:cs="Times New Roman"/>
          <w:color w:val="000000" w:themeColor="text1"/>
        </w:rPr>
        <w:t xml:space="preserve"> from</w:t>
      </w:r>
      <w:r w:rsidR="00905927" w:rsidRPr="4B59BA6C">
        <w:rPr>
          <w:rFonts w:eastAsia="Times New Roman" w:cs="Times New Roman"/>
          <w:color w:val="000000" w:themeColor="text1"/>
        </w:rPr>
        <w:t xml:space="preserve"> 4 in 2019 to</w:t>
      </w:r>
      <w:r w:rsidR="004B1ADE" w:rsidRPr="4B59BA6C">
        <w:rPr>
          <w:rFonts w:eastAsia="Times New Roman" w:cs="Times New Roman"/>
          <w:color w:val="000000" w:themeColor="text1"/>
        </w:rPr>
        <w:t xml:space="preserve"> </w:t>
      </w:r>
      <w:r w:rsidR="00A069CE" w:rsidRPr="4B59BA6C">
        <w:rPr>
          <w:rFonts w:eastAsia="Times New Roman" w:cs="Times New Roman"/>
          <w:color w:val="000000" w:themeColor="text1"/>
        </w:rPr>
        <w:t xml:space="preserve">14 in 2022, 20 in 2023, and </w:t>
      </w:r>
      <w:r w:rsidR="003862AA" w:rsidRPr="4B59BA6C">
        <w:rPr>
          <w:rFonts w:eastAsia="Times New Roman" w:cs="Times New Roman"/>
          <w:color w:val="000000" w:themeColor="text1"/>
        </w:rPr>
        <w:t xml:space="preserve">27 in 2024. </w:t>
      </w:r>
      <w:r w:rsidR="00905927" w:rsidRPr="4B59BA6C">
        <w:rPr>
          <w:rFonts w:eastAsia="Times New Roman" w:cs="Times New Roman"/>
          <w:color w:val="000000" w:themeColor="text1"/>
        </w:rPr>
        <w:t>While the school made substantial progress toward targets in 2023 and 2024, t</w:t>
      </w:r>
      <w:r w:rsidRPr="4B59BA6C">
        <w:rPr>
          <w:rFonts w:eastAsia="Times New Roman" w:cs="Times New Roman"/>
          <w:color w:val="000000" w:themeColor="text1"/>
        </w:rPr>
        <w:t xml:space="preserve">he Department classified </w:t>
      </w:r>
      <w:r w:rsidR="004034E5">
        <w:rPr>
          <w:rFonts w:eastAsia="Times New Roman" w:cs="Times New Roman"/>
          <w:color w:val="000000" w:themeColor="text1"/>
        </w:rPr>
        <w:t>GCVS</w:t>
      </w:r>
      <w:r w:rsidRPr="4B59BA6C">
        <w:rPr>
          <w:rFonts w:eastAsia="Times New Roman" w:cs="Times New Roman"/>
          <w:color w:val="000000" w:themeColor="text1"/>
        </w:rPr>
        <w:t xml:space="preserve"> as requiring assistance or intervention </w:t>
      </w:r>
      <w:r w:rsidR="00905927" w:rsidRPr="4B59BA6C">
        <w:rPr>
          <w:rFonts w:eastAsia="Times New Roman" w:cs="Times New Roman"/>
          <w:color w:val="000000" w:themeColor="text1"/>
        </w:rPr>
        <w:t>both years</w:t>
      </w:r>
      <w:r w:rsidRPr="4B59BA6C">
        <w:rPr>
          <w:rFonts w:eastAsia="Times New Roman" w:cs="Times New Roman"/>
          <w:color w:val="000000" w:themeColor="text1"/>
        </w:rPr>
        <w:t xml:space="preserve"> due to the school’s low graduation rate and low participation rate for all students and all student groups.</w:t>
      </w:r>
      <w:r w:rsidR="008169B2" w:rsidRPr="4B59BA6C">
        <w:rPr>
          <w:rFonts w:eastAsia="Times New Roman" w:cs="Times New Roman"/>
          <w:color w:val="000000" w:themeColor="text1"/>
        </w:rPr>
        <w:t xml:space="preserve"> </w:t>
      </w:r>
      <w:r w:rsidR="001A2822" w:rsidRPr="4B59BA6C">
        <w:rPr>
          <w:rFonts w:eastAsia="Times New Roman" w:cs="Times New Roman"/>
          <w:color w:val="000000" w:themeColor="text1"/>
        </w:rPr>
        <w:t xml:space="preserve">The percentage of students in grades 3 through 8 meeting or exceeding expectations decreased </w:t>
      </w:r>
      <w:r w:rsidR="001A2822" w:rsidRPr="4B59BA6C">
        <w:rPr>
          <w:rFonts w:eastAsia="Times New Roman" w:cs="Times New Roman"/>
          <w:color w:val="000000" w:themeColor="text1"/>
        </w:rPr>
        <w:lastRenderedPageBreak/>
        <w:t xml:space="preserve">between 2022 and 2024 </w:t>
      </w:r>
      <w:r w:rsidR="00F41389" w:rsidRPr="4B59BA6C">
        <w:rPr>
          <w:rFonts w:eastAsia="Times New Roman" w:cs="Times New Roman"/>
          <w:color w:val="000000" w:themeColor="text1"/>
        </w:rPr>
        <w:t>in all subject areas (English language arts, mathematics, and science)</w:t>
      </w:r>
      <w:r w:rsidR="003A6F3E">
        <w:rPr>
          <w:rFonts w:eastAsia="Times New Roman" w:cs="Times New Roman"/>
          <w:color w:val="000000" w:themeColor="text1"/>
        </w:rPr>
        <w:t>. T</w:t>
      </w:r>
      <w:r w:rsidR="001A2822" w:rsidRPr="4B59BA6C">
        <w:rPr>
          <w:rFonts w:eastAsia="Times New Roman" w:cs="Times New Roman"/>
          <w:color w:val="000000" w:themeColor="text1"/>
        </w:rPr>
        <w:t xml:space="preserve">he percentage of students in grade 10 meeting or exceeding expectations </w:t>
      </w:r>
      <w:r w:rsidR="029C9F45" w:rsidRPr="4B59BA6C">
        <w:rPr>
          <w:rFonts w:eastAsia="Times New Roman" w:cs="Times New Roman"/>
          <w:color w:val="000000" w:themeColor="text1"/>
        </w:rPr>
        <w:t xml:space="preserve">generally </w:t>
      </w:r>
      <w:r w:rsidR="001A2822" w:rsidRPr="4B59BA6C">
        <w:rPr>
          <w:rFonts w:eastAsia="Times New Roman" w:cs="Times New Roman"/>
          <w:color w:val="000000" w:themeColor="text1"/>
        </w:rPr>
        <w:t>increase</w:t>
      </w:r>
      <w:r w:rsidR="00F41389" w:rsidRPr="4B59BA6C">
        <w:rPr>
          <w:rFonts w:eastAsia="Times New Roman" w:cs="Times New Roman"/>
          <w:color w:val="000000" w:themeColor="text1"/>
        </w:rPr>
        <w:t>d between 2022 and 2024 for all subject areas.</w:t>
      </w:r>
    </w:p>
    <w:p w14:paraId="703FDB93" w14:textId="536BE87E" w:rsidR="00BA78BA" w:rsidRDefault="00C2521C" w:rsidP="005B5166">
      <w:pPr>
        <w:spacing w:before="240" w:after="240"/>
        <w:ind w:left="720"/>
        <w:rPr>
          <w:rFonts w:eastAsia="Times New Roman" w:cs="Times New Roman"/>
          <w:color w:val="000000" w:themeColor="text1"/>
        </w:rPr>
      </w:pPr>
      <w:r>
        <w:rPr>
          <w:rFonts w:eastAsia="Times New Roman" w:cs="Times New Roman"/>
          <w:color w:val="000000" w:themeColor="text1"/>
        </w:rPr>
        <w:t xml:space="preserve">Due to the school’s high churn rates, </w:t>
      </w:r>
      <w:r w:rsidR="001F3869">
        <w:rPr>
          <w:rFonts w:eastAsia="Times New Roman" w:cs="Times New Roman"/>
          <w:color w:val="000000" w:themeColor="text1"/>
        </w:rPr>
        <w:t xml:space="preserve">the Department required </w:t>
      </w:r>
      <w:r w:rsidR="008C2D77">
        <w:rPr>
          <w:rFonts w:eastAsia="Times New Roman" w:cs="Times New Roman"/>
          <w:color w:val="000000" w:themeColor="text1"/>
        </w:rPr>
        <w:t>GCVS</w:t>
      </w:r>
      <w:r w:rsidR="00E15E63">
        <w:rPr>
          <w:rFonts w:eastAsia="Times New Roman" w:cs="Times New Roman"/>
          <w:color w:val="000000" w:themeColor="text1"/>
        </w:rPr>
        <w:t xml:space="preserve"> to create goals in its Accountability Plan </w:t>
      </w:r>
      <w:r w:rsidR="00B606DC">
        <w:rPr>
          <w:rFonts w:eastAsia="Times New Roman" w:cs="Times New Roman"/>
          <w:color w:val="000000" w:themeColor="text1"/>
        </w:rPr>
        <w:t xml:space="preserve">to better assess outcomes </w:t>
      </w:r>
      <w:r w:rsidR="00C72954">
        <w:rPr>
          <w:rFonts w:eastAsia="Times New Roman" w:cs="Times New Roman"/>
          <w:color w:val="000000" w:themeColor="text1"/>
        </w:rPr>
        <w:t>for</w:t>
      </w:r>
      <w:r w:rsidR="005B5166">
        <w:rPr>
          <w:rFonts w:eastAsia="Times New Roman" w:cs="Times New Roman"/>
          <w:color w:val="000000" w:themeColor="text1"/>
        </w:rPr>
        <w:t xml:space="preserve"> academic achievement</w:t>
      </w:r>
      <w:r w:rsidR="00C72954">
        <w:rPr>
          <w:rFonts w:eastAsia="Times New Roman" w:cs="Times New Roman"/>
          <w:color w:val="000000" w:themeColor="text1"/>
        </w:rPr>
        <w:t xml:space="preserve"> and </w:t>
      </w:r>
      <w:r w:rsidR="005B5166">
        <w:rPr>
          <w:rFonts w:eastAsia="Times New Roman" w:cs="Times New Roman"/>
          <w:color w:val="000000" w:themeColor="text1"/>
        </w:rPr>
        <w:t xml:space="preserve">growth </w:t>
      </w:r>
      <w:r w:rsidR="00A63C17">
        <w:rPr>
          <w:rFonts w:eastAsia="Times New Roman" w:cs="Times New Roman"/>
          <w:color w:val="000000" w:themeColor="text1"/>
        </w:rPr>
        <w:t xml:space="preserve">based on performance on non-statewide assessments. </w:t>
      </w:r>
      <w:r w:rsidR="00AD5947">
        <w:rPr>
          <w:rFonts w:eastAsia="Times New Roman" w:cs="Times New Roman"/>
          <w:color w:val="000000" w:themeColor="text1"/>
        </w:rPr>
        <w:t>GCVS</w:t>
      </w:r>
      <w:r w:rsidR="00A71CD0">
        <w:rPr>
          <w:rFonts w:eastAsia="Times New Roman" w:cs="Times New Roman"/>
          <w:color w:val="000000" w:themeColor="text1"/>
        </w:rPr>
        <w:t xml:space="preserve"> provided some </w:t>
      </w:r>
      <w:r w:rsidR="00F97DB5">
        <w:rPr>
          <w:rFonts w:eastAsia="Times New Roman" w:cs="Times New Roman"/>
          <w:color w:val="000000" w:themeColor="text1"/>
        </w:rPr>
        <w:t xml:space="preserve">additional </w:t>
      </w:r>
      <w:r w:rsidR="00A71CD0">
        <w:rPr>
          <w:rFonts w:eastAsia="Times New Roman" w:cs="Times New Roman"/>
          <w:color w:val="000000" w:themeColor="text1"/>
        </w:rPr>
        <w:t>evidence of academic success</w:t>
      </w:r>
      <w:r w:rsidR="007F1FF2" w:rsidRPr="007F1FF2">
        <w:rPr>
          <w:rFonts w:eastAsia="Times New Roman" w:cs="Times New Roman"/>
          <w:color w:val="000000" w:themeColor="text1"/>
        </w:rPr>
        <w:t xml:space="preserve"> </w:t>
      </w:r>
      <w:r w:rsidR="007F1FF2">
        <w:rPr>
          <w:rFonts w:eastAsia="Times New Roman" w:cs="Times New Roman"/>
          <w:color w:val="000000" w:themeColor="text1"/>
        </w:rPr>
        <w:t xml:space="preserve">in reports </w:t>
      </w:r>
      <w:r w:rsidR="00F97DB5">
        <w:rPr>
          <w:rFonts w:eastAsia="Times New Roman" w:cs="Times New Roman"/>
          <w:color w:val="000000" w:themeColor="text1"/>
        </w:rPr>
        <w:t xml:space="preserve">related to its </w:t>
      </w:r>
      <w:r w:rsidR="007F1FF2">
        <w:rPr>
          <w:rFonts w:eastAsia="Times New Roman" w:cs="Times New Roman"/>
          <w:color w:val="000000" w:themeColor="text1"/>
        </w:rPr>
        <w:t>Accountability Plan</w:t>
      </w:r>
      <w:r w:rsidR="00F97DB5">
        <w:rPr>
          <w:rFonts w:eastAsia="Times New Roman" w:cs="Times New Roman"/>
          <w:color w:val="000000" w:themeColor="text1"/>
        </w:rPr>
        <w:t xml:space="preserve"> for</w:t>
      </w:r>
      <w:r w:rsidR="007F1FF2">
        <w:rPr>
          <w:rFonts w:eastAsia="Times New Roman" w:cs="Times New Roman"/>
          <w:color w:val="000000" w:themeColor="text1"/>
        </w:rPr>
        <w:t xml:space="preserve"> </w:t>
      </w:r>
      <w:r w:rsidR="00F97DB5">
        <w:rPr>
          <w:rFonts w:eastAsia="Times New Roman" w:cs="Times New Roman"/>
          <w:color w:val="000000" w:themeColor="text1"/>
        </w:rPr>
        <w:t>2022-23 and 2023-24</w:t>
      </w:r>
      <w:r w:rsidR="00A71CD0">
        <w:rPr>
          <w:rFonts w:eastAsia="Times New Roman" w:cs="Times New Roman"/>
          <w:color w:val="000000" w:themeColor="text1"/>
        </w:rPr>
        <w:t xml:space="preserve">. </w:t>
      </w:r>
      <w:r w:rsidR="00BA78BA">
        <w:rPr>
          <w:rFonts w:eastAsia="Times New Roman" w:cs="Times New Roman"/>
          <w:color w:val="000000" w:themeColor="text1"/>
        </w:rPr>
        <w:t xml:space="preserve">In 2023-24, </w:t>
      </w:r>
      <w:r w:rsidR="004C69F5">
        <w:rPr>
          <w:rFonts w:eastAsia="Times New Roman" w:cs="Times New Roman"/>
          <w:color w:val="000000" w:themeColor="text1"/>
        </w:rPr>
        <w:t xml:space="preserve">according to the results of the </w:t>
      </w:r>
      <w:r w:rsidR="00A71CD0">
        <w:rPr>
          <w:rFonts w:eastAsia="Times New Roman" w:cs="Times New Roman"/>
          <w:color w:val="000000" w:themeColor="text1"/>
        </w:rPr>
        <w:t>Star 360 reading assessments</w:t>
      </w:r>
      <w:r w:rsidR="004C69F5">
        <w:rPr>
          <w:rFonts w:eastAsia="Times New Roman" w:cs="Times New Roman"/>
          <w:color w:val="000000" w:themeColor="text1"/>
        </w:rPr>
        <w:t>,</w:t>
      </w:r>
      <w:r w:rsidR="00A71CD0">
        <w:rPr>
          <w:rFonts w:eastAsia="Times New Roman" w:cs="Times New Roman"/>
          <w:color w:val="000000" w:themeColor="text1"/>
        </w:rPr>
        <w:t xml:space="preserve"> </w:t>
      </w:r>
      <w:r w:rsidR="00BA78BA">
        <w:rPr>
          <w:rFonts w:eastAsia="Times New Roman" w:cs="Times New Roman"/>
          <w:color w:val="000000" w:themeColor="text1"/>
        </w:rPr>
        <w:t xml:space="preserve">91 percent of students enrolled </w:t>
      </w:r>
      <w:r w:rsidR="00F97DB5">
        <w:rPr>
          <w:rFonts w:eastAsia="Times New Roman" w:cs="Times New Roman"/>
          <w:color w:val="000000" w:themeColor="text1"/>
        </w:rPr>
        <w:t xml:space="preserve">for </w:t>
      </w:r>
      <w:r w:rsidR="00BA78BA">
        <w:rPr>
          <w:rFonts w:eastAsia="Times New Roman" w:cs="Times New Roman"/>
          <w:color w:val="000000" w:themeColor="text1"/>
        </w:rPr>
        <w:t>the full academic year scored at grade level, met the</w:t>
      </w:r>
      <w:r w:rsidR="005928EB">
        <w:rPr>
          <w:rFonts w:eastAsia="Times New Roman" w:cs="Times New Roman"/>
          <w:color w:val="000000" w:themeColor="text1"/>
        </w:rPr>
        <w:t>ir relevant</w:t>
      </w:r>
      <w:r w:rsidR="00BA78BA">
        <w:rPr>
          <w:rFonts w:eastAsia="Times New Roman" w:cs="Times New Roman"/>
          <w:color w:val="000000" w:themeColor="text1"/>
        </w:rPr>
        <w:t xml:space="preserve"> student growth percentile goal, or increased </w:t>
      </w:r>
      <w:r w:rsidR="008679C4">
        <w:rPr>
          <w:rFonts w:eastAsia="Times New Roman" w:cs="Times New Roman"/>
          <w:color w:val="000000" w:themeColor="text1"/>
        </w:rPr>
        <w:t>by one</w:t>
      </w:r>
      <w:r w:rsidR="00BA78BA">
        <w:rPr>
          <w:rFonts w:eastAsia="Times New Roman" w:cs="Times New Roman"/>
          <w:color w:val="000000" w:themeColor="text1"/>
        </w:rPr>
        <w:t xml:space="preserve"> grade level </w:t>
      </w:r>
      <w:r w:rsidR="006C75AB">
        <w:rPr>
          <w:rFonts w:eastAsia="Times New Roman" w:cs="Times New Roman"/>
          <w:color w:val="000000" w:themeColor="text1"/>
        </w:rPr>
        <w:t>by the end of the school year</w:t>
      </w:r>
      <w:r w:rsidR="00BA78BA">
        <w:rPr>
          <w:rFonts w:eastAsia="Times New Roman" w:cs="Times New Roman"/>
          <w:color w:val="000000" w:themeColor="text1"/>
        </w:rPr>
        <w:t xml:space="preserve">, which was an increase from 83 percent of students in 2022-23. </w:t>
      </w:r>
      <w:r w:rsidR="004C69F5">
        <w:rPr>
          <w:rFonts w:eastAsia="Times New Roman" w:cs="Times New Roman"/>
          <w:color w:val="000000" w:themeColor="text1"/>
        </w:rPr>
        <w:t>According to the results of the Star 360 mathematics assessments</w:t>
      </w:r>
      <w:r w:rsidR="00BA78BA">
        <w:rPr>
          <w:rFonts w:eastAsia="Times New Roman" w:cs="Times New Roman"/>
          <w:color w:val="000000" w:themeColor="text1"/>
        </w:rPr>
        <w:t xml:space="preserve">, 85 percent of students enrolled </w:t>
      </w:r>
      <w:r w:rsidR="00F97DB5">
        <w:rPr>
          <w:rFonts w:eastAsia="Times New Roman" w:cs="Times New Roman"/>
          <w:color w:val="000000" w:themeColor="text1"/>
        </w:rPr>
        <w:t xml:space="preserve">for </w:t>
      </w:r>
      <w:r w:rsidR="00BA78BA">
        <w:rPr>
          <w:rFonts w:eastAsia="Times New Roman" w:cs="Times New Roman"/>
          <w:color w:val="000000" w:themeColor="text1"/>
        </w:rPr>
        <w:t xml:space="preserve">the full academic year scored at grade level, met their </w:t>
      </w:r>
      <w:r w:rsidR="005928EB">
        <w:rPr>
          <w:rFonts w:eastAsia="Times New Roman" w:cs="Times New Roman"/>
          <w:color w:val="000000" w:themeColor="text1"/>
        </w:rPr>
        <w:t xml:space="preserve">relevant </w:t>
      </w:r>
      <w:r w:rsidR="00BA78BA">
        <w:rPr>
          <w:rFonts w:eastAsia="Times New Roman" w:cs="Times New Roman"/>
          <w:color w:val="000000" w:themeColor="text1"/>
        </w:rPr>
        <w:t xml:space="preserve">student growth percentile goal, or increased </w:t>
      </w:r>
      <w:r w:rsidR="008679C4">
        <w:rPr>
          <w:rFonts w:eastAsia="Times New Roman" w:cs="Times New Roman"/>
          <w:color w:val="000000" w:themeColor="text1"/>
        </w:rPr>
        <w:t>by one</w:t>
      </w:r>
      <w:r w:rsidR="00BA78BA">
        <w:rPr>
          <w:rFonts w:eastAsia="Times New Roman" w:cs="Times New Roman"/>
          <w:color w:val="000000" w:themeColor="text1"/>
        </w:rPr>
        <w:t xml:space="preserve"> grade level </w:t>
      </w:r>
      <w:r w:rsidR="006C75AB">
        <w:rPr>
          <w:rFonts w:eastAsia="Times New Roman" w:cs="Times New Roman"/>
          <w:color w:val="000000" w:themeColor="text1"/>
        </w:rPr>
        <w:t>by the end of the 2023-24 school year</w:t>
      </w:r>
      <w:r w:rsidR="00BA78BA">
        <w:rPr>
          <w:rFonts w:eastAsia="Times New Roman" w:cs="Times New Roman"/>
          <w:color w:val="000000" w:themeColor="text1"/>
        </w:rPr>
        <w:t>, which was a</w:t>
      </w:r>
      <w:r w:rsidR="004D28D5">
        <w:rPr>
          <w:rFonts w:eastAsia="Times New Roman" w:cs="Times New Roman"/>
          <w:color w:val="000000" w:themeColor="text1"/>
        </w:rPr>
        <w:t xml:space="preserve"> small</w:t>
      </w:r>
      <w:r w:rsidR="00BA78BA">
        <w:rPr>
          <w:rFonts w:eastAsia="Times New Roman" w:cs="Times New Roman"/>
          <w:color w:val="000000" w:themeColor="text1"/>
        </w:rPr>
        <w:t xml:space="preserve"> increase from 84 percent of students in 2022-23.</w:t>
      </w:r>
      <w:r w:rsidR="005B5166">
        <w:rPr>
          <w:rFonts w:eastAsia="Times New Roman" w:cs="Times New Roman"/>
          <w:color w:val="000000" w:themeColor="text1"/>
        </w:rPr>
        <w:t xml:space="preserve"> </w:t>
      </w:r>
    </w:p>
    <w:p w14:paraId="25C2CB46" w14:textId="01F5C771" w:rsidR="000411F7" w:rsidRPr="000411F7" w:rsidRDefault="000411F7" w:rsidP="00245611">
      <w:pPr>
        <w:spacing w:before="240" w:after="240"/>
        <w:rPr>
          <w:rFonts w:eastAsia="Times New Roman" w:cs="Times New Roman"/>
          <w:b/>
          <w:bCs/>
          <w:color w:val="000000" w:themeColor="text1"/>
        </w:rPr>
      </w:pPr>
      <w:r>
        <w:rPr>
          <w:rFonts w:eastAsia="Times New Roman" w:cs="Times New Roman"/>
          <w:b/>
          <w:bCs/>
          <w:color w:val="000000" w:themeColor="text1"/>
        </w:rPr>
        <w:t>Recommendation:</w:t>
      </w:r>
    </w:p>
    <w:p w14:paraId="3D9D5EF8" w14:textId="717BBAFE" w:rsidR="0084727D" w:rsidRDefault="0084727D" w:rsidP="0084727D">
      <w:pPr>
        <w:spacing w:before="240" w:after="240"/>
        <w:rPr>
          <w:rFonts w:eastAsia="Times New Roman" w:cs="Times New Roman"/>
          <w:color w:val="000000" w:themeColor="text1"/>
        </w:rPr>
      </w:pPr>
      <w:r>
        <w:rPr>
          <w:rFonts w:eastAsia="Times New Roman" w:cs="Times New Roman"/>
          <w:color w:val="000000" w:themeColor="text1"/>
        </w:rPr>
        <w:t xml:space="preserve">Given the evidence presented above, I recommend that the Board remove seven conditions imposed on GCVS and extend one condition related to academic results. The school has shown some academic improvement; </w:t>
      </w:r>
      <w:r w:rsidR="004D28D5">
        <w:rPr>
          <w:rFonts w:eastAsia="Times New Roman" w:cs="Times New Roman"/>
          <w:color w:val="000000" w:themeColor="text1"/>
        </w:rPr>
        <w:t>academic</w:t>
      </w:r>
      <w:r>
        <w:rPr>
          <w:rFonts w:eastAsia="Times New Roman" w:cs="Times New Roman"/>
          <w:color w:val="000000" w:themeColor="text1"/>
        </w:rPr>
        <w:t xml:space="preserve"> </w:t>
      </w:r>
      <w:r w:rsidR="00926B66">
        <w:rPr>
          <w:rFonts w:eastAsia="Times New Roman" w:cs="Times New Roman"/>
          <w:color w:val="000000" w:themeColor="text1"/>
        </w:rPr>
        <w:t>performance</w:t>
      </w:r>
      <w:r w:rsidR="004D28D5">
        <w:rPr>
          <w:rFonts w:eastAsia="Times New Roman" w:cs="Times New Roman"/>
          <w:color w:val="000000" w:themeColor="text1"/>
        </w:rPr>
        <w:t>, however,</w:t>
      </w:r>
      <w:r w:rsidR="00926B66">
        <w:rPr>
          <w:rFonts w:eastAsia="Times New Roman" w:cs="Times New Roman"/>
          <w:color w:val="000000" w:themeColor="text1"/>
        </w:rPr>
        <w:t xml:space="preserve"> </w:t>
      </w:r>
      <w:r>
        <w:rPr>
          <w:rFonts w:eastAsia="Times New Roman" w:cs="Times New Roman"/>
          <w:color w:val="000000" w:themeColor="text1"/>
        </w:rPr>
        <w:t xml:space="preserve">remains an area of concern. Therefore, I recommend extending the </w:t>
      </w:r>
      <w:r w:rsidR="00E71D3D">
        <w:rPr>
          <w:rFonts w:eastAsia="Times New Roman" w:cs="Times New Roman"/>
          <w:color w:val="000000" w:themeColor="text1"/>
        </w:rPr>
        <w:t xml:space="preserve">existing </w:t>
      </w:r>
      <w:r>
        <w:rPr>
          <w:rFonts w:eastAsia="Times New Roman" w:cs="Times New Roman"/>
          <w:color w:val="000000" w:themeColor="text1"/>
        </w:rPr>
        <w:t xml:space="preserve">academic condition by one year, through the end of the current certificate term. </w:t>
      </w:r>
    </w:p>
    <w:p w14:paraId="7FB6E66C" w14:textId="71DC01B2" w:rsidR="006A3951" w:rsidRDefault="006A3951" w:rsidP="006A3951">
      <w:pPr>
        <w:spacing w:before="240" w:after="240"/>
        <w:ind w:left="720"/>
        <w:rPr>
          <w:rFonts w:eastAsia="Times New Roman" w:cs="Times New Roman"/>
          <w:color w:val="000000" w:themeColor="text1"/>
        </w:rPr>
      </w:pPr>
      <w:r>
        <w:rPr>
          <w:rFonts w:eastAsia="Times New Roman" w:cs="Times New Roman"/>
          <w:b/>
          <w:bCs/>
          <w:color w:val="000000" w:themeColor="text1"/>
        </w:rPr>
        <w:t xml:space="preserve">Condition: </w:t>
      </w:r>
      <w:r>
        <w:rPr>
          <w:rFonts w:eastAsia="Times New Roman" w:cs="Times New Roman"/>
          <w:color w:val="000000" w:themeColor="text1"/>
        </w:rPr>
        <w:t xml:space="preserve">By December 31, 2025, the school must demonstrate that it is an academic success by providing </w:t>
      </w:r>
      <w:r w:rsidR="001F424E">
        <w:rPr>
          <w:rFonts w:eastAsia="Times New Roman" w:cs="Times New Roman"/>
          <w:color w:val="000000" w:themeColor="text1"/>
        </w:rPr>
        <w:t xml:space="preserve">evidence </w:t>
      </w:r>
      <w:r w:rsidR="00E5397D">
        <w:rPr>
          <w:rFonts w:eastAsia="Times New Roman" w:cs="Times New Roman"/>
          <w:color w:val="000000" w:themeColor="text1"/>
        </w:rPr>
        <w:t xml:space="preserve">of significant and sustained academic improvement in mathematics, English language arts, and science for all students and all student subgroups. </w:t>
      </w:r>
    </w:p>
    <w:p w14:paraId="0E1F7757" w14:textId="5B1BC0FB" w:rsidR="00503710" w:rsidRDefault="008F53FB" w:rsidP="00503710">
      <w:pPr>
        <w:spacing w:before="240" w:after="240"/>
        <w:rPr>
          <w:rFonts w:eastAsia="Times New Roman" w:cs="Times New Roman"/>
          <w:color w:val="000000" w:themeColor="text1"/>
        </w:rPr>
      </w:pPr>
      <w:r>
        <w:rPr>
          <w:rFonts w:eastAsia="Times New Roman" w:cs="Times New Roman"/>
          <w:color w:val="000000" w:themeColor="text1"/>
        </w:rPr>
        <w:t>GCVS</w:t>
      </w:r>
      <w:r w:rsidR="00503710">
        <w:rPr>
          <w:rFonts w:eastAsia="Times New Roman" w:cs="Times New Roman"/>
          <w:color w:val="000000" w:themeColor="text1"/>
        </w:rPr>
        <w:t xml:space="preserve"> will seek renewal of its certificate during the 2025-26 school year and will receive a renewal inspection review during the fall of 2025. With further evidence gathered during the renewal inspection and another year of assessment data, the Board can reassess the strength of the school’s academic program</w:t>
      </w:r>
      <w:r w:rsidR="007376D2">
        <w:rPr>
          <w:rFonts w:eastAsia="Times New Roman" w:cs="Times New Roman"/>
          <w:color w:val="000000" w:themeColor="text1"/>
        </w:rPr>
        <w:t xml:space="preserve"> in March 2026</w:t>
      </w:r>
      <w:r w:rsidR="00503710">
        <w:rPr>
          <w:rFonts w:eastAsia="Times New Roman" w:cs="Times New Roman"/>
          <w:color w:val="000000" w:themeColor="text1"/>
        </w:rPr>
        <w:t xml:space="preserve">. </w:t>
      </w:r>
    </w:p>
    <w:p w14:paraId="37CA4AA2" w14:textId="669DF4D4" w:rsidR="007C0645" w:rsidRDefault="007C0645">
      <w:pPr>
        <w:rPr>
          <w:rFonts w:eastAsia="Times New Roman" w:cs="Times New Roman"/>
          <w:color w:val="000000" w:themeColor="text1"/>
        </w:rPr>
      </w:pPr>
      <w:r>
        <w:rPr>
          <w:rFonts w:eastAsia="Times New Roman" w:cs="Times New Roman"/>
          <w:color w:val="000000" w:themeColor="text1"/>
        </w:rPr>
        <w:br w:type="page"/>
      </w:r>
    </w:p>
    <w:p w14:paraId="30335DF5" w14:textId="3D73E82D" w:rsidR="00FF5BDA" w:rsidRDefault="00FE4670" w:rsidP="00FF5BDA">
      <w:pPr>
        <w:spacing w:before="240" w:after="240"/>
        <w:rPr>
          <w:rFonts w:eastAsia="Times New Roman" w:cs="Times New Roman"/>
          <w:color w:val="000000" w:themeColor="text1"/>
        </w:rPr>
      </w:pPr>
      <w:r>
        <w:rPr>
          <w:rFonts w:eastAsia="Times New Roman" w:cs="Times New Roman"/>
          <w:b/>
          <w:bCs/>
          <w:color w:val="000000" w:themeColor="text1"/>
        </w:rPr>
        <w:lastRenderedPageBreak/>
        <w:t xml:space="preserve">TEC Connections Academy Commonwealth Virtual School </w:t>
      </w:r>
    </w:p>
    <w:tbl>
      <w:tblPr>
        <w:tblStyle w:val="TableGrid"/>
        <w:tblW w:w="4900" w:type="pct"/>
        <w:jc w:val="center"/>
        <w:tblLook w:val="04A0" w:firstRow="1" w:lastRow="0" w:firstColumn="1" w:lastColumn="0" w:noHBand="0" w:noVBand="1"/>
      </w:tblPr>
      <w:tblGrid>
        <w:gridCol w:w="2289"/>
        <w:gridCol w:w="2291"/>
        <w:gridCol w:w="2291"/>
        <w:gridCol w:w="2283"/>
        <w:gridCol w:w="9"/>
      </w:tblGrid>
      <w:tr w:rsidR="00FF5BDA" w14:paraId="13C143D2" w14:textId="77777777" w:rsidTr="007C0645">
        <w:trPr>
          <w:cantSplit/>
          <w:jc w:val="center"/>
        </w:trPr>
        <w:tc>
          <w:tcPr>
            <w:tcW w:w="1249" w:type="pct"/>
            <w:shd w:val="clear" w:color="auto" w:fill="F2F2F2" w:themeFill="background1" w:themeFillShade="F2"/>
          </w:tcPr>
          <w:p w14:paraId="3DA85E1D" w14:textId="77777777" w:rsidR="00FF5BDA" w:rsidRPr="00211DC2" w:rsidRDefault="00FF5BDA" w:rsidP="007C0645">
            <w:pPr>
              <w:pStyle w:val="Table"/>
              <w:keepNext/>
              <w:rPr>
                <w:b/>
              </w:rPr>
            </w:pPr>
            <w:r w:rsidRPr="00211DC2">
              <w:rPr>
                <w:b/>
              </w:rPr>
              <w:t>Type of C</w:t>
            </w:r>
            <w:r>
              <w:rPr>
                <w:b/>
              </w:rPr>
              <w:t xml:space="preserve">MVS </w:t>
            </w:r>
          </w:p>
        </w:tc>
        <w:tc>
          <w:tcPr>
            <w:tcW w:w="1250" w:type="pct"/>
          </w:tcPr>
          <w:p w14:paraId="7F2F5DC4" w14:textId="77777777" w:rsidR="00FF5BDA" w:rsidRDefault="00FF5BDA" w:rsidP="007C0645">
            <w:pPr>
              <w:pStyle w:val="Table"/>
              <w:keepNext/>
            </w:pPr>
            <w:r>
              <w:t>CMVS 1</w:t>
            </w:r>
          </w:p>
        </w:tc>
        <w:tc>
          <w:tcPr>
            <w:tcW w:w="1250" w:type="pct"/>
            <w:shd w:val="clear" w:color="auto" w:fill="F2F2F2" w:themeFill="background1" w:themeFillShade="F2"/>
          </w:tcPr>
          <w:p w14:paraId="572D233C" w14:textId="77777777" w:rsidR="00FF5BDA" w:rsidRPr="00211DC2" w:rsidRDefault="00FF5BDA" w:rsidP="007C0645">
            <w:pPr>
              <w:pStyle w:val="Table"/>
              <w:keepNext/>
              <w:rPr>
                <w:b/>
              </w:rPr>
            </w:pPr>
            <w:r>
              <w:rPr>
                <w:b/>
              </w:rPr>
              <w:t>Number of D</w:t>
            </w:r>
            <w:r w:rsidRPr="00211DC2">
              <w:rPr>
                <w:b/>
              </w:rPr>
              <w:t xml:space="preserve">istricts </w:t>
            </w:r>
            <w:r>
              <w:rPr>
                <w:b/>
              </w:rPr>
              <w:t>Capped for Enrollment</w:t>
            </w:r>
            <w:r>
              <w:rPr>
                <w:rStyle w:val="FootnoteReference"/>
                <w:b/>
              </w:rPr>
              <w:footnoteReference w:id="6"/>
            </w:r>
          </w:p>
        </w:tc>
        <w:tc>
          <w:tcPr>
            <w:tcW w:w="1251" w:type="pct"/>
            <w:gridSpan w:val="2"/>
          </w:tcPr>
          <w:p w14:paraId="79AD9886" w14:textId="77777777" w:rsidR="00FF5BDA" w:rsidRDefault="00FF5BDA" w:rsidP="007C0645">
            <w:pPr>
              <w:pStyle w:val="Table"/>
              <w:keepNext/>
            </w:pPr>
            <w:r>
              <w:t>27</w:t>
            </w:r>
          </w:p>
        </w:tc>
      </w:tr>
      <w:tr w:rsidR="00FF5BDA" w14:paraId="70DAFD12" w14:textId="77777777">
        <w:trPr>
          <w:jc w:val="center"/>
        </w:trPr>
        <w:tc>
          <w:tcPr>
            <w:tcW w:w="1249" w:type="pct"/>
            <w:shd w:val="clear" w:color="auto" w:fill="F2F2F2" w:themeFill="background1" w:themeFillShade="F2"/>
          </w:tcPr>
          <w:p w14:paraId="78537B92" w14:textId="77777777" w:rsidR="00FF5BDA" w:rsidRPr="00211DC2" w:rsidRDefault="00FF5BDA" w:rsidP="007C0645">
            <w:pPr>
              <w:pStyle w:val="Table"/>
              <w:keepNext/>
              <w:rPr>
                <w:b/>
              </w:rPr>
            </w:pPr>
            <w:r w:rsidRPr="00211DC2">
              <w:rPr>
                <w:b/>
              </w:rPr>
              <w:t>Year Opened</w:t>
            </w:r>
          </w:p>
        </w:tc>
        <w:tc>
          <w:tcPr>
            <w:tcW w:w="1250" w:type="pct"/>
          </w:tcPr>
          <w:p w14:paraId="35B8774B" w14:textId="605C66DC" w:rsidR="00FF5BDA" w:rsidRDefault="00FF5BDA" w:rsidP="007C0645">
            <w:pPr>
              <w:pStyle w:val="Table"/>
              <w:keepNext/>
            </w:pPr>
            <w:r>
              <w:t>201</w:t>
            </w:r>
            <w:r w:rsidR="00054E07">
              <w:t>4</w:t>
            </w:r>
          </w:p>
        </w:tc>
        <w:tc>
          <w:tcPr>
            <w:tcW w:w="1250" w:type="pct"/>
            <w:shd w:val="clear" w:color="auto" w:fill="F2F2F2" w:themeFill="background1" w:themeFillShade="F2"/>
          </w:tcPr>
          <w:p w14:paraId="00C5376A" w14:textId="77777777" w:rsidR="00FF5BDA" w:rsidRPr="00211DC2" w:rsidRDefault="00FF5BDA" w:rsidP="007C0645">
            <w:pPr>
              <w:pStyle w:val="Table"/>
              <w:keepNext/>
              <w:rPr>
                <w:b/>
              </w:rPr>
            </w:pPr>
            <w:r>
              <w:rPr>
                <w:b/>
              </w:rPr>
              <w:t>Current Age of School</w:t>
            </w:r>
          </w:p>
        </w:tc>
        <w:tc>
          <w:tcPr>
            <w:tcW w:w="1251" w:type="pct"/>
            <w:gridSpan w:val="2"/>
          </w:tcPr>
          <w:p w14:paraId="28EB95B5" w14:textId="4002FE65" w:rsidR="00FF5BDA" w:rsidRDefault="00054E07" w:rsidP="007C0645">
            <w:pPr>
              <w:pStyle w:val="Table"/>
              <w:keepNext/>
            </w:pPr>
            <w:r>
              <w:t>11</w:t>
            </w:r>
          </w:p>
        </w:tc>
      </w:tr>
      <w:tr w:rsidR="00FF5BDA" w14:paraId="38BF85D4" w14:textId="77777777">
        <w:trPr>
          <w:jc w:val="center"/>
        </w:trPr>
        <w:tc>
          <w:tcPr>
            <w:tcW w:w="1249" w:type="pct"/>
            <w:shd w:val="clear" w:color="auto" w:fill="F2F2F2" w:themeFill="background1" w:themeFillShade="F2"/>
          </w:tcPr>
          <w:p w14:paraId="1C2B8959" w14:textId="77777777" w:rsidR="00FF5BDA" w:rsidRPr="00211DC2" w:rsidRDefault="00FF5BDA" w:rsidP="007C0645">
            <w:pPr>
              <w:pStyle w:val="Table"/>
              <w:keepNext/>
              <w:rPr>
                <w:b/>
              </w:rPr>
            </w:pPr>
            <w:r w:rsidRPr="00211DC2">
              <w:rPr>
                <w:b/>
              </w:rPr>
              <w:t>Maximum Enrollment</w:t>
            </w:r>
          </w:p>
        </w:tc>
        <w:tc>
          <w:tcPr>
            <w:tcW w:w="1250" w:type="pct"/>
          </w:tcPr>
          <w:p w14:paraId="4D40E97B" w14:textId="0F81D2E8" w:rsidR="00FF5BDA" w:rsidRDefault="00054E07" w:rsidP="007C0645">
            <w:pPr>
              <w:pStyle w:val="Table"/>
              <w:keepNext/>
            </w:pPr>
            <w:r>
              <w:t>3,000</w:t>
            </w:r>
          </w:p>
        </w:tc>
        <w:tc>
          <w:tcPr>
            <w:tcW w:w="1250" w:type="pct"/>
            <w:shd w:val="clear" w:color="auto" w:fill="F2F2F2" w:themeFill="background1" w:themeFillShade="F2"/>
          </w:tcPr>
          <w:p w14:paraId="4E49FED5" w14:textId="77777777" w:rsidR="00FF5BDA" w:rsidRPr="00211DC2" w:rsidRDefault="00FF5BDA" w:rsidP="007C0645">
            <w:pPr>
              <w:pStyle w:val="Table"/>
              <w:keepNext/>
              <w:rPr>
                <w:b/>
              </w:rPr>
            </w:pPr>
            <w:r w:rsidRPr="00211DC2">
              <w:rPr>
                <w:b/>
              </w:rPr>
              <w:t>Current Enrollment</w:t>
            </w:r>
          </w:p>
        </w:tc>
        <w:tc>
          <w:tcPr>
            <w:tcW w:w="1251" w:type="pct"/>
            <w:gridSpan w:val="2"/>
          </w:tcPr>
          <w:p w14:paraId="07C2017B" w14:textId="3356C061" w:rsidR="00FF5BDA" w:rsidRDefault="00AF6D99" w:rsidP="007C0645">
            <w:pPr>
              <w:pStyle w:val="Table"/>
              <w:keepNext/>
            </w:pPr>
            <w:r>
              <w:t>2,969</w:t>
            </w:r>
            <w:r w:rsidR="00FF5BDA">
              <w:t xml:space="preserve"> (October 2024)</w:t>
            </w:r>
          </w:p>
        </w:tc>
      </w:tr>
      <w:tr w:rsidR="00FF5BDA" w14:paraId="0A720CA3" w14:textId="77777777">
        <w:trPr>
          <w:jc w:val="center"/>
        </w:trPr>
        <w:tc>
          <w:tcPr>
            <w:tcW w:w="1249" w:type="pct"/>
            <w:shd w:val="clear" w:color="auto" w:fill="F2F2F2" w:themeFill="background1" w:themeFillShade="F2"/>
          </w:tcPr>
          <w:p w14:paraId="267DEE0F" w14:textId="77777777" w:rsidR="00FF5BDA" w:rsidRPr="00211DC2" w:rsidRDefault="00FF5BDA" w:rsidP="007C0645">
            <w:pPr>
              <w:pStyle w:val="Table"/>
              <w:keepNext/>
              <w:rPr>
                <w:b/>
              </w:rPr>
            </w:pPr>
            <w:r w:rsidRPr="00C349B7">
              <w:rPr>
                <w:b/>
              </w:rPr>
              <w:t>Current</w:t>
            </w:r>
            <w:r w:rsidRPr="00211DC2">
              <w:rPr>
                <w:b/>
              </w:rPr>
              <w:t xml:space="preserve"> Grade Span</w:t>
            </w:r>
          </w:p>
        </w:tc>
        <w:tc>
          <w:tcPr>
            <w:tcW w:w="1250" w:type="pct"/>
          </w:tcPr>
          <w:p w14:paraId="48227956" w14:textId="77777777" w:rsidR="00FF5BDA" w:rsidRDefault="00FF5BDA" w:rsidP="007C0645">
            <w:pPr>
              <w:pStyle w:val="Table"/>
              <w:keepNext/>
            </w:pPr>
            <w:r>
              <w:t>K-12</w:t>
            </w:r>
          </w:p>
        </w:tc>
        <w:tc>
          <w:tcPr>
            <w:tcW w:w="1250" w:type="pct"/>
            <w:shd w:val="clear" w:color="auto" w:fill="F2F2F2" w:themeFill="background1" w:themeFillShade="F2"/>
          </w:tcPr>
          <w:p w14:paraId="6D95A172" w14:textId="77777777" w:rsidR="00FF5BDA" w:rsidRPr="00211DC2" w:rsidRDefault="00FF5BDA" w:rsidP="007C0645">
            <w:pPr>
              <w:pStyle w:val="Table"/>
              <w:keepNext/>
              <w:rPr>
                <w:b/>
              </w:rPr>
            </w:pPr>
            <w:r>
              <w:rPr>
                <w:b/>
              </w:rPr>
              <w:t xml:space="preserve">Years Renewed </w:t>
            </w:r>
          </w:p>
        </w:tc>
        <w:tc>
          <w:tcPr>
            <w:tcW w:w="1251" w:type="pct"/>
            <w:gridSpan w:val="2"/>
          </w:tcPr>
          <w:p w14:paraId="205F7E03" w14:textId="1FABB004" w:rsidR="00FF5BDA" w:rsidRDefault="00FF5BDA" w:rsidP="007C0645">
            <w:pPr>
              <w:pStyle w:val="Table"/>
              <w:keepNext/>
            </w:pPr>
            <w:r>
              <w:t>201</w:t>
            </w:r>
            <w:r w:rsidR="00AF6D99">
              <w:t>7, 2022</w:t>
            </w:r>
          </w:p>
        </w:tc>
      </w:tr>
      <w:tr w:rsidR="00FF5BDA" w14:paraId="5CFE6F63" w14:textId="77777777">
        <w:trPr>
          <w:jc w:val="center"/>
        </w:trPr>
        <w:tc>
          <w:tcPr>
            <w:tcW w:w="1249" w:type="pct"/>
            <w:shd w:val="clear" w:color="auto" w:fill="F2F2F2" w:themeFill="background1" w:themeFillShade="F2"/>
          </w:tcPr>
          <w:p w14:paraId="545B90FF" w14:textId="77777777" w:rsidR="00FF5BDA" w:rsidRPr="00211DC2" w:rsidRDefault="00FF5BDA" w:rsidP="007C0645">
            <w:pPr>
              <w:pStyle w:val="Table"/>
              <w:keepNext/>
              <w:rPr>
                <w:b/>
              </w:rPr>
            </w:pPr>
            <w:r w:rsidRPr="6082C894">
              <w:rPr>
                <w:b/>
                <w:bCs/>
              </w:rPr>
              <w:t>Students on Waitlist</w:t>
            </w:r>
          </w:p>
        </w:tc>
        <w:tc>
          <w:tcPr>
            <w:tcW w:w="1250" w:type="pct"/>
          </w:tcPr>
          <w:p w14:paraId="57D660ED" w14:textId="7C4276E9" w:rsidR="00FF5BDA" w:rsidRDefault="00F0560C" w:rsidP="007C0645">
            <w:pPr>
              <w:pStyle w:val="Table"/>
              <w:keepNext/>
            </w:pPr>
            <w:r>
              <w:t xml:space="preserve">800 (February 24, 2025) </w:t>
            </w:r>
          </w:p>
        </w:tc>
        <w:tc>
          <w:tcPr>
            <w:tcW w:w="1250" w:type="pct"/>
            <w:shd w:val="clear" w:color="auto" w:fill="F2F2F2" w:themeFill="background1" w:themeFillShade="F2"/>
          </w:tcPr>
          <w:p w14:paraId="56513937" w14:textId="77777777" w:rsidR="00FF5BDA" w:rsidRPr="00211DC2" w:rsidRDefault="00FF5BDA" w:rsidP="007C0645">
            <w:pPr>
              <w:pStyle w:val="Table"/>
              <w:keepNext/>
              <w:rPr>
                <w:b/>
              </w:rPr>
            </w:pPr>
            <w:r>
              <w:rPr>
                <w:b/>
              </w:rPr>
              <w:t>Location of Administrative Offices</w:t>
            </w:r>
          </w:p>
        </w:tc>
        <w:tc>
          <w:tcPr>
            <w:tcW w:w="1251" w:type="pct"/>
            <w:gridSpan w:val="2"/>
          </w:tcPr>
          <w:p w14:paraId="1421FE54" w14:textId="77777777" w:rsidR="00FF5BDA" w:rsidRDefault="0050631D" w:rsidP="007C0645">
            <w:pPr>
              <w:pStyle w:val="Table"/>
              <w:keepNext/>
              <w:spacing w:before="0" w:after="0"/>
            </w:pPr>
            <w:r>
              <w:t>141 Mansion Drive</w:t>
            </w:r>
          </w:p>
          <w:p w14:paraId="1473BB65" w14:textId="77777777" w:rsidR="0050631D" w:rsidRDefault="0050631D" w:rsidP="007C0645">
            <w:pPr>
              <w:pStyle w:val="Table"/>
              <w:keepNext/>
              <w:spacing w:before="0" w:after="0"/>
            </w:pPr>
            <w:r>
              <w:t>Suite 300</w:t>
            </w:r>
          </w:p>
          <w:p w14:paraId="7B2F3483" w14:textId="5FB34B1A" w:rsidR="0050631D" w:rsidRDefault="0050631D" w:rsidP="007C0645">
            <w:pPr>
              <w:pStyle w:val="Table"/>
              <w:keepNext/>
              <w:spacing w:before="0" w:after="0"/>
            </w:pPr>
            <w:r>
              <w:t>East Walpole, MA 02032</w:t>
            </w:r>
          </w:p>
        </w:tc>
      </w:tr>
      <w:tr w:rsidR="00FF5BDA" w14:paraId="6FDBC3EF" w14:textId="77777777">
        <w:trPr>
          <w:gridAfter w:val="1"/>
          <w:wAfter w:w="5" w:type="pct"/>
          <w:jc w:val="center"/>
        </w:trPr>
        <w:tc>
          <w:tcPr>
            <w:tcW w:w="4995" w:type="pct"/>
            <w:gridSpan w:val="4"/>
            <w:shd w:val="clear" w:color="auto" w:fill="F2F2F2" w:themeFill="background1" w:themeFillShade="F2"/>
          </w:tcPr>
          <w:p w14:paraId="28041517" w14:textId="77777777" w:rsidR="00FF5BDA" w:rsidRDefault="00FF5BDA" w:rsidP="007C0645">
            <w:pPr>
              <w:pStyle w:val="Table"/>
              <w:keepNext/>
              <w:rPr>
                <w:b/>
              </w:rPr>
            </w:pPr>
            <w:r w:rsidRPr="006859F6">
              <w:rPr>
                <w:b/>
              </w:rPr>
              <w:t xml:space="preserve">Mission Statement: </w:t>
            </w:r>
          </w:p>
          <w:p w14:paraId="3FA9CAF4" w14:textId="668FAD96" w:rsidR="00FF5BDA" w:rsidRPr="006859F6" w:rsidRDefault="000B0295" w:rsidP="007C0645">
            <w:pPr>
              <w:pStyle w:val="Table"/>
              <w:keepNext/>
            </w:pPr>
            <w:r>
              <w:t xml:space="preserve">Through a lens of diversity, equity, inclusion, and belonging TEC Connections Academy will provide </w:t>
            </w:r>
            <w:proofErr w:type="gramStart"/>
            <w:r>
              <w:t>students</w:t>
            </w:r>
            <w:proofErr w:type="gramEnd"/>
            <w:r>
              <w:t xml:space="preserve"> a high quality, innovative, virtual </w:t>
            </w:r>
            <w:proofErr w:type="gramStart"/>
            <w:r>
              <w:t>public school</w:t>
            </w:r>
            <w:proofErr w:type="gramEnd"/>
            <w:r>
              <w:t xml:space="preserve"> experience through access to education that empowers students to demonstrate respect, life skills, growth mindset, critical thinking, communication skills, and application of knowledge to prepare them for the next stage of their life’s journey.</w:t>
            </w:r>
          </w:p>
        </w:tc>
      </w:tr>
    </w:tbl>
    <w:p w14:paraId="5CF8AB19" w14:textId="77777777" w:rsidR="00FF5BDA" w:rsidRPr="00245611" w:rsidRDefault="00FF5BDA" w:rsidP="00FF5BDA">
      <w:pPr>
        <w:spacing w:before="240" w:after="240"/>
        <w:rPr>
          <w:rFonts w:eastAsia="Times New Roman" w:cs="Times New Roman"/>
          <w:b/>
          <w:bCs/>
          <w:color w:val="000000" w:themeColor="text1"/>
        </w:rPr>
      </w:pPr>
      <w:r w:rsidRPr="00245611">
        <w:rPr>
          <w:rFonts w:eastAsia="Times New Roman" w:cs="Times New Roman"/>
          <w:b/>
          <w:bCs/>
          <w:color w:val="000000" w:themeColor="text1"/>
        </w:rPr>
        <w:t xml:space="preserve">School History </w:t>
      </w:r>
    </w:p>
    <w:p w14:paraId="4FB65966" w14:textId="0078F712" w:rsidR="006A74C4" w:rsidRDefault="000B0295" w:rsidP="00FF5BDA">
      <w:pPr>
        <w:spacing w:before="240" w:after="240"/>
        <w:rPr>
          <w:rFonts w:eastAsia="Times New Roman" w:cs="Times New Roman"/>
          <w:color w:val="000000" w:themeColor="text1"/>
        </w:rPr>
      </w:pPr>
      <w:r>
        <w:rPr>
          <w:rFonts w:eastAsia="Times New Roman" w:cs="Times New Roman"/>
          <w:color w:val="000000" w:themeColor="text1"/>
        </w:rPr>
        <w:t xml:space="preserve">The Education Cooperative (TEC) </w:t>
      </w:r>
      <w:proofErr w:type="gramStart"/>
      <w:r>
        <w:rPr>
          <w:rFonts w:eastAsia="Times New Roman" w:cs="Times New Roman"/>
          <w:color w:val="000000" w:themeColor="text1"/>
        </w:rPr>
        <w:t>submitted an application</w:t>
      </w:r>
      <w:proofErr w:type="gramEnd"/>
      <w:r>
        <w:rPr>
          <w:rFonts w:eastAsia="Times New Roman" w:cs="Times New Roman"/>
          <w:color w:val="000000" w:themeColor="text1"/>
        </w:rPr>
        <w:t xml:space="preserve"> for a virtual certificate to the Department in spring 2013</w:t>
      </w:r>
      <w:r w:rsidR="00EA7032">
        <w:rPr>
          <w:rFonts w:eastAsia="Times New Roman" w:cs="Times New Roman"/>
          <w:color w:val="000000" w:themeColor="text1"/>
        </w:rPr>
        <w:t>.</w:t>
      </w:r>
      <w:r>
        <w:rPr>
          <w:rFonts w:eastAsia="Times New Roman" w:cs="Times New Roman"/>
          <w:color w:val="000000" w:themeColor="text1"/>
        </w:rPr>
        <w:t xml:space="preserve"> </w:t>
      </w:r>
      <w:r w:rsidR="00946FAA">
        <w:rPr>
          <w:rFonts w:eastAsia="Times New Roman" w:cs="Times New Roman"/>
          <w:color w:val="000000" w:themeColor="text1"/>
        </w:rPr>
        <w:t>O</w:t>
      </w:r>
      <w:r>
        <w:rPr>
          <w:rFonts w:eastAsia="Times New Roman" w:cs="Times New Roman"/>
          <w:color w:val="000000" w:themeColor="text1"/>
        </w:rPr>
        <w:t xml:space="preserve">n February 24, 2013, the Board granted a three-year certificate to TECCA. </w:t>
      </w:r>
      <w:r w:rsidR="006A74C4">
        <w:rPr>
          <w:rFonts w:eastAsia="Times New Roman" w:cs="Times New Roman"/>
          <w:color w:val="000000" w:themeColor="text1"/>
        </w:rPr>
        <w:t xml:space="preserve">Since its founding, TECCA has maintained a contractual relationship with Connections Education LLC (CE) in which CE provides </w:t>
      </w:r>
      <w:r w:rsidR="007B1212">
        <w:rPr>
          <w:rFonts w:eastAsia="Times New Roman" w:cs="Times New Roman"/>
          <w:color w:val="000000" w:themeColor="text1"/>
        </w:rPr>
        <w:t xml:space="preserve">curricula for </w:t>
      </w:r>
      <w:r w:rsidR="006A74C4">
        <w:rPr>
          <w:rFonts w:eastAsia="Times New Roman" w:cs="Times New Roman"/>
          <w:color w:val="000000" w:themeColor="text1"/>
        </w:rPr>
        <w:t xml:space="preserve">English language arts, mathematics, science, and social studies in grades K through 12 and the school’s learning management system. </w:t>
      </w:r>
    </w:p>
    <w:p w14:paraId="4F12CB8A" w14:textId="5B49D66A" w:rsidR="00FF5BDA" w:rsidRDefault="007B1212" w:rsidP="00FF5BDA">
      <w:pPr>
        <w:spacing w:before="240" w:after="240"/>
        <w:rPr>
          <w:rFonts w:eastAsia="Times New Roman" w:cs="Times New Roman"/>
          <w:color w:val="000000" w:themeColor="text1"/>
        </w:rPr>
      </w:pPr>
      <w:r>
        <w:rPr>
          <w:rFonts w:eastAsia="Times New Roman" w:cs="Times New Roman"/>
          <w:color w:val="000000" w:themeColor="text1"/>
        </w:rPr>
        <w:t xml:space="preserve">When the Board renewed </w:t>
      </w:r>
      <w:r w:rsidR="006A74C4">
        <w:rPr>
          <w:rFonts w:eastAsia="Times New Roman" w:cs="Times New Roman"/>
          <w:color w:val="000000" w:themeColor="text1"/>
        </w:rPr>
        <w:t xml:space="preserve">the school’s certificate </w:t>
      </w:r>
      <w:r w:rsidR="00857B13">
        <w:rPr>
          <w:rFonts w:eastAsia="Times New Roman" w:cs="Times New Roman"/>
          <w:color w:val="000000" w:themeColor="text1"/>
        </w:rPr>
        <w:t>in 2017</w:t>
      </w:r>
      <w:r w:rsidR="00784830">
        <w:rPr>
          <w:rFonts w:eastAsia="Times New Roman" w:cs="Times New Roman"/>
          <w:color w:val="000000" w:themeColor="text1"/>
        </w:rPr>
        <w:t xml:space="preserve"> for five years</w:t>
      </w:r>
      <w:r w:rsidR="00E3060E">
        <w:rPr>
          <w:rFonts w:eastAsia="Times New Roman" w:cs="Times New Roman"/>
          <w:color w:val="000000" w:themeColor="text1"/>
        </w:rPr>
        <w:t xml:space="preserve">, it </w:t>
      </w:r>
      <w:r w:rsidR="008476D5">
        <w:rPr>
          <w:rFonts w:eastAsia="Times New Roman" w:cs="Times New Roman"/>
          <w:color w:val="000000" w:themeColor="text1"/>
        </w:rPr>
        <w:t>included</w:t>
      </w:r>
      <w:r w:rsidR="006A74C4">
        <w:rPr>
          <w:rFonts w:eastAsia="Times New Roman" w:cs="Times New Roman"/>
          <w:color w:val="000000" w:themeColor="text1"/>
        </w:rPr>
        <w:t xml:space="preserve"> conditions related to MCAS participation</w:t>
      </w:r>
      <w:r w:rsidR="00652A86">
        <w:rPr>
          <w:rFonts w:eastAsia="Times New Roman" w:cs="Times New Roman"/>
          <w:color w:val="000000" w:themeColor="text1"/>
        </w:rPr>
        <w:t xml:space="preserve"> and serving English learners. </w:t>
      </w:r>
      <w:r w:rsidR="009E36CE">
        <w:rPr>
          <w:rFonts w:eastAsia="Times New Roman" w:cs="Times New Roman"/>
          <w:color w:val="000000" w:themeColor="text1"/>
        </w:rPr>
        <w:t>In 2022, w</w:t>
      </w:r>
      <w:r w:rsidR="00FB473E">
        <w:rPr>
          <w:rFonts w:eastAsia="Times New Roman" w:cs="Times New Roman"/>
          <w:color w:val="000000" w:themeColor="text1"/>
        </w:rPr>
        <w:t>hile the school had met the</w:t>
      </w:r>
      <w:r w:rsidR="009E36CE">
        <w:rPr>
          <w:rFonts w:eastAsia="Times New Roman" w:cs="Times New Roman"/>
          <w:color w:val="000000" w:themeColor="text1"/>
        </w:rPr>
        <w:t>se</w:t>
      </w:r>
      <w:r w:rsidR="00FB473E">
        <w:rPr>
          <w:rFonts w:eastAsia="Times New Roman" w:cs="Times New Roman"/>
          <w:color w:val="000000" w:themeColor="text1"/>
        </w:rPr>
        <w:t xml:space="preserve"> two conditions</w:t>
      </w:r>
      <w:r w:rsidR="001B0911">
        <w:rPr>
          <w:rFonts w:eastAsia="Times New Roman" w:cs="Times New Roman"/>
          <w:color w:val="000000" w:themeColor="text1"/>
        </w:rPr>
        <w:t>,</w:t>
      </w:r>
      <w:r w:rsidR="00FB473E">
        <w:rPr>
          <w:rFonts w:eastAsia="Times New Roman" w:cs="Times New Roman"/>
          <w:color w:val="000000" w:themeColor="text1"/>
        </w:rPr>
        <w:t xml:space="preserve"> concerns remained about academic outcomes</w:t>
      </w:r>
      <w:r w:rsidR="001B0911">
        <w:rPr>
          <w:rFonts w:eastAsia="Times New Roman" w:cs="Times New Roman"/>
          <w:color w:val="000000" w:themeColor="text1"/>
        </w:rPr>
        <w:t>,</w:t>
      </w:r>
      <w:r w:rsidR="00FB473E">
        <w:rPr>
          <w:rFonts w:eastAsia="Times New Roman" w:cs="Times New Roman"/>
          <w:color w:val="000000" w:themeColor="text1"/>
        </w:rPr>
        <w:t xml:space="preserve"> delivery of its academic program</w:t>
      </w:r>
      <w:r w:rsidR="001B0911">
        <w:rPr>
          <w:rFonts w:eastAsia="Times New Roman" w:cs="Times New Roman"/>
          <w:color w:val="000000" w:themeColor="text1"/>
        </w:rPr>
        <w:t>,</w:t>
      </w:r>
      <w:r w:rsidR="00FB473E">
        <w:rPr>
          <w:rFonts w:eastAsia="Times New Roman" w:cs="Times New Roman"/>
          <w:color w:val="000000" w:themeColor="text1"/>
        </w:rPr>
        <w:t xml:space="preserve"> and repeated findings of significant deficiencies or material weaknesses in its financial audits.</w:t>
      </w:r>
      <w:r w:rsidR="00C221E7">
        <w:rPr>
          <w:rStyle w:val="FootnoteReference"/>
          <w:rFonts w:eastAsia="Times New Roman" w:cs="Times New Roman"/>
          <w:color w:val="000000" w:themeColor="text1"/>
        </w:rPr>
        <w:footnoteReference w:id="7"/>
      </w:r>
      <w:r w:rsidR="00FB473E">
        <w:rPr>
          <w:rFonts w:eastAsia="Times New Roman" w:cs="Times New Roman"/>
          <w:color w:val="000000" w:themeColor="text1"/>
        </w:rPr>
        <w:t xml:space="preserve"> </w:t>
      </w:r>
      <w:r w:rsidR="001B0911">
        <w:rPr>
          <w:rFonts w:eastAsia="Times New Roman" w:cs="Times New Roman"/>
          <w:color w:val="000000" w:themeColor="text1"/>
        </w:rPr>
        <w:t>Therefore, i</w:t>
      </w:r>
      <w:r w:rsidR="00FF5BDA">
        <w:rPr>
          <w:rFonts w:eastAsia="Times New Roman" w:cs="Times New Roman"/>
          <w:color w:val="000000" w:themeColor="text1"/>
        </w:rPr>
        <w:t>n October 2022, the Board renewed the school’s certificate for four</w:t>
      </w:r>
      <w:r w:rsidR="003A6F3E">
        <w:rPr>
          <w:rFonts w:eastAsia="Times New Roman" w:cs="Times New Roman"/>
          <w:color w:val="000000" w:themeColor="text1"/>
        </w:rPr>
        <w:t xml:space="preserve"> </w:t>
      </w:r>
      <w:r w:rsidR="00FF5BDA">
        <w:rPr>
          <w:rFonts w:eastAsia="Times New Roman" w:cs="Times New Roman"/>
          <w:color w:val="000000" w:themeColor="text1"/>
        </w:rPr>
        <w:t>year</w:t>
      </w:r>
      <w:r w:rsidR="001B0911">
        <w:rPr>
          <w:rFonts w:eastAsia="Times New Roman" w:cs="Times New Roman"/>
          <w:color w:val="000000" w:themeColor="text1"/>
        </w:rPr>
        <w:t>s</w:t>
      </w:r>
      <w:r w:rsidR="008C7727">
        <w:rPr>
          <w:rFonts w:eastAsia="Times New Roman" w:cs="Times New Roman"/>
          <w:color w:val="000000" w:themeColor="text1"/>
        </w:rPr>
        <w:t>,</w:t>
      </w:r>
      <w:r w:rsidR="00FF5BDA">
        <w:rPr>
          <w:rFonts w:eastAsia="Times New Roman" w:cs="Times New Roman"/>
          <w:color w:val="000000" w:themeColor="text1"/>
        </w:rPr>
        <w:t xml:space="preserve"> from July 1, 2022</w:t>
      </w:r>
      <w:r w:rsidR="008C7727">
        <w:rPr>
          <w:rFonts w:eastAsia="Times New Roman" w:cs="Times New Roman"/>
          <w:color w:val="000000" w:themeColor="text1"/>
        </w:rPr>
        <w:t>,</w:t>
      </w:r>
      <w:r w:rsidR="00FF5BDA">
        <w:rPr>
          <w:rFonts w:eastAsia="Times New Roman" w:cs="Times New Roman"/>
          <w:color w:val="000000" w:themeColor="text1"/>
        </w:rPr>
        <w:t xml:space="preserve"> through June 30, 2026</w:t>
      </w:r>
      <w:r w:rsidR="008C7727">
        <w:rPr>
          <w:rFonts w:eastAsia="Times New Roman" w:cs="Times New Roman"/>
          <w:color w:val="000000" w:themeColor="text1"/>
        </w:rPr>
        <w:t>,</w:t>
      </w:r>
      <w:r w:rsidR="00FF5BDA">
        <w:rPr>
          <w:rFonts w:eastAsia="Times New Roman" w:cs="Times New Roman"/>
          <w:color w:val="000000" w:themeColor="text1"/>
        </w:rPr>
        <w:t xml:space="preserve"> with </w:t>
      </w:r>
      <w:r w:rsidR="00652A86">
        <w:rPr>
          <w:rFonts w:eastAsia="Times New Roman" w:cs="Times New Roman"/>
          <w:color w:val="000000" w:themeColor="text1"/>
        </w:rPr>
        <w:t>three</w:t>
      </w:r>
      <w:r w:rsidR="00FF5BDA">
        <w:rPr>
          <w:rFonts w:eastAsia="Times New Roman" w:cs="Times New Roman"/>
          <w:color w:val="000000" w:themeColor="text1"/>
        </w:rPr>
        <w:t xml:space="preserve"> conditions. </w:t>
      </w:r>
    </w:p>
    <w:p w14:paraId="5DD2E43B" w14:textId="136CFEC7" w:rsidR="00340F43" w:rsidRPr="00340F43" w:rsidRDefault="00340F43" w:rsidP="00FF5BDA">
      <w:pPr>
        <w:spacing w:before="240" w:after="240"/>
        <w:rPr>
          <w:rFonts w:eastAsia="Times New Roman" w:cs="Times New Roman"/>
          <w:b/>
          <w:bCs/>
          <w:color w:val="000000" w:themeColor="text1"/>
        </w:rPr>
      </w:pPr>
      <w:r>
        <w:rPr>
          <w:rFonts w:eastAsia="Times New Roman" w:cs="Times New Roman"/>
          <w:b/>
          <w:bCs/>
          <w:color w:val="000000" w:themeColor="text1"/>
        </w:rPr>
        <w:t>Progress Toward Meeting Conditions</w:t>
      </w:r>
    </w:p>
    <w:p w14:paraId="5E32D0D3" w14:textId="25CA52B0" w:rsidR="00FF5BDA" w:rsidRDefault="00FF5BDA" w:rsidP="00FF5BDA">
      <w:pPr>
        <w:spacing w:before="240" w:after="240"/>
        <w:rPr>
          <w:rFonts w:eastAsia="Times New Roman" w:cs="Times New Roman"/>
          <w:color w:val="000000" w:themeColor="text1"/>
        </w:rPr>
      </w:pPr>
      <w:r>
        <w:rPr>
          <w:rFonts w:eastAsia="Times New Roman" w:cs="Times New Roman"/>
          <w:color w:val="000000" w:themeColor="text1"/>
        </w:rPr>
        <w:t xml:space="preserve">The existing conditions and a summary of key evidence related to each condition follow. </w:t>
      </w:r>
    </w:p>
    <w:p w14:paraId="5E822689" w14:textId="3942F142" w:rsidR="00FF5BDA" w:rsidRDefault="00FF5BDA" w:rsidP="00FF5BDA">
      <w:pPr>
        <w:spacing w:before="240" w:after="240"/>
        <w:rPr>
          <w:rFonts w:eastAsia="Times New Roman" w:cs="Times New Roman"/>
          <w:color w:val="000000" w:themeColor="text1"/>
        </w:rPr>
      </w:pPr>
      <w:r>
        <w:rPr>
          <w:rFonts w:eastAsia="Times New Roman" w:cs="Times New Roman"/>
          <w:b/>
          <w:bCs/>
          <w:color w:val="000000" w:themeColor="text1"/>
        </w:rPr>
        <w:t xml:space="preserve">Condition 1: </w:t>
      </w:r>
      <w:r w:rsidR="00672B4C">
        <w:rPr>
          <w:rFonts w:eastAsia="Times New Roman" w:cs="Times New Roman"/>
          <w:color w:val="000000" w:themeColor="text1"/>
        </w:rPr>
        <w:t xml:space="preserve">By August 1, 2022, TEC Connections </w:t>
      </w:r>
      <w:proofErr w:type="gramStart"/>
      <w:r w:rsidR="00672B4C">
        <w:rPr>
          <w:rFonts w:eastAsia="Times New Roman" w:cs="Times New Roman"/>
          <w:color w:val="000000" w:themeColor="text1"/>
        </w:rPr>
        <w:t>Academy Commonwealth</w:t>
      </w:r>
      <w:proofErr w:type="gramEnd"/>
      <w:r w:rsidR="00672B4C">
        <w:rPr>
          <w:rFonts w:eastAsia="Times New Roman" w:cs="Times New Roman"/>
          <w:color w:val="000000" w:themeColor="text1"/>
        </w:rPr>
        <w:t xml:space="preserve"> Virtual School must develop four-year goals for non-statewide assessments in its Accountability Plan that </w:t>
      </w:r>
      <w:r w:rsidR="00672B4C">
        <w:rPr>
          <w:rFonts w:eastAsia="Times New Roman" w:cs="Times New Roman"/>
          <w:color w:val="000000" w:themeColor="text1"/>
        </w:rPr>
        <w:lastRenderedPageBreak/>
        <w:t xml:space="preserve">will allow the school to demonstrate a track record of academic success during the certificate term. </w:t>
      </w:r>
      <w:r>
        <w:rPr>
          <w:rFonts w:eastAsia="Times New Roman" w:cs="Times New Roman"/>
          <w:color w:val="000000" w:themeColor="text1"/>
        </w:rPr>
        <w:t xml:space="preserve"> </w:t>
      </w:r>
    </w:p>
    <w:p w14:paraId="420D4796" w14:textId="77777777" w:rsidR="00FF5BDA" w:rsidRDefault="00FF5BDA" w:rsidP="00FF5BDA">
      <w:pPr>
        <w:spacing w:before="240" w:after="240"/>
        <w:contextualSpacing/>
        <w:rPr>
          <w:rFonts w:eastAsia="Times New Roman" w:cs="Times New Roman"/>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12801BF6" w14:textId="3F941779" w:rsidR="00FF5BDA" w:rsidRPr="00FC1A2C" w:rsidRDefault="00AD060E" w:rsidP="00672B4C">
      <w:pPr>
        <w:spacing w:before="240" w:after="240"/>
        <w:ind w:left="720"/>
        <w:rPr>
          <w:rFonts w:eastAsia="Times New Roman" w:cs="Times New Roman"/>
          <w:color w:val="000000" w:themeColor="text1"/>
        </w:rPr>
      </w:pPr>
      <w:r>
        <w:rPr>
          <w:rFonts w:eastAsia="Times New Roman" w:cs="Times New Roman"/>
          <w:color w:val="000000" w:themeColor="text1"/>
        </w:rPr>
        <w:t xml:space="preserve">On July 22, 2022, the school submitted a final draft of its accountability plan that included four-year goals for non-statewide assessments. On February 7, 2023, the </w:t>
      </w:r>
      <w:r w:rsidR="00906E7C">
        <w:rPr>
          <w:rFonts w:eastAsia="Times New Roman" w:cs="Times New Roman"/>
          <w:color w:val="000000" w:themeColor="text1"/>
        </w:rPr>
        <w:t>c</w:t>
      </w:r>
      <w:r w:rsidR="00174587">
        <w:rPr>
          <w:rFonts w:eastAsia="Times New Roman" w:cs="Times New Roman"/>
          <w:color w:val="000000" w:themeColor="text1"/>
        </w:rPr>
        <w:t xml:space="preserve">ommissioner approved </w:t>
      </w:r>
      <w:r w:rsidR="005D60DB">
        <w:rPr>
          <w:rFonts w:eastAsia="Times New Roman" w:cs="Times New Roman"/>
          <w:color w:val="000000" w:themeColor="text1"/>
        </w:rPr>
        <w:t xml:space="preserve">the </w:t>
      </w:r>
      <w:r>
        <w:rPr>
          <w:rFonts w:eastAsia="Times New Roman" w:cs="Times New Roman"/>
          <w:color w:val="000000" w:themeColor="text1"/>
        </w:rPr>
        <w:t>school</w:t>
      </w:r>
      <w:r w:rsidR="002A41C4">
        <w:rPr>
          <w:rFonts w:eastAsia="Times New Roman" w:cs="Times New Roman"/>
          <w:color w:val="000000" w:themeColor="text1"/>
        </w:rPr>
        <w:t xml:space="preserve">’s revised </w:t>
      </w:r>
      <w:r w:rsidR="009053E2">
        <w:rPr>
          <w:rFonts w:eastAsia="Times New Roman" w:cs="Times New Roman"/>
          <w:color w:val="000000" w:themeColor="text1"/>
        </w:rPr>
        <w:t>accountability plan</w:t>
      </w:r>
      <w:r w:rsidR="00FD5FD0">
        <w:rPr>
          <w:rFonts w:eastAsia="Times New Roman" w:cs="Times New Roman"/>
          <w:color w:val="000000" w:themeColor="text1"/>
        </w:rPr>
        <w:t>;</w:t>
      </w:r>
      <w:r w:rsidR="002F114F">
        <w:rPr>
          <w:rFonts w:eastAsia="Times New Roman" w:cs="Times New Roman"/>
          <w:color w:val="000000" w:themeColor="text1"/>
        </w:rPr>
        <w:t xml:space="preserve"> the </w:t>
      </w:r>
      <w:r>
        <w:rPr>
          <w:rFonts w:eastAsia="Times New Roman" w:cs="Times New Roman"/>
          <w:color w:val="000000" w:themeColor="text1"/>
        </w:rPr>
        <w:t>accountability plan establish</w:t>
      </w:r>
      <w:r w:rsidR="002F114F">
        <w:rPr>
          <w:rFonts w:eastAsia="Times New Roman" w:cs="Times New Roman"/>
          <w:color w:val="000000" w:themeColor="text1"/>
        </w:rPr>
        <w:t>e</w:t>
      </w:r>
      <w:r w:rsidR="003A6F3E">
        <w:rPr>
          <w:rFonts w:eastAsia="Times New Roman" w:cs="Times New Roman"/>
          <w:color w:val="000000" w:themeColor="text1"/>
        </w:rPr>
        <w:t>s</w:t>
      </w:r>
      <w:r>
        <w:rPr>
          <w:rFonts w:eastAsia="Times New Roman" w:cs="Times New Roman"/>
          <w:color w:val="000000" w:themeColor="text1"/>
        </w:rPr>
        <w:t xml:space="preserve"> goals and measures for its third certificate term</w:t>
      </w:r>
      <w:r w:rsidR="005D60DB">
        <w:rPr>
          <w:rFonts w:eastAsia="Times New Roman" w:cs="Times New Roman"/>
          <w:color w:val="000000" w:themeColor="text1"/>
        </w:rPr>
        <w:t xml:space="preserve"> </w:t>
      </w:r>
      <w:r w:rsidR="003D676F">
        <w:rPr>
          <w:rFonts w:eastAsia="Times New Roman" w:cs="Times New Roman"/>
          <w:color w:val="000000" w:themeColor="text1"/>
        </w:rPr>
        <w:t>(2022-2026)</w:t>
      </w:r>
      <w:r>
        <w:rPr>
          <w:rFonts w:eastAsia="Times New Roman" w:cs="Times New Roman"/>
          <w:color w:val="000000" w:themeColor="text1"/>
        </w:rPr>
        <w:t xml:space="preserve">. </w:t>
      </w:r>
    </w:p>
    <w:p w14:paraId="57BD775F" w14:textId="77E2C0F5" w:rsidR="00FF5BDA" w:rsidRDefault="00FF5BDA" w:rsidP="00FF5BDA">
      <w:pPr>
        <w:spacing w:before="240" w:after="240"/>
        <w:rPr>
          <w:rFonts w:eastAsia="Times New Roman" w:cs="Times New Roman"/>
          <w:color w:val="000000" w:themeColor="text1"/>
        </w:rPr>
      </w:pPr>
      <w:r>
        <w:rPr>
          <w:rFonts w:eastAsia="Times New Roman" w:cs="Times New Roman"/>
          <w:b/>
          <w:bCs/>
          <w:color w:val="000000" w:themeColor="text1"/>
        </w:rPr>
        <w:t>Condition 2:</w:t>
      </w:r>
      <w:r>
        <w:rPr>
          <w:rFonts w:eastAsia="Times New Roman" w:cs="Times New Roman"/>
          <w:color w:val="000000" w:themeColor="text1"/>
        </w:rPr>
        <w:t xml:space="preserve"> </w:t>
      </w:r>
      <w:r w:rsidR="00672B4C">
        <w:rPr>
          <w:rFonts w:eastAsia="Times New Roman" w:cs="Times New Roman"/>
          <w:color w:val="000000" w:themeColor="text1"/>
        </w:rPr>
        <w:t xml:space="preserve">By January 1, 2023, the board of TEC Connections Academy Commonwealth Virtual School must ensure a timely submission of its annual financial audit; the fiscal year 2022 audit must demonstrate progress or full resolution of findings outlined in prior audits. </w:t>
      </w:r>
    </w:p>
    <w:p w14:paraId="1A994A89" w14:textId="77777777" w:rsidR="00FF5BDA" w:rsidRDefault="00FF5BDA" w:rsidP="00FF5BDA">
      <w:pPr>
        <w:spacing w:before="240" w:after="240"/>
        <w:contextualSpacing/>
        <w:rPr>
          <w:rFonts w:eastAsia="Times New Roman" w:cs="Times New Roman"/>
          <w:b/>
          <w:bCs/>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7E0D6552" w14:textId="15209FCC" w:rsidR="00625986" w:rsidRDefault="00503F48" w:rsidP="00FF5BDA">
      <w:pPr>
        <w:spacing w:before="240" w:after="240"/>
        <w:ind w:left="720"/>
        <w:rPr>
          <w:rFonts w:eastAsia="Times New Roman" w:cs="Times New Roman"/>
          <w:color w:val="000000" w:themeColor="text1"/>
        </w:rPr>
      </w:pPr>
      <w:r>
        <w:rPr>
          <w:rFonts w:eastAsia="Times New Roman" w:cs="Times New Roman"/>
          <w:color w:val="000000" w:themeColor="text1"/>
        </w:rPr>
        <w:t>During the previous certificate term (2017-2022), TECCA</w:t>
      </w:r>
      <w:r w:rsidR="00E734B0">
        <w:rPr>
          <w:rFonts w:eastAsia="Times New Roman" w:cs="Times New Roman"/>
          <w:color w:val="000000" w:themeColor="text1"/>
        </w:rPr>
        <w:t>’s financial audits contained findings</w:t>
      </w:r>
      <w:r w:rsidR="00161AC1">
        <w:rPr>
          <w:rFonts w:eastAsia="Times New Roman" w:cs="Times New Roman"/>
          <w:color w:val="000000" w:themeColor="text1"/>
        </w:rPr>
        <w:t xml:space="preserve"> of </w:t>
      </w:r>
      <w:r w:rsidR="00174C24">
        <w:rPr>
          <w:rFonts w:eastAsia="Times New Roman" w:cs="Times New Roman"/>
          <w:color w:val="000000" w:themeColor="text1"/>
        </w:rPr>
        <w:t xml:space="preserve">material weaknesses and/or </w:t>
      </w:r>
      <w:r w:rsidR="00161AC1">
        <w:rPr>
          <w:rFonts w:eastAsia="Times New Roman" w:cs="Times New Roman"/>
          <w:color w:val="000000" w:themeColor="text1"/>
        </w:rPr>
        <w:t>significant deficiencies</w:t>
      </w:r>
      <w:r w:rsidR="00174C24">
        <w:rPr>
          <w:rFonts w:eastAsia="Times New Roman" w:cs="Times New Roman"/>
          <w:color w:val="000000" w:themeColor="text1"/>
        </w:rPr>
        <w:t xml:space="preserve"> each year. </w:t>
      </w:r>
      <w:r w:rsidR="008C5B79">
        <w:rPr>
          <w:rFonts w:eastAsia="Times New Roman" w:cs="Times New Roman"/>
          <w:color w:val="000000" w:themeColor="text1"/>
        </w:rPr>
        <w:t xml:space="preserve">The school also </w:t>
      </w:r>
      <w:r w:rsidR="00574ECE">
        <w:rPr>
          <w:rFonts w:eastAsia="Times New Roman" w:cs="Times New Roman"/>
          <w:color w:val="000000" w:themeColor="text1"/>
        </w:rPr>
        <w:t xml:space="preserve">submitted its </w:t>
      </w:r>
      <w:r w:rsidR="00AC5CDB">
        <w:rPr>
          <w:rFonts w:eastAsia="Times New Roman" w:cs="Times New Roman"/>
          <w:color w:val="000000" w:themeColor="text1"/>
        </w:rPr>
        <w:t xml:space="preserve">audit for </w:t>
      </w:r>
      <w:r w:rsidR="00574ECE">
        <w:rPr>
          <w:rFonts w:eastAsia="Times New Roman" w:cs="Times New Roman"/>
          <w:color w:val="000000" w:themeColor="text1"/>
        </w:rPr>
        <w:t xml:space="preserve">fiscal year 2021 </w:t>
      </w:r>
      <w:r w:rsidR="00C24691">
        <w:rPr>
          <w:rFonts w:eastAsia="Times New Roman" w:cs="Times New Roman"/>
          <w:color w:val="000000" w:themeColor="text1"/>
        </w:rPr>
        <w:t xml:space="preserve">past the January 1 deadline, as required by </w:t>
      </w:r>
      <w:r w:rsidR="00E01EFE">
        <w:rPr>
          <w:rFonts w:eastAsia="Times New Roman" w:cs="Times New Roman"/>
          <w:color w:val="000000" w:themeColor="text1"/>
        </w:rPr>
        <w:t xml:space="preserve">603 CMR 52.08 (3). </w:t>
      </w:r>
      <w:r w:rsidR="007F0EC2">
        <w:rPr>
          <w:rFonts w:eastAsia="Times New Roman" w:cs="Times New Roman"/>
          <w:color w:val="000000" w:themeColor="text1"/>
        </w:rPr>
        <w:t xml:space="preserve">The repeated findings and late submission of the audit resulted in </w:t>
      </w:r>
      <w:r w:rsidR="00BD6F12">
        <w:rPr>
          <w:rFonts w:eastAsia="Times New Roman" w:cs="Times New Roman"/>
          <w:color w:val="000000" w:themeColor="text1"/>
        </w:rPr>
        <w:t xml:space="preserve">the </w:t>
      </w:r>
      <w:r w:rsidR="007F0EC2">
        <w:rPr>
          <w:rFonts w:eastAsia="Times New Roman" w:cs="Times New Roman"/>
          <w:color w:val="000000" w:themeColor="text1"/>
        </w:rPr>
        <w:t>Board imposing this condition on the school’s certificate.</w:t>
      </w:r>
    </w:p>
    <w:p w14:paraId="4210A1DA" w14:textId="5847D646" w:rsidR="00C80984" w:rsidRDefault="00133055" w:rsidP="00626411">
      <w:pPr>
        <w:spacing w:before="240" w:after="240"/>
        <w:ind w:left="720"/>
        <w:rPr>
          <w:rFonts w:eastAsia="Times New Roman" w:cs="Times New Roman"/>
          <w:color w:val="000000" w:themeColor="text1"/>
        </w:rPr>
      </w:pPr>
      <w:r>
        <w:rPr>
          <w:rFonts w:eastAsia="Times New Roman" w:cs="Times New Roman"/>
          <w:color w:val="000000" w:themeColor="text1"/>
        </w:rPr>
        <w:t xml:space="preserve">The </w:t>
      </w:r>
      <w:r w:rsidR="008C1A66">
        <w:rPr>
          <w:rFonts w:eastAsia="Times New Roman" w:cs="Times New Roman"/>
          <w:color w:val="000000" w:themeColor="text1"/>
        </w:rPr>
        <w:t>school s</w:t>
      </w:r>
      <w:r w:rsidR="00FB53E3">
        <w:rPr>
          <w:rFonts w:eastAsia="Times New Roman" w:cs="Times New Roman"/>
          <w:color w:val="000000" w:themeColor="text1"/>
        </w:rPr>
        <w:t xml:space="preserve">ubmitted its audit for </w:t>
      </w:r>
      <w:r>
        <w:rPr>
          <w:rFonts w:eastAsia="Times New Roman" w:cs="Times New Roman"/>
          <w:color w:val="000000" w:themeColor="text1"/>
        </w:rPr>
        <w:t xml:space="preserve">fiscal year 2022 </w:t>
      </w:r>
      <w:r w:rsidR="00FB53E3">
        <w:rPr>
          <w:rFonts w:eastAsia="Times New Roman" w:cs="Times New Roman"/>
          <w:color w:val="000000" w:themeColor="text1"/>
        </w:rPr>
        <w:t>by the date due</w:t>
      </w:r>
      <w:r w:rsidR="002475B6">
        <w:rPr>
          <w:rFonts w:eastAsia="Times New Roman" w:cs="Times New Roman"/>
          <w:color w:val="000000" w:themeColor="text1"/>
        </w:rPr>
        <w:t xml:space="preserve">, but </w:t>
      </w:r>
      <w:r w:rsidR="00FB53E3">
        <w:rPr>
          <w:rFonts w:eastAsia="Times New Roman" w:cs="Times New Roman"/>
          <w:color w:val="000000" w:themeColor="text1"/>
        </w:rPr>
        <w:t xml:space="preserve">it </w:t>
      </w:r>
      <w:r w:rsidR="002475B6">
        <w:rPr>
          <w:rFonts w:eastAsia="Times New Roman" w:cs="Times New Roman"/>
          <w:color w:val="000000" w:themeColor="text1"/>
        </w:rPr>
        <w:t xml:space="preserve">contained </w:t>
      </w:r>
      <w:r w:rsidR="00D337D2">
        <w:rPr>
          <w:rFonts w:eastAsia="Times New Roman" w:cs="Times New Roman"/>
          <w:color w:val="000000" w:themeColor="text1"/>
        </w:rPr>
        <w:t>a material weakness</w:t>
      </w:r>
      <w:r w:rsidR="00FB53E3">
        <w:rPr>
          <w:rFonts w:eastAsia="Times New Roman" w:cs="Times New Roman"/>
          <w:color w:val="000000" w:themeColor="text1"/>
        </w:rPr>
        <w:t xml:space="preserve"> regarding</w:t>
      </w:r>
      <w:r w:rsidR="00E42EED">
        <w:rPr>
          <w:rFonts w:eastAsia="Times New Roman" w:cs="Times New Roman"/>
          <w:color w:val="000000" w:themeColor="text1"/>
        </w:rPr>
        <w:t xml:space="preserve"> unresolved prior findings related to lack of internal controls and </w:t>
      </w:r>
      <w:r w:rsidR="00FB53E3">
        <w:rPr>
          <w:rFonts w:eastAsia="Times New Roman" w:cs="Times New Roman"/>
          <w:color w:val="000000" w:themeColor="text1"/>
        </w:rPr>
        <w:t xml:space="preserve">included </w:t>
      </w:r>
      <w:proofErr w:type="gramStart"/>
      <w:r w:rsidR="00E42EED">
        <w:rPr>
          <w:rFonts w:eastAsia="Times New Roman" w:cs="Times New Roman"/>
          <w:color w:val="000000" w:themeColor="text1"/>
        </w:rPr>
        <w:t>significant</w:t>
      </w:r>
      <w:proofErr w:type="gramEnd"/>
      <w:r w:rsidR="00582B63">
        <w:rPr>
          <w:rFonts w:eastAsia="Times New Roman" w:cs="Times New Roman"/>
          <w:color w:val="000000" w:themeColor="text1"/>
        </w:rPr>
        <w:t xml:space="preserve"> </w:t>
      </w:r>
      <w:r w:rsidR="00626411">
        <w:rPr>
          <w:rFonts w:eastAsia="Times New Roman" w:cs="Times New Roman"/>
          <w:color w:val="000000" w:themeColor="text1"/>
        </w:rPr>
        <w:t>q</w:t>
      </w:r>
      <w:r w:rsidR="00944A0C">
        <w:rPr>
          <w:rFonts w:eastAsia="Times New Roman" w:cs="Times New Roman"/>
          <w:color w:val="000000" w:themeColor="text1"/>
        </w:rPr>
        <w:t xml:space="preserve">uestioned </w:t>
      </w:r>
      <w:r w:rsidR="00626411">
        <w:rPr>
          <w:rFonts w:eastAsia="Times New Roman" w:cs="Times New Roman"/>
          <w:color w:val="000000" w:themeColor="text1"/>
        </w:rPr>
        <w:t>c</w:t>
      </w:r>
      <w:r w:rsidR="00944A0C">
        <w:rPr>
          <w:rFonts w:eastAsia="Times New Roman" w:cs="Times New Roman"/>
          <w:color w:val="000000" w:themeColor="text1"/>
        </w:rPr>
        <w:t>osts</w:t>
      </w:r>
      <w:r w:rsidR="00E42EED">
        <w:rPr>
          <w:rFonts w:eastAsia="Times New Roman" w:cs="Times New Roman"/>
          <w:color w:val="000000" w:themeColor="text1"/>
        </w:rPr>
        <w:t>.</w:t>
      </w:r>
      <w:r w:rsidR="00C522D4">
        <w:rPr>
          <w:rFonts w:eastAsia="Times New Roman" w:cs="Times New Roman"/>
          <w:color w:val="000000" w:themeColor="text1"/>
        </w:rPr>
        <w:t xml:space="preserve"> </w:t>
      </w:r>
      <w:r w:rsidR="00875A43" w:rsidRPr="00875A43">
        <w:rPr>
          <w:rFonts w:eastAsia="Times New Roman" w:cs="Times New Roman"/>
          <w:color w:val="000000" w:themeColor="text1"/>
        </w:rPr>
        <w:t xml:space="preserve">The school’s </w:t>
      </w:r>
      <w:r w:rsidR="00FB53E3">
        <w:rPr>
          <w:rFonts w:eastAsia="Times New Roman" w:cs="Times New Roman"/>
          <w:color w:val="000000" w:themeColor="text1"/>
        </w:rPr>
        <w:t xml:space="preserve">audit for </w:t>
      </w:r>
      <w:r w:rsidR="00875A43" w:rsidRPr="00875A43">
        <w:rPr>
          <w:rFonts w:eastAsia="Times New Roman" w:cs="Times New Roman"/>
          <w:color w:val="000000" w:themeColor="text1"/>
        </w:rPr>
        <w:t xml:space="preserve">fiscal year 2023 </w:t>
      </w:r>
      <w:r w:rsidR="00C80984">
        <w:rPr>
          <w:rFonts w:eastAsia="Times New Roman" w:cs="Times New Roman"/>
          <w:color w:val="000000" w:themeColor="text1"/>
        </w:rPr>
        <w:t xml:space="preserve">noted that the school resolved its findings of material weakness from previous years </w:t>
      </w:r>
      <w:r w:rsidR="00875A43" w:rsidRPr="00875A43">
        <w:rPr>
          <w:rFonts w:eastAsia="Times New Roman" w:cs="Times New Roman"/>
          <w:color w:val="000000" w:themeColor="text1"/>
        </w:rPr>
        <w:t xml:space="preserve">and </w:t>
      </w:r>
      <w:r w:rsidR="00FB53E3">
        <w:rPr>
          <w:rFonts w:eastAsia="Times New Roman" w:cs="Times New Roman"/>
          <w:color w:val="000000" w:themeColor="text1"/>
        </w:rPr>
        <w:t>conta</w:t>
      </w:r>
      <w:r w:rsidR="00E62CB0">
        <w:rPr>
          <w:rFonts w:eastAsia="Times New Roman" w:cs="Times New Roman"/>
          <w:color w:val="000000" w:themeColor="text1"/>
        </w:rPr>
        <w:t>ined</w:t>
      </w:r>
      <w:r w:rsidR="00875A43" w:rsidRPr="00875A43">
        <w:rPr>
          <w:rFonts w:eastAsia="Times New Roman" w:cs="Times New Roman"/>
          <w:color w:val="000000" w:themeColor="text1"/>
        </w:rPr>
        <w:t xml:space="preserve"> no findings.</w:t>
      </w:r>
      <w:r w:rsidR="00C522D4">
        <w:rPr>
          <w:rFonts w:eastAsia="Times New Roman" w:cs="Times New Roman"/>
          <w:color w:val="000000" w:themeColor="text1"/>
        </w:rPr>
        <w:t xml:space="preserve"> TECCA’s </w:t>
      </w:r>
      <w:r w:rsidR="00075FBF">
        <w:rPr>
          <w:rFonts w:eastAsia="Times New Roman" w:cs="Times New Roman"/>
          <w:color w:val="000000" w:themeColor="text1"/>
        </w:rPr>
        <w:t xml:space="preserve">audit </w:t>
      </w:r>
      <w:r w:rsidR="00E62CB0">
        <w:rPr>
          <w:rFonts w:eastAsia="Times New Roman" w:cs="Times New Roman"/>
          <w:color w:val="000000" w:themeColor="text1"/>
        </w:rPr>
        <w:t xml:space="preserve">for fiscal year 2024 contained </w:t>
      </w:r>
      <w:r w:rsidR="00F82B6F">
        <w:rPr>
          <w:rFonts w:eastAsia="Times New Roman" w:cs="Times New Roman"/>
          <w:color w:val="000000" w:themeColor="text1"/>
        </w:rPr>
        <w:t xml:space="preserve">a material weakness </w:t>
      </w:r>
      <w:r w:rsidR="00347927">
        <w:rPr>
          <w:rFonts w:eastAsia="Times New Roman" w:cs="Times New Roman"/>
          <w:color w:val="000000" w:themeColor="text1"/>
        </w:rPr>
        <w:t xml:space="preserve">related to </w:t>
      </w:r>
      <w:r w:rsidR="00C17FD0">
        <w:rPr>
          <w:rFonts w:eastAsia="Times New Roman" w:cs="Times New Roman"/>
          <w:color w:val="000000" w:themeColor="text1"/>
        </w:rPr>
        <w:t>procurement</w:t>
      </w:r>
      <w:r w:rsidR="0054071A">
        <w:rPr>
          <w:rFonts w:eastAsia="Times New Roman" w:cs="Times New Roman"/>
          <w:color w:val="000000" w:themeColor="text1"/>
        </w:rPr>
        <w:t xml:space="preserve"> processes </w:t>
      </w:r>
      <w:r w:rsidR="00347927">
        <w:rPr>
          <w:rFonts w:eastAsia="Times New Roman" w:cs="Times New Roman"/>
          <w:color w:val="000000" w:themeColor="text1"/>
        </w:rPr>
        <w:t xml:space="preserve">for </w:t>
      </w:r>
      <w:r w:rsidR="008B39B4">
        <w:rPr>
          <w:rFonts w:eastAsia="Times New Roman" w:cs="Times New Roman"/>
          <w:color w:val="000000" w:themeColor="text1"/>
        </w:rPr>
        <w:t xml:space="preserve">federal </w:t>
      </w:r>
      <w:r w:rsidR="00347927">
        <w:rPr>
          <w:rFonts w:eastAsia="Times New Roman" w:cs="Times New Roman"/>
          <w:color w:val="000000" w:themeColor="text1"/>
        </w:rPr>
        <w:t xml:space="preserve">grants in which TECCA </w:t>
      </w:r>
      <w:r w:rsidR="0054071A">
        <w:rPr>
          <w:rFonts w:eastAsia="Times New Roman" w:cs="Times New Roman"/>
          <w:color w:val="000000" w:themeColor="text1"/>
        </w:rPr>
        <w:t>did not follow federal rules</w:t>
      </w:r>
      <w:r w:rsidR="00C17FD0">
        <w:rPr>
          <w:rFonts w:eastAsia="Times New Roman" w:cs="Times New Roman"/>
          <w:color w:val="000000" w:themeColor="text1"/>
        </w:rPr>
        <w:t xml:space="preserve">. </w:t>
      </w:r>
    </w:p>
    <w:p w14:paraId="2A633A7D" w14:textId="148CEAC7" w:rsidR="00FF5BDA" w:rsidRDefault="00FF5BDA" w:rsidP="00FF5BDA">
      <w:pPr>
        <w:spacing w:before="240" w:after="240"/>
        <w:rPr>
          <w:rFonts w:eastAsia="Times New Roman" w:cs="Times New Roman"/>
          <w:color w:val="000000" w:themeColor="text1"/>
        </w:rPr>
      </w:pPr>
      <w:r>
        <w:rPr>
          <w:rFonts w:eastAsia="Times New Roman" w:cs="Times New Roman"/>
          <w:b/>
          <w:bCs/>
          <w:color w:val="000000" w:themeColor="text1"/>
        </w:rPr>
        <w:t>Condition 3:</w:t>
      </w:r>
      <w:r>
        <w:rPr>
          <w:rFonts w:eastAsia="Times New Roman" w:cs="Times New Roman"/>
          <w:color w:val="000000" w:themeColor="text1"/>
        </w:rPr>
        <w:t xml:space="preserve"> </w:t>
      </w:r>
      <w:r w:rsidR="00672B4C">
        <w:rPr>
          <w:rFonts w:eastAsia="Times New Roman" w:cs="Times New Roman"/>
          <w:color w:val="000000" w:themeColor="text1"/>
        </w:rPr>
        <w:t xml:space="preserve">By December 31, 2024, the school must demonstrate that it is an academic success by providing evidence that the school has exhibited significant and sustained academic improvement in mathematics, English language arts, and science for all student groups. </w:t>
      </w:r>
    </w:p>
    <w:p w14:paraId="72F4D6DD" w14:textId="77777777" w:rsidR="00FF5BDA" w:rsidRDefault="00FF5BDA" w:rsidP="00FF5BDA">
      <w:pPr>
        <w:spacing w:before="240" w:after="240"/>
        <w:contextualSpacing/>
        <w:rPr>
          <w:rFonts w:eastAsia="Times New Roman" w:cs="Times New Roman"/>
          <w:b/>
          <w:bCs/>
          <w:color w:val="000000" w:themeColor="text1"/>
        </w:rPr>
      </w:pPr>
      <w:r>
        <w:rPr>
          <w:rFonts w:eastAsia="Times New Roman" w:cs="Times New Roman"/>
          <w:color w:val="000000" w:themeColor="text1"/>
        </w:rPr>
        <w:tab/>
      </w:r>
      <w:r>
        <w:rPr>
          <w:rFonts w:eastAsia="Times New Roman" w:cs="Times New Roman"/>
          <w:b/>
          <w:bCs/>
          <w:color w:val="000000" w:themeColor="text1"/>
        </w:rPr>
        <w:t>Summary of Evidence</w:t>
      </w:r>
    </w:p>
    <w:p w14:paraId="3E6705F3" w14:textId="308E4A59" w:rsidR="0071250B" w:rsidRDefault="00E27C59">
      <w:pPr>
        <w:spacing w:before="240" w:after="240"/>
        <w:ind w:left="720"/>
        <w:rPr>
          <w:rFonts w:eastAsia="Times New Roman" w:cs="Times New Roman"/>
          <w:color w:val="000000" w:themeColor="text1"/>
        </w:rPr>
      </w:pPr>
      <w:r>
        <w:rPr>
          <w:rFonts w:eastAsia="Times New Roman" w:cs="Times New Roman"/>
          <w:color w:val="000000" w:themeColor="text1"/>
        </w:rPr>
        <w:t xml:space="preserve">According to the statewide system of accountability, </w:t>
      </w:r>
      <w:r w:rsidR="00514E83">
        <w:rPr>
          <w:rFonts w:eastAsia="Times New Roman" w:cs="Times New Roman"/>
          <w:color w:val="000000" w:themeColor="text1"/>
        </w:rPr>
        <w:t xml:space="preserve">the school has </w:t>
      </w:r>
      <w:r w:rsidR="0071250B">
        <w:rPr>
          <w:rFonts w:eastAsia="Times New Roman" w:cs="Times New Roman"/>
          <w:color w:val="000000" w:themeColor="text1"/>
        </w:rPr>
        <w:t xml:space="preserve">not </w:t>
      </w:r>
      <w:r w:rsidR="00514E83">
        <w:rPr>
          <w:rFonts w:eastAsia="Times New Roman" w:cs="Times New Roman"/>
          <w:color w:val="000000" w:themeColor="text1"/>
        </w:rPr>
        <w:t>shown</w:t>
      </w:r>
      <w:r w:rsidR="007B1485">
        <w:rPr>
          <w:rFonts w:eastAsia="Times New Roman" w:cs="Times New Roman"/>
          <w:color w:val="000000" w:themeColor="text1"/>
        </w:rPr>
        <w:t xml:space="preserve"> academic improvement</w:t>
      </w:r>
      <w:r>
        <w:rPr>
          <w:rFonts w:eastAsia="Times New Roman" w:cs="Times New Roman"/>
          <w:color w:val="000000" w:themeColor="text1"/>
        </w:rPr>
        <w:t>.</w:t>
      </w:r>
      <w:r w:rsidR="00514E83">
        <w:rPr>
          <w:rFonts w:eastAsia="Times New Roman" w:cs="Times New Roman"/>
          <w:color w:val="000000" w:themeColor="text1"/>
        </w:rPr>
        <w:t xml:space="preserve"> </w:t>
      </w:r>
      <w:r w:rsidR="00FF5BDA">
        <w:rPr>
          <w:rFonts w:eastAsia="Times New Roman" w:cs="Times New Roman"/>
          <w:color w:val="000000" w:themeColor="text1"/>
        </w:rPr>
        <w:t xml:space="preserve">Since the beginning of the implementation of the current statewide system of accountability, the school’s accountability percentile </w:t>
      </w:r>
      <w:r w:rsidR="00FE2633">
        <w:rPr>
          <w:rFonts w:eastAsia="Times New Roman" w:cs="Times New Roman"/>
          <w:color w:val="000000" w:themeColor="text1"/>
        </w:rPr>
        <w:t>was</w:t>
      </w:r>
      <w:r w:rsidR="00FF5BDA">
        <w:rPr>
          <w:rFonts w:eastAsia="Times New Roman" w:cs="Times New Roman"/>
          <w:color w:val="000000" w:themeColor="text1"/>
        </w:rPr>
        <w:t xml:space="preserve"> 1</w:t>
      </w:r>
      <w:r w:rsidR="001E4C5A">
        <w:rPr>
          <w:rFonts w:eastAsia="Times New Roman" w:cs="Times New Roman"/>
          <w:color w:val="000000" w:themeColor="text1"/>
        </w:rPr>
        <w:t>6</w:t>
      </w:r>
      <w:r w:rsidR="00FF5BDA">
        <w:rPr>
          <w:rFonts w:eastAsia="Times New Roman" w:cs="Times New Roman"/>
          <w:color w:val="000000" w:themeColor="text1"/>
        </w:rPr>
        <w:t xml:space="preserve"> in 2022, </w:t>
      </w:r>
      <w:r w:rsidR="001E4C5A">
        <w:rPr>
          <w:rFonts w:eastAsia="Times New Roman" w:cs="Times New Roman"/>
          <w:color w:val="000000" w:themeColor="text1"/>
        </w:rPr>
        <w:t>18</w:t>
      </w:r>
      <w:r w:rsidR="00FF5BDA">
        <w:rPr>
          <w:rFonts w:eastAsia="Times New Roman" w:cs="Times New Roman"/>
          <w:color w:val="000000" w:themeColor="text1"/>
        </w:rPr>
        <w:t xml:space="preserve"> in 2023, and 2</w:t>
      </w:r>
      <w:r w:rsidR="00AA2BAD">
        <w:rPr>
          <w:rFonts w:eastAsia="Times New Roman" w:cs="Times New Roman"/>
          <w:color w:val="000000" w:themeColor="text1"/>
        </w:rPr>
        <w:t>2</w:t>
      </w:r>
      <w:r w:rsidR="00FF5BDA">
        <w:rPr>
          <w:rFonts w:eastAsia="Times New Roman" w:cs="Times New Roman"/>
          <w:color w:val="000000" w:themeColor="text1"/>
        </w:rPr>
        <w:t xml:space="preserve"> in 2024. </w:t>
      </w:r>
      <w:r w:rsidR="004619C5">
        <w:rPr>
          <w:rFonts w:eastAsia="Times New Roman" w:cs="Times New Roman"/>
          <w:color w:val="000000" w:themeColor="text1"/>
        </w:rPr>
        <w:t>While the school made substantial progress toward targets in 2023 and 2024, t</w:t>
      </w:r>
      <w:r w:rsidR="00AD5207">
        <w:rPr>
          <w:rFonts w:eastAsia="Times New Roman" w:cs="Times New Roman"/>
          <w:color w:val="000000" w:themeColor="text1"/>
        </w:rPr>
        <w:t xml:space="preserve">he Department classified the school as requiring assistance or intervention </w:t>
      </w:r>
      <w:r w:rsidR="00BB23B9">
        <w:rPr>
          <w:rFonts w:eastAsia="Times New Roman" w:cs="Times New Roman"/>
          <w:color w:val="000000" w:themeColor="text1"/>
        </w:rPr>
        <w:t xml:space="preserve">both years </w:t>
      </w:r>
      <w:r w:rsidR="001130F6">
        <w:rPr>
          <w:rFonts w:eastAsia="Times New Roman" w:cs="Times New Roman"/>
          <w:color w:val="000000" w:themeColor="text1"/>
        </w:rPr>
        <w:t xml:space="preserve">due to </w:t>
      </w:r>
      <w:r w:rsidR="00E46CF4">
        <w:rPr>
          <w:rFonts w:eastAsia="Times New Roman" w:cs="Times New Roman"/>
          <w:color w:val="000000" w:themeColor="text1"/>
        </w:rPr>
        <w:t xml:space="preserve">the school’s </w:t>
      </w:r>
      <w:r w:rsidR="008C5863">
        <w:rPr>
          <w:rFonts w:eastAsia="Times New Roman" w:cs="Times New Roman"/>
          <w:color w:val="000000" w:themeColor="text1"/>
        </w:rPr>
        <w:t xml:space="preserve">low graduation rate and </w:t>
      </w:r>
      <w:r w:rsidR="00E46CF4">
        <w:rPr>
          <w:rFonts w:eastAsia="Times New Roman" w:cs="Times New Roman"/>
          <w:color w:val="000000" w:themeColor="text1"/>
        </w:rPr>
        <w:t xml:space="preserve">low participation rate for </w:t>
      </w:r>
      <w:r w:rsidR="00807115">
        <w:rPr>
          <w:rFonts w:eastAsia="Times New Roman" w:cs="Times New Roman"/>
          <w:color w:val="000000" w:themeColor="text1"/>
        </w:rPr>
        <w:t xml:space="preserve">all students </w:t>
      </w:r>
      <w:r w:rsidR="006B3494">
        <w:rPr>
          <w:rFonts w:eastAsia="Times New Roman" w:cs="Times New Roman"/>
          <w:color w:val="000000" w:themeColor="text1"/>
        </w:rPr>
        <w:t>and all student group</w:t>
      </w:r>
      <w:r w:rsidR="00B976DC">
        <w:rPr>
          <w:rFonts w:eastAsia="Times New Roman" w:cs="Times New Roman"/>
          <w:color w:val="000000" w:themeColor="text1"/>
        </w:rPr>
        <w:t xml:space="preserve">s. </w:t>
      </w:r>
      <w:r w:rsidR="009B6AA1">
        <w:rPr>
          <w:rFonts w:eastAsia="Times New Roman" w:cs="Times New Roman"/>
          <w:color w:val="000000" w:themeColor="text1"/>
        </w:rPr>
        <w:t xml:space="preserve">The percentage of students meeting or exceeding expectations has declined </w:t>
      </w:r>
      <w:r w:rsidR="005751B6">
        <w:rPr>
          <w:rFonts w:eastAsia="Times New Roman" w:cs="Times New Roman"/>
          <w:color w:val="000000" w:themeColor="text1"/>
        </w:rPr>
        <w:t>between 2022 and 2024 in</w:t>
      </w:r>
      <w:r w:rsidR="00435166">
        <w:rPr>
          <w:rFonts w:eastAsia="Times New Roman" w:cs="Times New Roman"/>
          <w:color w:val="000000" w:themeColor="text1"/>
        </w:rPr>
        <w:t xml:space="preserve"> all subject</w:t>
      </w:r>
      <w:r w:rsidR="005751B6">
        <w:rPr>
          <w:rFonts w:eastAsia="Times New Roman" w:cs="Times New Roman"/>
          <w:color w:val="000000" w:themeColor="text1"/>
        </w:rPr>
        <w:t xml:space="preserve"> areas</w:t>
      </w:r>
      <w:r w:rsidR="00435166">
        <w:rPr>
          <w:rFonts w:eastAsia="Times New Roman" w:cs="Times New Roman"/>
          <w:color w:val="000000" w:themeColor="text1"/>
        </w:rPr>
        <w:t xml:space="preserve"> (English language arts, mathematics, and science) </w:t>
      </w:r>
      <w:r w:rsidR="005751B6">
        <w:rPr>
          <w:rFonts w:eastAsia="Times New Roman" w:cs="Times New Roman"/>
          <w:color w:val="000000" w:themeColor="text1"/>
        </w:rPr>
        <w:t xml:space="preserve">for </w:t>
      </w:r>
      <w:r w:rsidR="0010553B">
        <w:rPr>
          <w:rFonts w:eastAsia="Times New Roman" w:cs="Times New Roman"/>
          <w:color w:val="000000" w:themeColor="text1"/>
        </w:rPr>
        <w:t xml:space="preserve">grades 3 through 8 and grade 10. </w:t>
      </w:r>
    </w:p>
    <w:p w14:paraId="51014A9B" w14:textId="6CF49701" w:rsidR="00536BCC" w:rsidRDefault="00C50CE0" w:rsidP="00536BCC">
      <w:pPr>
        <w:spacing w:before="240" w:after="240"/>
        <w:ind w:left="720"/>
        <w:rPr>
          <w:rFonts w:eastAsia="Times New Roman" w:cs="Times New Roman"/>
          <w:color w:val="000000" w:themeColor="text1"/>
        </w:rPr>
      </w:pPr>
      <w:r>
        <w:rPr>
          <w:rFonts w:eastAsia="Times New Roman" w:cs="Times New Roman"/>
          <w:color w:val="000000" w:themeColor="text1"/>
        </w:rPr>
        <w:lastRenderedPageBreak/>
        <w:t>Due to the school’s</w:t>
      </w:r>
      <w:r w:rsidR="003A6CC0">
        <w:rPr>
          <w:rFonts w:eastAsia="Times New Roman" w:cs="Times New Roman"/>
          <w:color w:val="000000" w:themeColor="text1"/>
        </w:rPr>
        <w:t xml:space="preserve"> </w:t>
      </w:r>
      <w:r w:rsidR="008E05BB">
        <w:rPr>
          <w:rFonts w:eastAsia="Times New Roman" w:cs="Times New Roman"/>
          <w:color w:val="000000" w:themeColor="text1"/>
        </w:rPr>
        <w:t xml:space="preserve">high </w:t>
      </w:r>
      <w:r w:rsidR="003A6CC0">
        <w:rPr>
          <w:rFonts w:eastAsia="Times New Roman" w:cs="Times New Roman"/>
          <w:color w:val="000000" w:themeColor="text1"/>
        </w:rPr>
        <w:t>student churn rates</w:t>
      </w:r>
      <w:r>
        <w:rPr>
          <w:rFonts w:eastAsia="Times New Roman" w:cs="Times New Roman"/>
          <w:color w:val="000000" w:themeColor="text1"/>
        </w:rPr>
        <w:t xml:space="preserve">, </w:t>
      </w:r>
      <w:r w:rsidR="003A6CC0">
        <w:rPr>
          <w:rFonts w:eastAsia="Times New Roman" w:cs="Times New Roman"/>
          <w:color w:val="000000" w:themeColor="text1"/>
        </w:rPr>
        <w:t>the Department required TECCA to create goals in its Accountability Plan</w:t>
      </w:r>
      <w:r>
        <w:rPr>
          <w:rFonts w:eastAsia="Times New Roman" w:cs="Times New Roman"/>
          <w:color w:val="000000" w:themeColor="text1"/>
        </w:rPr>
        <w:t xml:space="preserve"> to better assess outcomes for academic achievement and growth based on performance on non-statewide </w:t>
      </w:r>
      <w:r w:rsidR="00542CCB">
        <w:rPr>
          <w:rFonts w:eastAsia="Times New Roman" w:cs="Times New Roman"/>
          <w:color w:val="000000" w:themeColor="text1"/>
        </w:rPr>
        <w:t>assessments</w:t>
      </w:r>
      <w:r w:rsidR="003A6CC0">
        <w:rPr>
          <w:rFonts w:eastAsia="Times New Roman" w:cs="Times New Roman"/>
          <w:color w:val="000000" w:themeColor="text1"/>
        </w:rPr>
        <w:t xml:space="preserve">. TECCA provided some </w:t>
      </w:r>
      <w:r w:rsidR="002F43CA">
        <w:rPr>
          <w:rFonts w:eastAsia="Times New Roman" w:cs="Times New Roman"/>
          <w:color w:val="000000" w:themeColor="text1"/>
        </w:rPr>
        <w:t xml:space="preserve">additional </w:t>
      </w:r>
      <w:r w:rsidR="003A6CC0">
        <w:rPr>
          <w:rFonts w:eastAsia="Times New Roman" w:cs="Times New Roman"/>
          <w:color w:val="000000" w:themeColor="text1"/>
        </w:rPr>
        <w:t>evidence of academic success</w:t>
      </w:r>
      <w:r w:rsidR="003A6CC0" w:rsidRPr="007F1FF2">
        <w:rPr>
          <w:rFonts w:eastAsia="Times New Roman" w:cs="Times New Roman"/>
          <w:color w:val="000000" w:themeColor="text1"/>
        </w:rPr>
        <w:t xml:space="preserve"> </w:t>
      </w:r>
      <w:r w:rsidR="003A6CC0">
        <w:rPr>
          <w:rFonts w:eastAsia="Times New Roman" w:cs="Times New Roman"/>
          <w:color w:val="000000" w:themeColor="text1"/>
        </w:rPr>
        <w:t xml:space="preserve">in reports </w:t>
      </w:r>
      <w:r w:rsidR="002F43CA">
        <w:rPr>
          <w:rFonts w:eastAsia="Times New Roman" w:cs="Times New Roman"/>
          <w:color w:val="000000" w:themeColor="text1"/>
        </w:rPr>
        <w:t xml:space="preserve">related to </w:t>
      </w:r>
      <w:r w:rsidR="003A6CC0">
        <w:rPr>
          <w:rFonts w:eastAsia="Times New Roman" w:cs="Times New Roman"/>
          <w:color w:val="000000" w:themeColor="text1"/>
        </w:rPr>
        <w:t xml:space="preserve">its Accountability Plan </w:t>
      </w:r>
      <w:r w:rsidR="007C5E04">
        <w:rPr>
          <w:rFonts w:eastAsia="Times New Roman" w:cs="Times New Roman"/>
          <w:color w:val="000000" w:themeColor="text1"/>
        </w:rPr>
        <w:t>for 2022-23 and 2023-24</w:t>
      </w:r>
      <w:r w:rsidR="003A6CC0">
        <w:rPr>
          <w:rFonts w:eastAsia="Times New Roman" w:cs="Times New Roman"/>
          <w:color w:val="000000" w:themeColor="text1"/>
        </w:rPr>
        <w:t xml:space="preserve">. </w:t>
      </w:r>
      <w:r w:rsidR="004C5425">
        <w:rPr>
          <w:rFonts w:eastAsia="Times New Roman" w:cs="Times New Roman"/>
          <w:color w:val="000000" w:themeColor="text1"/>
        </w:rPr>
        <w:t xml:space="preserve">In </w:t>
      </w:r>
      <w:r w:rsidR="00861CF8">
        <w:rPr>
          <w:rFonts w:eastAsia="Times New Roman" w:cs="Times New Roman"/>
          <w:color w:val="000000" w:themeColor="text1"/>
        </w:rPr>
        <w:t xml:space="preserve">2023-24, </w:t>
      </w:r>
      <w:r w:rsidR="00EB68F0">
        <w:rPr>
          <w:rFonts w:eastAsia="Times New Roman" w:cs="Times New Roman"/>
          <w:color w:val="000000" w:themeColor="text1"/>
        </w:rPr>
        <w:t xml:space="preserve">according to Star 360 reading assessments, </w:t>
      </w:r>
      <w:r w:rsidR="00A47548">
        <w:rPr>
          <w:rFonts w:eastAsia="Times New Roman" w:cs="Times New Roman"/>
          <w:color w:val="000000" w:themeColor="text1"/>
        </w:rPr>
        <w:t>8</w:t>
      </w:r>
      <w:r w:rsidR="00D82EC6">
        <w:rPr>
          <w:rFonts w:eastAsia="Times New Roman" w:cs="Times New Roman"/>
          <w:color w:val="000000" w:themeColor="text1"/>
        </w:rPr>
        <w:t>2</w:t>
      </w:r>
      <w:r w:rsidR="00861CF8">
        <w:rPr>
          <w:rFonts w:eastAsia="Times New Roman" w:cs="Times New Roman"/>
          <w:color w:val="000000" w:themeColor="text1"/>
        </w:rPr>
        <w:t xml:space="preserve"> percent of students enrolled </w:t>
      </w:r>
      <w:r w:rsidR="00B97BB0">
        <w:rPr>
          <w:rFonts w:eastAsia="Times New Roman" w:cs="Times New Roman"/>
          <w:color w:val="000000" w:themeColor="text1"/>
        </w:rPr>
        <w:t xml:space="preserve">for </w:t>
      </w:r>
      <w:r w:rsidR="00861CF8">
        <w:rPr>
          <w:rFonts w:eastAsia="Times New Roman" w:cs="Times New Roman"/>
          <w:color w:val="000000" w:themeColor="text1"/>
        </w:rPr>
        <w:t xml:space="preserve">the full academic year scored at grade level by the end of the year, met their </w:t>
      </w:r>
      <w:r w:rsidR="004C5425">
        <w:rPr>
          <w:rFonts w:eastAsia="Times New Roman" w:cs="Times New Roman"/>
          <w:color w:val="000000" w:themeColor="text1"/>
        </w:rPr>
        <w:t xml:space="preserve">relevant </w:t>
      </w:r>
      <w:r w:rsidR="00861CF8">
        <w:rPr>
          <w:rFonts w:eastAsia="Times New Roman" w:cs="Times New Roman"/>
          <w:color w:val="000000" w:themeColor="text1"/>
        </w:rPr>
        <w:t xml:space="preserve">student growth percentile goal, or increased </w:t>
      </w:r>
      <w:r w:rsidR="004C5425">
        <w:rPr>
          <w:rFonts w:eastAsia="Times New Roman" w:cs="Times New Roman"/>
          <w:color w:val="000000" w:themeColor="text1"/>
        </w:rPr>
        <w:t>by one</w:t>
      </w:r>
      <w:r w:rsidR="00861CF8">
        <w:rPr>
          <w:rFonts w:eastAsia="Times New Roman" w:cs="Times New Roman"/>
          <w:color w:val="000000" w:themeColor="text1"/>
        </w:rPr>
        <w:t xml:space="preserve"> grade level</w:t>
      </w:r>
      <w:r w:rsidR="00515E09">
        <w:rPr>
          <w:rFonts w:eastAsia="Times New Roman" w:cs="Times New Roman"/>
          <w:color w:val="000000" w:themeColor="text1"/>
        </w:rPr>
        <w:t>, w</w:t>
      </w:r>
      <w:r w:rsidR="00861CF8">
        <w:rPr>
          <w:rFonts w:eastAsia="Times New Roman" w:cs="Times New Roman"/>
          <w:color w:val="000000" w:themeColor="text1"/>
        </w:rPr>
        <w:t>hich was a</w:t>
      </w:r>
      <w:r w:rsidR="00896A71">
        <w:rPr>
          <w:rFonts w:eastAsia="Times New Roman" w:cs="Times New Roman"/>
          <w:color w:val="000000" w:themeColor="text1"/>
        </w:rPr>
        <w:t xml:space="preserve"> </w:t>
      </w:r>
      <w:r w:rsidR="004C5425">
        <w:rPr>
          <w:rFonts w:eastAsia="Times New Roman" w:cs="Times New Roman"/>
          <w:color w:val="000000" w:themeColor="text1"/>
        </w:rPr>
        <w:t xml:space="preserve">slight </w:t>
      </w:r>
      <w:r w:rsidR="00896A71">
        <w:rPr>
          <w:rFonts w:eastAsia="Times New Roman" w:cs="Times New Roman"/>
          <w:color w:val="000000" w:themeColor="text1"/>
        </w:rPr>
        <w:t>decrease</w:t>
      </w:r>
      <w:r w:rsidR="00861CF8">
        <w:rPr>
          <w:rFonts w:eastAsia="Times New Roman" w:cs="Times New Roman"/>
          <w:color w:val="000000" w:themeColor="text1"/>
        </w:rPr>
        <w:t xml:space="preserve"> from 83 percent of students in 2022-23. </w:t>
      </w:r>
      <w:r w:rsidR="00515E09">
        <w:rPr>
          <w:rFonts w:eastAsia="Times New Roman" w:cs="Times New Roman"/>
          <w:color w:val="000000" w:themeColor="text1"/>
        </w:rPr>
        <w:t xml:space="preserve">According to the results of the Star 360 mathematics assessments, </w:t>
      </w:r>
      <w:r w:rsidR="00861CF8">
        <w:rPr>
          <w:rFonts w:eastAsia="Times New Roman" w:cs="Times New Roman"/>
          <w:color w:val="000000" w:themeColor="text1"/>
        </w:rPr>
        <w:t>8</w:t>
      </w:r>
      <w:r w:rsidR="00D82EC6">
        <w:rPr>
          <w:rFonts w:eastAsia="Times New Roman" w:cs="Times New Roman"/>
          <w:color w:val="000000" w:themeColor="text1"/>
        </w:rPr>
        <w:t>1</w:t>
      </w:r>
      <w:r w:rsidR="00861CF8">
        <w:rPr>
          <w:rFonts w:eastAsia="Times New Roman" w:cs="Times New Roman"/>
          <w:color w:val="000000" w:themeColor="text1"/>
        </w:rPr>
        <w:t xml:space="preserve"> percent of students enrolled </w:t>
      </w:r>
      <w:r w:rsidR="00E7726F">
        <w:rPr>
          <w:rFonts w:eastAsia="Times New Roman" w:cs="Times New Roman"/>
          <w:color w:val="000000" w:themeColor="text1"/>
        </w:rPr>
        <w:t xml:space="preserve">for </w:t>
      </w:r>
      <w:r w:rsidR="00861CF8">
        <w:rPr>
          <w:rFonts w:eastAsia="Times New Roman" w:cs="Times New Roman"/>
          <w:color w:val="000000" w:themeColor="text1"/>
        </w:rPr>
        <w:t xml:space="preserve">the full academic year scored at grade level by the end of the year, met their student growth percentile goal, or increased </w:t>
      </w:r>
      <w:r w:rsidR="000B436B">
        <w:rPr>
          <w:rFonts w:eastAsia="Times New Roman" w:cs="Times New Roman"/>
          <w:color w:val="000000" w:themeColor="text1"/>
        </w:rPr>
        <w:t>by one</w:t>
      </w:r>
      <w:r w:rsidR="00861CF8">
        <w:rPr>
          <w:rFonts w:eastAsia="Times New Roman" w:cs="Times New Roman"/>
          <w:color w:val="000000" w:themeColor="text1"/>
        </w:rPr>
        <w:t xml:space="preserve"> grade level, which was a</w:t>
      </w:r>
      <w:r w:rsidR="00D82EC6">
        <w:rPr>
          <w:rFonts w:eastAsia="Times New Roman" w:cs="Times New Roman"/>
          <w:color w:val="000000" w:themeColor="text1"/>
        </w:rPr>
        <w:t xml:space="preserve"> </w:t>
      </w:r>
      <w:r w:rsidR="000B436B">
        <w:rPr>
          <w:rFonts w:eastAsia="Times New Roman" w:cs="Times New Roman"/>
          <w:color w:val="000000" w:themeColor="text1"/>
        </w:rPr>
        <w:t xml:space="preserve">slight </w:t>
      </w:r>
      <w:r w:rsidR="00D82EC6">
        <w:rPr>
          <w:rFonts w:eastAsia="Times New Roman" w:cs="Times New Roman"/>
          <w:color w:val="000000" w:themeColor="text1"/>
        </w:rPr>
        <w:t xml:space="preserve">decrease </w:t>
      </w:r>
      <w:r w:rsidR="00861CF8">
        <w:rPr>
          <w:rFonts w:eastAsia="Times New Roman" w:cs="Times New Roman"/>
          <w:color w:val="000000" w:themeColor="text1"/>
        </w:rPr>
        <w:t>from 8</w:t>
      </w:r>
      <w:r w:rsidR="00D82EC6">
        <w:rPr>
          <w:rFonts w:eastAsia="Times New Roman" w:cs="Times New Roman"/>
          <w:color w:val="000000" w:themeColor="text1"/>
        </w:rPr>
        <w:t>3</w:t>
      </w:r>
      <w:r w:rsidR="00861CF8">
        <w:rPr>
          <w:rFonts w:eastAsia="Times New Roman" w:cs="Times New Roman"/>
          <w:color w:val="000000" w:themeColor="text1"/>
        </w:rPr>
        <w:t xml:space="preserve"> percent of students in 2022-23. </w:t>
      </w:r>
    </w:p>
    <w:p w14:paraId="6A44F887" w14:textId="536A737B" w:rsidR="00340F43" w:rsidRPr="00340F43" w:rsidRDefault="00340F43" w:rsidP="00FF5BDA">
      <w:pPr>
        <w:spacing w:before="240" w:after="240"/>
        <w:rPr>
          <w:rFonts w:eastAsia="Times New Roman" w:cs="Times New Roman"/>
          <w:b/>
          <w:bCs/>
          <w:color w:val="000000" w:themeColor="text1"/>
        </w:rPr>
      </w:pPr>
      <w:r w:rsidRPr="00340F43">
        <w:rPr>
          <w:rFonts w:eastAsia="Times New Roman" w:cs="Times New Roman"/>
          <w:b/>
          <w:bCs/>
          <w:color w:val="000000" w:themeColor="text1"/>
        </w:rPr>
        <w:t>Recommendation</w:t>
      </w:r>
    </w:p>
    <w:p w14:paraId="797B7959" w14:textId="2C19C263" w:rsidR="00424288" w:rsidRDefault="00D83633" w:rsidP="00D83633">
      <w:pPr>
        <w:spacing w:before="240" w:after="240"/>
        <w:rPr>
          <w:rFonts w:eastAsia="Times New Roman" w:cs="Times New Roman"/>
          <w:color w:val="000000" w:themeColor="text1"/>
        </w:rPr>
      </w:pPr>
      <w:r>
        <w:rPr>
          <w:rFonts w:eastAsia="Times New Roman" w:cs="Times New Roman"/>
          <w:color w:val="000000" w:themeColor="text1"/>
        </w:rPr>
        <w:t>Given the evidence presented below, I recommend that the Board remove two conditions imposed on TECCA, extend one condition related to academic results, and impose a new condition related to the school’s financial oversight. The school has shown some academic improvement;</w:t>
      </w:r>
      <w:r w:rsidR="00385309">
        <w:rPr>
          <w:rFonts w:eastAsia="Times New Roman" w:cs="Times New Roman"/>
          <w:color w:val="000000" w:themeColor="text1"/>
        </w:rPr>
        <w:t xml:space="preserve"> </w:t>
      </w:r>
      <w:r w:rsidR="00EF7EEF">
        <w:rPr>
          <w:rFonts w:eastAsia="Times New Roman" w:cs="Times New Roman"/>
          <w:color w:val="000000" w:themeColor="text1"/>
        </w:rPr>
        <w:t xml:space="preserve">academic </w:t>
      </w:r>
      <w:r w:rsidR="00385309">
        <w:rPr>
          <w:rFonts w:eastAsia="Times New Roman" w:cs="Times New Roman"/>
          <w:color w:val="000000" w:themeColor="text1"/>
        </w:rPr>
        <w:t>results, however,</w:t>
      </w:r>
      <w:r>
        <w:rPr>
          <w:rFonts w:eastAsia="Times New Roman" w:cs="Times New Roman"/>
          <w:color w:val="000000" w:themeColor="text1"/>
        </w:rPr>
        <w:t xml:space="preserve"> remain an area of concern. Therefore, I recommend extending the academic condition by one year, through the end of the current certificate term. </w:t>
      </w:r>
    </w:p>
    <w:p w14:paraId="33AF8F14" w14:textId="3DC8B6B1" w:rsidR="00D83633" w:rsidRPr="00173E1E" w:rsidRDefault="00D83633" w:rsidP="00D83633">
      <w:pPr>
        <w:spacing w:before="240" w:after="240"/>
        <w:rPr>
          <w:rFonts w:eastAsia="Times New Roman" w:cs="Times New Roman"/>
          <w:i/>
          <w:iCs/>
          <w:color w:val="000000" w:themeColor="text1"/>
        </w:rPr>
      </w:pPr>
      <w:r>
        <w:rPr>
          <w:rFonts w:eastAsia="Times New Roman" w:cs="Times New Roman"/>
          <w:color w:val="000000" w:themeColor="text1"/>
        </w:rPr>
        <w:t xml:space="preserve">Further, I recommend imposing a new condition related to the school’s financial oversight. Although the school addressed the previous condition related to timely submission of its annual financial audit and </w:t>
      </w:r>
      <w:r w:rsidR="00515032">
        <w:rPr>
          <w:rFonts w:eastAsia="Times New Roman" w:cs="Times New Roman"/>
          <w:color w:val="000000" w:themeColor="text1"/>
        </w:rPr>
        <w:t>some of the</w:t>
      </w:r>
      <w:r>
        <w:rPr>
          <w:rFonts w:eastAsia="Times New Roman" w:cs="Times New Roman"/>
          <w:color w:val="000000" w:themeColor="text1"/>
        </w:rPr>
        <w:t xml:space="preserve"> findings outlined in prior audits, </w:t>
      </w:r>
      <w:r w:rsidR="00B55C3C">
        <w:rPr>
          <w:rFonts w:eastAsia="Times New Roman" w:cs="Times New Roman"/>
          <w:color w:val="000000" w:themeColor="text1"/>
        </w:rPr>
        <w:t xml:space="preserve">its </w:t>
      </w:r>
      <w:r>
        <w:rPr>
          <w:rFonts w:eastAsia="Times New Roman" w:cs="Times New Roman"/>
          <w:color w:val="000000" w:themeColor="text1"/>
        </w:rPr>
        <w:t xml:space="preserve">audit </w:t>
      </w:r>
      <w:r w:rsidR="00B55C3C">
        <w:rPr>
          <w:rFonts w:eastAsia="Times New Roman" w:cs="Times New Roman"/>
          <w:color w:val="000000" w:themeColor="text1"/>
        </w:rPr>
        <w:t xml:space="preserve">for fiscal year 2024 </w:t>
      </w:r>
      <w:r>
        <w:rPr>
          <w:rFonts w:eastAsia="Times New Roman" w:cs="Times New Roman"/>
          <w:color w:val="000000" w:themeColor="text1"/>
        </w:rPr>
        <w:t xml:space="preserve">highlighted </w:t>
      </w:r>
      <w:r w:rsidR="00EA2B46">
        <w:rPr>
          <w:rFonts w:eastAsia="Times New Roman" w:cs="Times New Roman"/>
          <w:color w:val="000000" w:themeColor="text1"/>
        </w:rPr>
        <w:t>reoccurring</w:t>
      </w:r>
      <w:r>
        <w:rPr>
          <w:rFonts w:eastAsia="Times New Roman" w:cs="Times New Roman"/>
          <w:color w:val="000000" w:themeColor="text1"/>
        </w:rPr>
        <w:t xml:space="preserve"> concerns regarding </w:t>
      </w:r>
      <w:r w:rsidR="00EA2B46">
        <w:rPr>
          <w:rFonts w:eastAsia="Times New Roman" w:cs="Times New Roman"/>
          <w:color w:val="000000" w:themeColor="text1"/>
        </w:rPr>
        <w:t xml:space="preserve">a lack of </w:t>
      </w:r>
      <w:r w:rsidR="00B55C3C">
        <w:rPr>
          <w:rFonts w:eastAsia="Times New Roman" w:cs="Times New Roman"/>
          <w:color w:val="000000" w:themeColor="text1"/>
        </w:rPr>
        <w:t xml:space="preserve">sufficient </w:t>
      </w:r>
      <w:r>
        <w:rPr>
          <w:rFonts w:eastAsia="Times New Roman" w:cs="Times New Roman"/>
          <w:color w:val="000000" w:themeColor="text1"/>
        </w:rPr>
        <w:t xml:space="preserve">financial oversight. </w:t>
      </w:r>
    </w:p>
    <w:p w14:paraId="02632F97" w14:textId="0D77D7CF" w:rsidR="00FF5BDA" w:rsidRDefault="00340F43" w:rsidP="00FF5BDA">
      <w:pPr>
        <w:spacing w:before="240" w:after="240"/>
        <w:rPr>
          <w:rFonts w:eastAsia="Times New Roman" w:cs="Times New Roman"/>
          <w:color w:val="000000" w:themeColor="text1"/>
        </w:rPr>
      </w:pPr>
      <w:r>
        <w:rPr>
          <w:rFonts w:eastAsia="Times New Roman" w:cs="Times New Roman"/>
          <w:color w:val="000000" w:themeColor="text1"/>
        </w:rPr>
        <w:t>I recommend</w:t>
      </w:r>
      <w:r w:rsidR="00536BCC">
        <w:rPr>
          <w:rFonts w:eastAsia="Times New Roman" w:cs="Times New Roman"/>
          <w:color w:val="000000" w:themeColor="text1"/>
        </w:rPr>
        <w:t xml:space="preserve"> that the Board impose</w:t>
      </w:r>
      <w:r>
        <w:rPr>
          <w:rFonts w:eastAsia="Times New Roman" w:cs="Times New Roman"/>
          <w:color w:val="000000" w:themeColor="text1"/>
        </w:rPr>
        <w:t xml:space="preserve"> </w:t>
      </w:r>
      <w:r w:rsidR="00464BE7">
        <w:rPr>
          <w:rFonts w:eastAsia="Times New Roman" w:cs="Times New Roman"/>
          <w:color w:val="000000" w:themeColor="text1"/>
        </w:rPr>
        <w:t>t</w:t>
      </w:r>
      <w:r w:rsidR="00FF5BDA">
        <w:rPr>
          <w:rFonts w:eastAsia="Times New Roman" w:cs="Times New Roman"/>
          <w:color w:val="000000" w:themeColor="text1"/>
        </w:rPr>
        <w:t>he condition</w:t>
      </w:r>
      <w:r>
        <w:rPr>
          <w:rFonts w:eastAsia="Times New Roman" w:cs="Times New Roman"/>
          <w:color w:val="000000" w:themeColor="text1"/>
        </w:rPr>
        <w:t>s</w:t>
      </w:r>
      <w:r w:rsidR="00FF5BDA">
        <w:rPr>
          <w:rFonts w:eastAsia="Times New Roman" w:cs="Times New Roman"/>
          <w:color w:val="000000" w:themeColor="text1"/>
        </w:rPr>
        <w:t xml:space="preserve"> t</w:t>
      </w:r>
      <w:r w:rsidR="00536BCC">
        <w:rPr>
          <w:rFonts w:eastAsia="Times New Roman" w:cs="Times New Roman"/>
          <w:color w:val="000000" w:themeColor="text1"/>
        </w:rPr>
        <w:t>hat</w:t>
      </w:r>
      <w:r w:rsidR="00FF5BDA">
        <w:rPr>
          <w:rFonts w:eastAsia="Times New Roman" w:cs="Times New Roman"/>
          <w:color w:val="000000" w:themeColor="text1"/>
        </w:rPr>
        <w:t xml:space="preserve"> follow.</w:t>
      </w:r>
    </w:p>
    <w:p w14:paraId="32973D95" w14:textId="62E51E84" w:rsidR="00464BE7" w:rsidRPr="00464BE7" w:rsidRDefault="00464BE7" w:rsidP="00FF5BDA">
      <w:pPr>
        <w:spacing w:before="240" w:after="240"/>
        <w:ind w:left="720"/>
        <w:rPr>
          <w:rFonts w:eastAsia="Times New Roman" w:cs="Times New Roman"/>
          <w:color w:val="000000" w:themeColor="text1"/>
        </w:rPr>
      </w:pPr>
      <w:r w:rsidRPr="4B59BA6C">
        <w:rPr>
          <w:rFonts w:eastAsia="Times New Roman" w:cs="Times New Roman"/>
          <w:b/>
          <w:bCs/>
          <w:color w:val="000000" w:themeColor="text1"/>
        </w:rPr>
        <w:t>Condition 1:</w:t>
      </w:r>
      <w:r w:rsidRPr="4B59BA6C">
        <w:rPr>
          <w:rFonts w:eastAsia="Times New Roman" w:cs="Times New Roman"/>
          <w:color w:val="000000" w:themeColor="text1"/>
        </w:rPr>
        <w:t xml:space="preserve"> </w:t>
      </w:r>
      <w:r w:rsidR="00ED0D94" w:rsidRPr="4B59BA6C">
        <w:rPr>
          <w:rFonts w:eastAsia="Times New Roman" w:cs="Times New Roman"/>
          <w:color w:val="000000" w:themeColor="text1"/>
        </w:rPr>
        <w:t>By July 1, 2025, t</w:t>
      </w:r>
      <w:r w:rsidR="00643984" w:rsidRPr="4B59BA6C">
        <w:rPr>
          <w:rFonts w:eastAsia="Times New Roman" w:cs="Times New Roman"/>
          <w:color w:val="000000" w:themeColor="text1"/>
        </w:rPr>
        <w:t xml:space="preserve">he school will provide the Department </w:t>
      </w:r>
      <w:r w:rsidR="00E46210">
        <w:rPr>
          <w:rFonts w:eastAsia="Times New Roman" w:cs="Times New Roman"/>
          <w:color w:val="000000" w:themeColor="text1"/>
        </w:rPr>
        <w:t xml:space="preserve">with </w:t>
      </w:r>
      <w:r w:rsidR="00861CF8" w:rsidRPr="4B59BA6C">
        <w:rPr>
          <w:rFonts w:eastAsia="Times New Roman" w:cs="Times New Roman"/>
          <w:color w:val="000000" w:themeColor="text1"/>
        </w:rPr>
        <w:t xml:space="preserve">sufficient </w:t>
      </w:r>
      <w:r w:rsidR="00643984" w:rsidRPr="4B59BA6C">
        <w:rPr>
          <w:rFonts w:eastAsia="Times New Roman" w:cs="Times New Roman"/>
          <w:color w:val="000000" w:themeColor="text1"/>
        </w:rPr>
        <w:t xml:space="preserve">evidence that it has addressed all the </w:t>
      </w:r>
      <w:r w:rsidR="000B3725" w:rsidRPr="4B59BA6C">
        <w:rPr>
          <w:rFonts w:eastAsia="Times New Roman" w:cs="Times New Roman"/>
          <w:color w:val="000000" w:themeColor="text1"/>
        </w:rPr>
        <w:t>commitments articulated in</w:t>
      </w:r>
      <w:r w:rsidR="00FE38DD">
        <w:rPr>
          <w:rFonts w:eastAsia="Times New Roman" w:cs="Times New Roman"/>
          <w:color w:val="000000" w:themeColor="text1"/>
        </w:rPr>
        <w:t xml:space="preserve"> </w:t>
      </w:r>
      <w:r w:rsidR="00E46210">
        <w:rPr>
          <w:rFonts w:eastAsia="Times New Roman" w:cs="Times New Roman"/>
          <w:color w:val="000000" w:themeColor="text1"/>
        </w:rPr>
        <w:t>the</w:t>
      </w:r>
      <w:r w:rsidR="000B3725" w:rsidRPr="4B59BA6C">
        <w:rPr>
          <w:rFonts w:eastAsia="Times New Roman" w:cs="Times New Roman"/>
          <w:color w:val="000000" w:themeColor="text1"/>
        </w:rPr>
        <w:t xml:space="preserve"> Corrective Action Plan</w:t>
      </w:r>
      <w:r w:rsidR="00FE38DD">
        <w:rPr>
          <w:rFonts w:eastAsia="Times New Roman" w:cs="Times New Roman"/>
          <w:color w:val="000000" w:themeColor="text1"/>
        </w:rPr>
        <w:t xml:space="preserve"> related to its audit for </w:t>
      </w:r>
      <w:r w:rsidR="000D15A1" w:rsidRPr="4B59BA6C">
        <w:rPr>
          <w:rFonts w:eastAsia="Times New Roman" w:cs="Times New Roman"/>
          <w:color w:val="000000" w:themeColor="text1"/>
        </w:rPr>
        <w:t>fiscal year 2024</w:t>
      </w:r>
      <w:r w:rsidR="000B3725" w:rsidRPr="4B59BA6C">
        <w:rPr>
          <w:rFonts w:eastAsia="Times New Roman" w:cs="Times New Roman"/>
          <w:color w:val="000000" w:themeColor="text1"/>
        </w:rPr>
        <w:t xml:space="preserve">. </w:t>
      </w:r>
    </w:p>
    <w:p w14:paraId="32256FCD" w14:textId="6D3696B4" w:rsidR="00FF5BDA" w:rsidRDefault="00FF5BDA" w:rsidP="00FF5BDA">
      <w:pPr>
        <w:spacing w:before="240" w:after="240"/>
        <w:ind w:left="720"/>
        <w:rPr>
          <w:rFonts w:eastAsia="Times New Roman" w:cs="Times New Roman"/>
          <w:color w:val="000000" w:themeColor="text1"/>
        </w:rPr>
      </w:pPr>
      <w:r>
        <w:rPr>
          <w:rFonts w:eastAsia="Times New Roman" w:cs="Times New Roman"/>
          <w:b/>
          <w:bCs/>
          <w:color w:val="000000" w:themeColor="text1"/>
        </w:rPr>
        <w:t>Condition</w:t>
      </w:r>
      <w:r w:rsidR="00464BE7">
        <w:rPr>
          <w:rFonts w:eastAsia="Times New Roman" w:cs="Times New Roman"/>
          <w:b/>
          <w:bCs/>
          <w:color w:val="000000" w:themeColor="text1"/>
        </w:rPr>
        <w:t xml:space="preserve"> 2</w:t>
      </w:r>
      <w:r>
        <w:rPr>
          <w:rFonts w:eastAsia="Times New Roman" w:cs="Times New Roman"/>
          <w:b/>
          <w:bCs/>
          <w:color w:val="000000" w:themeColor="text1"/>
        </w:rPr>
        <w:t xml:space="preserve">: </w:t>
      </w:r>
      <w:r>
        <w:rPr>
          <w:rFonts w:eastAsia="Times New Roman" w:cs="Times New Roman"/>
          <w:color w:val="000000" w:themeColor="text1"/>
        </w:rPr>
        <w:t xml:space="preserve">By December 31, 2025, the school must demonstrate that it is an academic success by providing evidence </w:t>
      </w:r>
      <w:r w:rsidR="00464BE7">
        <w:rPr>
          <w:rFonts w:eastAsia="Times New Roman" w:cs="Times New Roman"/>
          <w:color w:val="000000" w:themeColor="text1"/>
        </w:rPr>
        <w:t xml:space="preserve">of significant and sustained academic improvement in mathematics, English language arts, and science for all students and all student subgroups. </w:t>
      </w:r>
    </w:p>
    <w:p w14:paraId="1E277A80" w14:textId="2ABCE8E9" w:rsidR="00D83633" w:rsidRDefault="00CF0466" w:rsidP="00D83633">
      <w:pPr>
        <w:spacing w:before="240" w:after="240"/>
        <w:rPr>
          <w:rFonts w:eastAsia="Times New Roman" w:cs="Times New Roman"/>
          <w:color w:val="000000" w:themeColor="text1"/>
        </w:rPr>
      </w:pPr>
      <w:r>
        <w:rPr>
          <w:rFonts w:eastAsia="Times New Roman" w:cs="Times New Roman"/>
          <w:color w:val="000000" w:themeColor="text1"/>
        </w:rPr>
        <w:t>TECCA</w:t>
      </w:r>
      <w:r w:rsidR="00D83633">
        <w:rPr>
          <w:rFonts w:eastAsia="Times New Roman" w:cs="Times New Roman"/>
          <w:color w:val="000000" w:themeColor="text1"/>
        </w:rPr>
        <w:t xml:space="preserve"> will seek renewal of its certificate during the 2025-26 school year and will receive a renewal inspection review during fall 2025. With further evidence gathered during the renewal inspection and another year of assessment data, the Board can assess the </w:t>
      </w:r>
      <w:r w:rsidR="0030022A">
        <w:rPr>
          <w:rFonts w:eastAsia="Times New Roman" w:cs="Times New Roman"/>
          <w:color w:val="000000" w:themeColor="text1"/>
        </w:rPr>
        <w:t>school’s performance on these two conditions by</w:t>
      </w:r>
      <w:r w:rsidR="00D83633">
        <w:rPr>
          <w:rFonts w:eastAsia="Times New Roman" w:cs="Times New Roman"/>
          <w:color w:val="000000" w:themeColor="text1"/>
        </w:rPr>
        <w:t xml:space="preserve"> March 2026. </w:t>
      </w:r>
    </w:p>
    <w:p w14:paraId="3BB0AB58" w14:textId="77777777" w:rsidR="00350627" w:rsidRPr="00FC1432" w:rsidRDefault="00350627" w:rsidP="00350627">
      <w:pPr>
        <w:ind w:right="1179"/>
        <w:jc w:val="center"/>
        <w:rPr>
          <w:rFonts w:eastAsia="Times New Roman" w:cs="Times New Roman"/>
          <w:snapToGrid w:val="0"/>
          <w:kern w:val="0"/>
          <w:szCs w:val="20"/>
          <w14:ligatures w14:val="none"/>
        </w:rPr>
      </w:pPr>
      <w:r w:rsidRPr="00FC1432">
        <w:rPr>
          <w:rFonts w:eastAsia="Times New Roman" w:cs="Times New Roman"/>
          <w:snapToGrid w:val="0"/>
          <w:kern w:val="0"/>
          <w:szCs w:val="20"/>
          <w14:ligatures w14:val="none"/>
        </w:rPr>
        <w:lastRenderedPageBreak/>
        <w:t>**************</w:t>
      </w:r>
    </w:p>
    <w:p w14:paraId="03AA1D0C" w14:textId="77777777" w:rsidR="00350627" w:rsidRPr="00FC1432" w:rsidRDefault="00350627" w:rsidP="00350627">
      <w:pPr>
        <w:rPr>
          <w:b/>
          <w:u w:val="single"/>
        </w:rPr>
      </w:pPr>
    </w:p>
    <w:p w14:paraId="78D09575" w14:textId="2954C434" w:rsidR="0B93C4E5" w:rsidRDefault="00350627" w:rsidP="00350627">
      <w:pPr>
        <w:ind w:right="749"/>
        <w:rPr>
          <w:rFonts w:eastAsia="Times New Roman" w:cs="Times New Roman"/>
          <w:snapToGrid w:val="0"/>
          <w:kern w:val="0"/>
          <w:szCs w:val="20"/>
          <w14:ligatures w14:val="none"/>
        </w:rPr>
      </w:pPr>
      <w:r w:rsidRPr="00FC1432">
        <w:rPr>
          <w:rFonts w:eastAsia="Times New Roman" w:cs="Times New Roman"/>
          <w:snapToGrid w:val="0"/>
          <w:kern w:val="0"/>
          <w:szCs w:val="20"/>
          <w14:ligatures w14:val="none"/>
        </w:rPr>
        <w:t xml:space="preserve">If you have any questions regarding my </w:t>
      </w:r>
      <w:r>
        <w:rPr>
          <w:rFonts w:eastAsia="Times New Roman" w:cs="Times New Roman"/>
          <w:snapToGrid w:val="0"/>
          <w:kern w:val="0"/>
          <w:szCs w:val="20"/>
          <w14:ligatures w14:val="none"/>
        </w:rPr>
        <w:t>recommendations</w:t>
      </w:r>
      <w:r w:rsidRPr="00FC1432">
        <w:rPr>
          <w:rFonts w:eastAsia="Times New Roman" w:cs="Times New Roman"/>
          <w:snapToGrid w:val="0"/>
          <w:kern w:val="0"/>
          <w:szCs w:val="20"/>
          <w14:ligatures w14:val="none"/>
        </w:rPr>
        <w:t>, please contact Alison Bagg, Director of the Office of Charter Schools and School Redesign (781-338-3218); Regina Robinson, Deputy Commissioner (781-338-3104); or me.</w:t>
      </w:r>
    </w:p>
    <w:p w14:paraId="15B6B4BC" w14:textId="77777777" w:rsidR="00B1266D" w:rsidRDefault="00B1266D" w:rsidP="00350627">
      <w:pPr>
        <w:ind w:right="749"/>
        <w:rPr>
          <w:rFonts w:eastAsia="Times New Roman" w:cs="Times New Roman"/>
          <w:snapToGrid w:val="0"/>
          <w:kern w:val="0"/>
          <w:szCs w:val="20"/>
          <w14:ligatures w14:val="none"/>
        </w:rPr>
      </w:pPr>
    </w:p>
    <w:p w14:paraId="46943D3B" w14:textId="77777777" w:rsidR="00B1266D" w:rsidRPr="00B1266D" w:rsidRDefault="00B1266D" w:rsidP="00B1266D">
      <w:pPr>
        <w:ind w:right="749"/>
        <w:rPr>
          <w:rFonts w:eastAsia="Times New Roman" w:cs="Times New Roman"/>
          <w:snapToGrid w:val="0"/>
          <w:kern w:val="0"/>
          <w:szCs w:val="20"/>
          <w14:ligatures w14:val="none"/>
        </w:rPr>
      </w:pPr>
      <w:r w:rsidRPr="00B1266D">
        <w:rPr>
          <w:rFonts w:eastAsia="Times New Roman" w:cs="Times New Roman"/>
          <w:snapToGrid w:val="0"/>
          <w:kern w:val="0"/>
          <w:szCs w:val="20"/>
          <w14:ligatures w14:val="none"/>
        </w:rPr>
        <w:t>Attachments</w:t>
      </w:r>
    </w:p>
    <w:p w14:paraId="6AF52FD4" w14:textId="77777777" w:rsidR="00B1266D" w:rsidRDefault="00B1266D" w:rsidP="00350627">
      <w:pPr>
        <w:ind w:right="749"/>
        <w:rPr>
          <w:rFonts w:eastAsia="Times New Roman" w:cs="Times New Roman"/>
          <w:snapToGrid w:val="0"/>
          <w:kern w:val="0"/>
          <w:szCs w:val="20"/>
          <w14:ligatures w14:val="none"/>
        </w:rPr>
      </w:pPr>
    </w:p>
    <w:p w14:paraId="66206088" w14:textId="399196C7" w:rsidR="00B1266D" w:rsidRDefault="004238DE" w:rsidP="00C50CE0">
      <w:pPr>
        <w:ind w:left="720" w:right="749"/>
        <w:rPr>
          <w:rFonts w:eastAsia="Times New Roman" w:cs="Times New Roman"/>
          <w:snapToGrid w:val="0"/>
          <w:kern w:val="0"/>
          <w:szCs w:val="20"/>
          <w14:ligatures w14:val="none"/>
        </w:rPr>
      </w:pPr>
      <w:r>
        <w:rPr>
          <w:rFonts w:eastAsia="Times New Roman" w:cs="Times New Roman"/>
          <w:snapToGrid w:val="0"/>
          <w:kern w:val="0"/>
          <w:szCs w:val="20"/>
          <w14:ligatures w14:val="none"/>
        </w:rPr>
        <w:t>Greater Commonwealth Virtual School: Motion</w:t>
      </w:r>
    </w:p>
    <w:p w14:paraId="519B8F77" w14:textId="38F240D1" w:rsidR="0B93C4E5" w:rsidRPr="00350627" w:rsidRDefault="004238DE" w:rsidP="00C50CE0">
      <w:pPr>
        <w:ind w:left="720" w:right="749"/>
        <w:rPr>
          <w:rFonts w:eastAsia="Times New Roman" w:cs="Times New Roman"/>
          <w:snapToGrid w:val="0"/>
          <w:kern w:val="0"/>
          <w:szCs w:val="20"/>
          <w14:ligatures w14:val="none"/>
        </w:rPr>
      </w:pPr>
      <w:r>
        <w:rPr>
          <w:rFonts w:eastAsia="Times New Roman" w:cs="Times New Roman"/>
          <w:snapToGrid w:val="0"/>
          <w:kern w:val="0"/>
          <w:szCs w:val="20"/>
          <w14:ligatures w14:val="none"/>
        </w:rPr>
        <w:t>TEC Connections Academy Virtual School: Motion</w:t>
      </w:r>
    </w:p>
    <w:sectPr w:rsidR="0B93C4E5" w:rsidRPr="00350627" w:rsidSect="0046693C">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EECC" w14:textId="77777777" w:rsidR="00121827" w:rsidRDefault="00121827" w:rsidP="00ED5501">
      <w:r>
        <w:separator/>
      </w:r>
    </w:p>
  </w:endnote>
  <w:endnote w:type="continuationSeparator" w:id="0">
    <w:p w14:paraId="031A3C5F" w14:textId="77777777" w:rsidR="00121827" w:rsidRDefault="00121827" w:rsidP="00ED5501">
      <w:r>
        <w:continuationSeparator/>
      </w:r>
    </w:p>
  </w:endnote>
  <w:endnote w:type="continuationNotice" w:id="1">
    <w:p w14:paraId="06CA9A09" w14:textId="77777777" w:rsidR="00121827" w:rsidRDefault="00121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459101"/>
      <w:docPartObj>
        <w:docPartGallery w:val="Page Numbers (Bottom of Page)"/>
        <w:docPartUnique/>
      </w:docPartObj>
    </w:sdtPr>
    <w:sdtContent>
      <w:p w14:paraId="1BA7728E" w14:textId="65DBA204" w:rsidR="002C3A10" w:rsidRDefault="002C3A10"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CBE89C" w14:textId="77777777" w:rsidR="002C3A10" w:rsidRDefault="002C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C818" w14:textId="43255E67" w:rsidR="00ED5501" w:rsidRPr="00ED5501" w:rsidRDefault="004C53BC" w:rsidP="00A504E1">
    <w:pPr>
      <w:pStyle w:val="Footer"/>
      <w:tabs>
        <w:tab w:val="clear" w:pos="4680"/>
        <w:tab w:val="clear" w:pos="9360"/>
        <w:tab w:val="left" w:pos="5412"/>
      </w:tabs>
    </w:pPr>
    <w:r>
      <w:rPr>
        <w:noProof/>
      </w:rPr>
      <w:drawing>
        <wp:anchor distT="0" distB="0" distL="114300" distR="114300" simplePos="0" relativeHeight="251658241" behindDoc="1" locked="0" layoutInCell="1" allowOverlap="1" wp14:anchorId="6EA90686" wp14:editId="64FC6633">
          <wp:simplePos x="0" y="0"/>
          <wp:positionH relativeFrom="column">
            <wp:posOffset>-939800</wp:posOffset>
          </wp:positionH>
          <wp:positionV relativeFrom="paragraph">
            <wp:posOffset>-169545</wp:posOffset>
          </wp:positionV>
          <wp:extent cx="7806055" cy="739775"/>
          <wp:effectExtent l="0" t="0" r="0" b="0"/>
          <wp:wrapNone/>
          <wp:docPr id="1311776125" name="Picture 1" descr="DESE's contact information:&#10;&#10;135 Santilli Hwy, Everett, MA 02149&#10;Voice: (781) 338-3000&#10;TTY: (800) 439-2370&#10;www.doe.mas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76125" name="Picture 1" descr="DESE's contact information:&#10;&#10;135 Santilli Hwy, Everett, MA 02149&#10;Voice: (781) 338-3000&#10;TTY: (800) 439-2370&#10;www.doe.mass.edu"/>
                  <pic:cNvPicPr/>
                </pic:nvPicPr>
                <pic:blipFill>
                  <a:blip r:embed="rId1">
                    <a:extLst>
                      <a:ext uri="{28A0092B-C50C-407E-A947-70E740481C1C}">
                        <a14:useLocalDpi xmlns:a14="http://schemas.microsoft.com/office/drawing/2010/main" val="0"/>
                      </a:ext>
                    </a:extLst>
                  </a:blip>
                  <a:stretch>
                    <a:fillRect/>
                  </a:stretch>
                </pic:blipFill>
                <pic:spPr>
                  <a:xfrm>
                    <a:off x="0" y="0"/>
                    <a:ext cx="7806055" cy="739775"/>
                  </a:xfrm>
                  <a:prstGeom prst="rect">
                    <a:avLst/>
                  </a:prstGeom>
                </pic:spPr>
              </pic:pic>
            </a:graphicData>
          </a:graphic>
          <wp14:sizeRelH relativeFrom="page">
            <wp14:pctWidth>0</wp14:pctWidth>
          </wp14:sizeRelH>
          <wp14:sizeRelV relativeFrom="page">
            <wp14:pctHeight>0</wp14:pctHeight>
          </wp14:sizeRelV>
        </wp:anchor>
      </w:drawing>
    </w:r>
    <w:r w:rsidR="00A504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794257"/>
      <w:docPartObj>
        <w:docPartGallery w:val="Page Numbers (Bottom of Page)"/>
        <w:docPartUnique/>
      </w:docPartObj>
    </w:sdtPr>
    <w:sdtEndPr>
      <w:rPr>
        <w:noProof/>
      </w:rPr>
    </w:sdtEndPr>
    <w:sdtContent>
      <w:p w14:paraId="5030A7D8" w14:textId="1258E7C9" w:rsidR="002F0A91" w:rsidRDefault="002F0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38A8D" w14:textId="630B63DB" w:rsidR="00E2551F" w:rsidRPr="00ED5501" w:rsidRDefault="00E2551F" w:rsidP="00ED5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6084" w14:textId="77777777" w:rsidR="00121827" w:rsidRDefault="00121827" w:rsidP="00ED5501">
      <w:r>
        <w:separator/>
      </w:r>
    </w:p>
  </w:footnote>
  <w:footnote w:type="continuationSeparator" w:id="0">
    <w:p w14:paraId="27682F2B" w14:textId="77777777" w:rsidR="00121827" w:rsidRDefault="00121827" w:rsidP="00ED5501">
      <w:r>
        <w:continuationSeparator/>
      </w:r>
    </w:p>
  </w:footnote>
  <w:footnote w:type="continuationNotice" w:id="1">
    <w:p w14:paraId="38B49E35" w14:textId="77777777" w:rsidR="00121827" w:rsidRDefault="00121827"/>
  </w:footnote>
  <w:footnote w:id="2">
    <w:p w14:paraId="654E8444" w14:textId="0AEC0F89" w:rsidR="00632C84" w:rsidRDefault="00632C84" w:rsidP="00632C84">
      <w:pPr>
        <w:pStyle w:val="FootnoteText"/>
      </w:pPr>
      <w:r>
        <w:rPr>
          <w:rStyle w:val="FootnoteReference"/>
        </w:rPr>
        <w:footnoteRef/>
      </w:r>
      <w:r>
        <w:t xml:space="preserve"> As of March 12, 2024, 27 districts have voted to cap the total enrollment of its students in CMVS</w:t>
      </w:r>
      <w:r w:rsidR="0038148C">
        <w:t>s</w:t>
      </w:r>
      <w:r>
        <w:t xml:space="preserve">. The districts </w:t>
      </w:r>
      <w:r w:rsidR="003A6F3E">
        <w:t xml:space="preserve">that </w:t>
      </w:r>
      <w:r>
        <w:t>have voted to cap their total enrollment in CMVS</w:t>
      </w:r>
      <w:r w:rsidR="0038148C">
        <w:t>s</w:t>
      </w:r>
      <w:r>
        <w:t xml:space="preserve"> include</w:t>
      </w:r>
      <w:r w:rsidRPr="002C6281">
        <w:t xml:space="preserve"> </w:t>
      </w:r>
      <w:r>
        <w:t>Athol-</w:t>
      </w:r>
      <w:proofErr w:type="spellStart"/>
      <w:r>
        <w:t>Royalston</w:t>
      </w:r>
      <w:proofErr w:type="spellEnd"/>
      <w:r>
        <w:t xml:space="preserve"> Regional (Athol and </w:t>
      </w:r>
      <w:proofErr w:type="spellStart"/>
      <w:r>
        <w:t>Royalston</w:t>
      </w:r>
      <w:proofErr w:type="spellEnd"/>
      <w:r>
        <w:t>), Belchertown, Brimfield, Chicopee, Erving, Gardner, Gateway Regional (Blandford, Chester, Huntington, Middlefield, Montgomery, and Russel), Hardwick, Holland, Hubbardston, Lee, Mashpee, North Adams, Orange, Palmer, Pittsfield, Southbridge, Spencer East Brookfield Regional (East Brookfield and Spencer), Springfield, Sunderland, Ralph C. Mahar Regional (New Sal</w:t>
      </w:r>
      <w:r w:rsidR="003A6F3E">
        <w:t>em</w:t>
      </w:r>
      <w:r>
        <w:t xml:space="preserve">, Orange, </w:t>
      </w:r>
      <w:proofErr w:type="spellStart"/>
      <w:r>
        <w:t>Petersham</w:t>
      </w:r>
      <w:proofErr w:type="spellEnd"/>
      <w:r>
        <w:t xml:space="preserve">, and Wendell), Richmond, </w:t>
      </w:r>
      <w:proofErr w:type="spellStart"/>
      <w:r>
        <w:t>Tantasqua</w:t>
      </w:r>
      <w:proofErr w:type="spellEnd"/>
      <w:r>
        <w:t xml:space="preserve"> Regional (Brimfield, Brookfield, Holland, Sturbridge, and Wales), Quabbin Regional (Barre, New </w:t>
      </w:r>
      <w:proofErr w:type="spellStart"/>
      <w:r>
        <w:t>Brainstree</w:t>
      </w:r>
      <w:proofErr w:type="spellEnd"/>
      <w:r>
        <w:t>, and Oakham), Wales, Ware, Wareham, Webster,</w:t>
      </w:r>
      <w:r w:rsidRPr="002C6281">
        <w:t xml:space="preserve"> </w:t>
      </w:r>
      <w:r>
        <w:t>Winchendon. (Source: CMVS Regulatory Notification of 2024-2025 Sending Districts 1% Vote At-Cap)</w:t>
      </w:r>
    </w:p>
  </w:footnote>
  <w:footnote w:id="3">
    <w:p w14:paraId="2B4879D4" w14:textId="1D7202DE" w:rsidR="003B535C" w:rsidRDefault="003B535C">
      <w:pPr>
        <w:pStyle w:val="FootnoteText"/>
      </w:pPr>
      <w:r>
        <w:rPr>
          <w:rStyle w:val="FootnoteReference"/>
        </w:rPr>
        <w:footnoteRef/>
      </w:r>
      <w:r>
        <w:t xml:space="preserve"> </w:t>
      </w:r>
      <w:r w:rsidRPr="00245611">
        <w:rPr>
          <w:rFonts w:eastAsia="Times New Roman" w:cs="Times New Roman"/>
          <w:color w:val="000000" w:themeColor="text1"/>
        </w:rPr>
        <w:t>On January 2, 2013, Governor Patrick signed into law Chapter 379 of the Acts of 2012, “An Act Establishing Commonwealth Virtual Schools” (</w:t>
      </w:r>
      <w:r>
        <w:rPr>
          <w:rFonts w:eastAsia="Times New Roman" w:cs="Times New Roman"/>
          <w:color w:val="000000" w:themeColor="text1"/>
        </w:rPr>
        <w:t xml:space="preserve">the </w:t>
      </w:r>
      <w:r w:rsidRPr="00245611">
        <w:rPr>
          <w:rFonts w:eastAsia="Times New Roman" w:cs="Times New Roman"/>
          <w:color w:val="000000" w:themeColor="text1"/>
        </w:rPr>
        <w:t>Act), most of which is codified as G.L. c. 71, § 94. Section 6 of the Act required the Board to grant a certificate for GCVS to operate a CMVS upon submission of a timely application that addressed the information specified in G.L. c. 71, § 94.</w:t>
      </w:r>
    </w:p>
  </w:footnote>
  <w:footnote w:id="4">
    <w:p w14:paraId="3850133D" w14:textId="69330506" w:rsidR="00C35331" w:rsidRDefault="00C35331">
      <w:pPr>
        <w:pStyle w:val="FootnoteText"/>
      </w:pPr>
      <w:r>
        <w:rPr>
          <w:rStyle w:val="FootnoteReference"/>
        </w:rPr>
        <w:footnoteRef/>
      </w:r>
      <w:r>
        <w:t xml:space="preserve"> </w:t>
      </w:r>
      <w:r w:rsidRPr="00F32DCB">
        <w:t>These terms were described in the Commissioner’s memo</w:t>
      </w:r>
      <w:r>
        <w:t>randum</w:t>
      </w:r>
      <w:r w:rsidRPr="00F32DCB">
        <w:t xml:space="preserve"> to the Board</w:t>
      </w:r>
      <w:r>
        <w:t xml:space="preserve"> dated </w:t>
      </w:r>
      <w:r w:rsidRPr="000112EA">
        <w:t>June 18, 2013</w:t>
      </w:r>
      <w:r w:rsidRPr="00F32DCB">
        <w:t xml:space="preserve">: </w:t>
      </w:r>
      <w:hyperlink r:id="rId1" w:history="1">
        <w:r w:rsidRPr="00F32DCB">
          <w:rPr>
            <w:rStyle w:val="Hyperlink"/>
          </w:rPr>
          <w:t>http://www.doe.mass.edu/boe/docs/fy2013/2013-06/item3.html</w:t>
        </w:r>
      </w:hyperlink>
      <w:r>
        <w:rPr>
          <w:sz w:val="19"/>
          <w:szCs w:val="19"/>
        </w:rPr>
        <w:t>.</w:t>
      </w:r>
    </w:p>
  </w:footnote>
  <w:footnote w:id="5">
    <w:p w14:paraId="35877546" w14:textId="551B5C5C" w:rsidR="00C73CEC" w:rsidRDefault="00C73CEC">
      <w:pPr>
        <w:pStyle w:val="FootnoteText"/>
      </w:pPr>
      <w:r>
        <w:rPr>
          <w:rStyle w:val="FootnoteReference"/>
        </w:rPr>
        <w:footnoteRef/>
      </w:r>
      <w:r>
        <w:t xml:space="preserve"> </w:t>
      </w:r>
      <w:r>
        <w:rPr>
          <w:rFonts w:eastAsia="Times New Roman" w:cs="Times New Roman"/>
          <w:color w:val="000000" w:themeColor="text1"/>
        </w:rPr>
        <w:t xml:space="preserve">During the school’s first certificate term, in October 2014, the Board placed GCVS on probation with conditions due to concerns regarding governance, the academic program, and academic results. In February 2016, the Board renewed the school’s </w:t>
      </w:r>
      <w:r w:rsidRPr="00245611">
        <w:rPr>
          <w:rFonts w:eastAsia="Times New Roman" w:cs="Times New Roman"/>
          <w:color w:val="000000" w:themeColor="text1"/>
        </w:rPr>
        <w:t>certificate for a three-year period from July 1, 2016, through June 30, 2019, extended the school’s probation</w:t>
      </w:r>
      <w:r>
        <w:rPr>
          <w:rFonts w:eastAsia="Times New Roman" w:cs="Times New Roman"/>
          <w:color w:val="000000" w:themeColor="text1"/>
        </w:rPr>
        <w:t>,</w:t>
      </w:r>
      <w:r w:rsidRPr="00245611">
        <w:rPr>
          <w:rFonts w:eastAsia="Times New Roman" w:cs="Times New Roman"/>
          <w:color w:val="000000" w:themeColor="text1"/>
        </w:rPr>
        <w:t xml:space="preserve"> and </w:t>
      </w:r>
      <w:r>
        <w:rPr>
          <w:rFonts w:eastAsia="Times New Roman" w:cs="Times New Roman"/>
          <w:color w:val="000000" w:themeColor="text1"/>
        </w:rPr>
        <w:t xml:space="preserve">imposed conditions </w:t>
      </w:r>
      <w:r w:rsidRPr="00245611">
        <w:rPr>
          <w:rFonts w:eastAsia="Times New Roman" w:cs="Times New Roman"/>
          <w:color w:val="000000" w:themeColor="text1"/>
        </w:rPr>
        <w:t xml:space="preserve">related to governance, enrollment, MCAS participation rates, and </w:t>
      </w:r>
      <w:r>
        <w:rPr>
          <w:rFonts w:eastAsia="Times New Roman" w:cs="Times New Roman"/>
          <w:color w:val="000000" w:themeColor="text1"/>
        </w:rPr>
        <w:t xml:space="preserve">academic results. In March 2018, </w:t>
      </w:r>
      <w:r w:rsidRPr="00245611">
        <w:rPr>
          <w:rFonts w:eastAsia="Times New Roman" w:cs="Times New Roman"/>
          <w:color w:val="000000" w:themeColor="text1"/>
        </w:rPr>
        <w:t xml:space="preserve">the Board extended the school’s probationary status, maintained the prior </w:t>
      </w:r>
      <w:r>
        <w:rPr>
          <w:rFonts w:eastAsia="Times New Roman" w:cs="Times New Roman"/>
          <w:color w:val="000000" w:themeColor="text1"/>
        </w:rPr>
        <w:t xml:space="preserve">four </w:t>
      </w:r>
      <w:r w:rsidRPr="00245611">
        <w:rPr>
          <w:rFonts w:eastAsia="Times New Roman" w:cs="Times New Roman"/>
          <w:color w:val="000000" w:themeColor="text1"/>
        </w:rPr>
        <w:t xml:space="preserve">probationary conditions, and added a new condition related to the provision of services for English learners. </w:t>
      </w:r>
      <w:r>
        <w:rPr>
          <w:rFonts w:eastAsia="Times New Roman" w:cs="Times New Roman"/>
          <w:color w:val="000000" w:themeColor="text1"/>
        </w:rPr>
        <w:t>In March 2019, due to GCVS’s progress in meeting probationary conditions, the Board removed probation from the school’s certificate, renewed the school’s certificate for a three-year period from July 1, 2019, through June 30, 2022, and imposed six conditions related to governance, enrollment, the academic program, and academic results.</w:t>
      </w:r>
    </w:p>
  </w:footnote>
  <w:footnote w:id="6">
    <w:p w14:paraId="28D38779" w14:textId="7FBC80C1" w:rsidR="00FF5BDA" w:rsidRDefault="00FF5BDA" w:rsidP="00FF5BDA">
      <w:pPr>
        <w:pStyle w:val="FootnoteText"/>
      </w:pPr>
      <w:r>
        <w:rPr>
          <w:rStyle w:val="FootnoteReference"/>
        </w:rPr>
        <w:footnoteRef/>
      </w:r>
      <w:r>
        <w:t xml:space="preserve"> </w:t>
      </w:r>
      <w:r w:rsidR="00C15FE3">
        <w:t xml:space="preserve">See footnote </w:t>
      </w:r>
      <w:r w:rsidR="00906E7C" w:rsidRPr="00542CCB">
        <w:t>1</w:t>
      </w:r>
      <w:r w:rsidR="00D276C9">
        <w:t xml:space="preserve"> for a list of districts.</w:t>
      </w:r>
    </w:p>
  </w:footnote>
  <w:footnote w:id="7">
    <w:p w14:paraId="4854BE2D" w14:textId="302D975C" w:rsidR="00C221E7" w:rsidRDefault="00C221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51A2" w14:textId="085EA560" w:rsidR="00ED5501" w:rsidRDefault="00ED5501">
    <w:pPr>
      <w:pStyle w:val="Header"/>
    </w:pPr>
    <w:r>
      <w:rPr>
        <w:noProof/>
      </w:rPr>
      <w:drawing>
        <wp:anchor distT="0" distB="0" distL="114300" distR="114300" simplePos="0" relativeHeight="251658240" behindDoc="1" locked="0" layoutInCell="1" allowOverlap="1" wp14:anchorId="29412DF0" wp14:editId="5E328A9F">
          <wp:simplePos x="0" y="0"/>
          <wp:positionH relativeFrom="page">
            <wp:posOffset>-29845</wp:posOffset>
          </wp:positionH>
          <wp:positionV relativeFrom="paragraph">
            <wp:posOffset>-505460</wp:posOffset>
          </wp:positionV>
          <wp:extent cx="7810500" cy="1590675"/>
          <wp:effectExtent l="0" t="0" r="0" b="0"/>
          <wp:wrapNone/>
          <wp:docPr id="52748680" name="Picture 1" descr="DESE memo heading, including DESE logo and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DESE memo heading, including DESE logo and Massachusetts State Seal"/>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5170" w14:textId="4215CAAC" w:rsidR="004873A1" w:rsidRDefault="0048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708EC"/>
    <w:multiLevelType w:val="hybridMultilevel"/>
    <w:tmpl w:val="5EA65E9E"/>
    <w:lvl w:ilvl="0" w:tplc="6A3C1A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31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01"/>
    <w:rsid w:val="000017E3"/>
    <w:rsid w:val="00003551"/>
    <w:rsid w:val="00007584"/>
    <w:rsid w:val="000075D4"/>
    <w:rsid w:val="00013AAA"/>
    <w:rsid w:val="00015EB3"/>
    <w:rsid w:val="00020DDD"/>
    <w:rsid w:val="00021349"/>
    <w:rsid w:val="00022578"/>
    <w:rsid w:val="00026395"/>
    <w:rsid w:val="00032C6B"/>
    <w:rsid w:val="00037A2C"/>
    <w:rsid w:val="00037F76"/>
    <w:rsid w:val="000411F7"/>
    <w:rsid w:val="00041EC2"/>
    <w:rsid w:val="00047A9F"/>
    <w:rsid w:val="00054E07"/>
    <w:rsid w:val="0005757A"/>
    <w:rsid w:val="000648D5"/>
    <w:rsid w:val="0006723F"/>
    <w:rsid w:val="000709E0"/>
    <w:rsid w:val="00072EBE"/>
    <w:rsid w:val="00075DB3"/>
    <w:rsid w:val="00075FBF"/>
    <w:rsid w:val="00076116"/>
    <w:rsid w:val="000832FA"/>
    <w:rsid w:val="000A1E14"/>
    <w:rsid w:val="000A47A6"/>
    <w:rsid w:val="000A649D"/>
    <w:rsid w:val="000A7424"/>
    <w:rsid w:val="000A74B8"/>
    <w:rsid w:val="000B0295"/>
    <w:rsid w:val="000B1A49"/>
    <w:rsid w:val="000B30B7"/>
    <w:rsid w:val="000B3725"/>
    <w:rsid w:val="000B436B"/>
    <w:rsid w:val="000B455B"/>
    <w:rsid w:val="000B4A57"/>
    <w:rsid w:val="000B7B26"/>
    <w:rsid w:val="000C1362"/>
    <w:rsid w:val="000C48C8"/>
    <w:rsid w:val="000C550D"/>
    <w:rsid w:val="000C7E39"/>
    <w:rsid w:val="000D15A1"/>
    <w:rsid w:val="000D6FCB"/>
    <w:rsid w:val="000E2C56"/>
    <w:rsid w:val="000E7104"/>
    <w:rsid w:val="000F2BA4"/>
    <w:rsid w:val="000F3A88"/>
    <w:rsid w:val="0010553B"/>
    <w:rsid w:val="001130F6"/>
    <w:rsid w:val="00114748"/>
    <w:rsid w:val="00117FBB"/>
    <w:rsid w:val="00120126"/>
    <w:rsid w:val="00121827"/>
    <w:rsid w:val="00126B7E"/>
    <w:rsid w:val="001308FA"/>
    <w:rsid w:val="00133055"/>
    <w:rsid w:val="00135CB4"/>
    <w:rsid w:val="001360AC"/>
    <w:rsid w:val="00141123"/>
    <w:rsid w:val="00141ABD"/>
    <w:rsid w:val="0014234B"/>
    <w:rsid w:val="00150C2F"/>
    <w:rsid w:val="00150E03"/>
    <w:rsid w:val="001512C9"/>
    <w:rsid w:val="00152734"/>
    <w:rsid w:val="001619E1"/>
    <w:rsid w:val="00161AC1"/>
    <w:rsid w:val="00162E80"/>
    <w:rsid w:val="00170049"/>
    <w:rsid w:val="00170868"/>
    <w:rsid w:val="00171673"/>
    <w:rsid w:val="00173E1E"/>
    <w:rsid w:val="00174587"/>
    <w:rsid w:val="00174C24"/>
    <w:rsid w:val="001906C9"/>
    <w:rsid w:val="00193815"/>
    <w:rsid w:val="00195421"/>
    <w:rsid w:val="0019583A"/>
    <w:rsid w:val="001A02CE"/>
    <w:rsid w:val="001A2822"/>
    <w:rsid w:val="001A6F97"/>
    <w:rsid w:val="001B0911"/>
    <w:rsid w:val="001C2A87"/>
    <w:rsid w:val="001D00E9"/>
    <w:rsid w:val="001D0C68"/>
    <w:rsid w:val="001D100A"/>
    <w:rsid w:val="001D24ED"/>
    <w:rsid w:val="001D31DB"/>
    <w:rsid w:val="001D37AD"/>
    <w:rsid w:val="001D667C"/>
    <w:rsid w:val="001D7BCB"/>
    <w:rsid w:val="001E0A2F"/>
    <w:rsid w:val="001E4C5A"/>
    <w:rsid w:val="001E7CCD"/>
    <w:rsid w:val="001F23B8"/>
    <w:rsid w:val="001F3869"/>
    <w:rsid w:val="001F424E"/>
    <w:rsid w:val="001F4DAC"/>
    <w:rsid w:val="001F7E3F"/>
    <w:rsid w:val="002005FC"/>
    <w:rsid w:val="00200A1D"/>
    <w:rsid w:val="0020190B"/>
    <w:rsid w:val="00205C6C"/>
    <w:rsid w:val="00210283"/>
    <w:rsid w:val="00220188"/>
    <w:rsid w:val="00220EB5"/>
    <w:rsid w:val="002241D6"/>
    <w:rsid w:val="00226CE8"/>
    <w:rsid w:val="00230A82"/>
    <w:rsid w:val="002332BB"/>
    <w:rsid w:val="00240564"/>
    <w:rsid w:val="0024138C"/>
    <w:rsid w:val="002442CA"/>
    <w:rsid w:val="00244D37"/>
    <w:rsid w:val="00245611"/>
    <w:rsid w:val="00246921"/>
    <w:rsid w:val="002475B6"/>
    <w:rsid w:val="002574C7"/>
    <w:rsid w:val="00257CF3"/>
    <w:rsid w:val="00262A4C"/>
    <w:rsid w:val="00266712"/>
    <w:rsid w:val="002667C3"/>
    <w:rsid w:val="002704EB"/>
    <w:rsid w:val="00281926"/>
    <w:rsid w:val="002914C1"/>
    <w:rsid w:val="002A0055"/>
    <w:rsid w:val="002A41C4"/>
    <w:rsid w:val="002A4741"/>
    <w:rsid w:val="002A571D"/>
    <w:rsid w:val="002A6D58"/>
    <w:rsid w:val="002B38BC"/>
    <w:rsid w:val="002B450A"/>
    <w:rsid w:val="002B4E19"/>
    <w:rsid w:val="002B627A"/>
    <w:rsid w:val="002B6387"/>
    <w:rsid w:val="002B6587"/>
    <w:rsid w:val="002C3A10"/>
    <w:rsid w:val="002C6F11"/>
    <w:rsid w:val="002D1006"/>
    <w:rsid w:val="002D7CB8"/>
    <w:rsid w:val="002E05B1"/>
    <w:rsid w:val="002E3038"/>
    <w:rsid w:val="002E3D85"/>
    <w:rsid w:val="002E51E6"/>
    <w:rsid w:val="002E54D7"/>
    <w:rsid w:val="002E5F4E"/>
    <w:rsid w:val="002E65C0"/>
    <w:rsid w:val="002E74EE"/>
    <w:rsid w:val="002E7E2C"/>
    <w:rsid w:val="002F0A91"/>
    <w:rsid w:val="002F114F"/>
    <w:rsid w:val="002F1944"/>
    <w:rsid w:val="002F235D"/>
    <w:rsid w:val="002F2540"/>
    <w:rsid w:val="002F43CA"/>
    <w:rsid w:val="002F5821"/>
    <w:rsid w:val="002F658B"/>
    <w:rsid w:val="002F68B6"/>
    <w:rsid w:val="0030022A"/>
    <w:rsid w:val="00301F28"/>
    <w:rsid w:val="00304FA9"/>
    <w:rsid w:val="003051F4"/>
    <w:rsid w:val="0030576C"/>
    <w:rsid w:val="003105FE"/>
    <w:rsid w:val="00314757"/>
    <w:rsid w:val="00315C7D"/>
    <w:rsid w:val="00315D11"/>
    <w:rsid w:val="0031757B"/>
    <w:rsid w:val="00322C7C"/>
    <w:rsid w:val="0032407C"/>
    <w:rsid w:val="00336A71"/>
    <w:rsid w:val="00340059"/>
    <w:rsid w:val="0034069E"/>
    <w:rsid w:val="00340F43"/>
    <w:rsid w:val="00343C8D"/>
    <w:rsid w:val="003447FF"/>
    <w:rsid w:val="003454A6"/>
    <w:rsid w:val="00347927"/>
    <w:rsid w:val="00350627"/>
    <w:rsid w:val="00350961"/>
    <w:rsid w:val="00351A44"/>
    <w:rsid w:val="0035275D"/>
    <w:rsid w:val="00353B49"/>
    <w:rsid w:val="00353D59"/>
    <w:rsid w:val="00355909"/>
    <w:rsid w:val="00357D0D"/>
    <w:rsid w:val="00364BAE"/>
    <w:rsid w:val="00370795"/>
    <w:rsid w:val="00373C9D"/>
    <w:rsid w:val="00374D84"/>
    <w:rsid w:val="00375923"/>
    <w:rsid w:val="00375980"/>
    <w:rsid w:val="00375CE7"/>
    <w:rsid w:val="00380427"/>
    <w:rsid w:val="003807D9"/>
    <w:rsid w:val="0038148C"/>
    <w:rsid w:val="00383C48"/>
    <w:rsid w:val="00385309"/>
    <w:rsid w:val="003862AA"/>
    <w:rsid w:val="00386313"/>
    <w:rsid w:val="00390EE4"/>
    <w:rsid w:val="00393AF0"/>
    <w:rsid w:val="003A6CC0"/>
    <w:rsid w:val="003A6F3E"/>
    <w:rsid w:val="003B0249"/>
    <w:rsid w:val="003B50AE"/>
    <w:rsid w:val="003B535C"/>
    <w:rsid w:val="003C2139"/>
    <w:rsid w:val="003C2368"/>
    <w:rsid w:val="003C5849"/>
    <w:rsid w:val="003D3264"/>
    <w:rsid w:val="003D5024"/>
    <w:rsid w:val="003D676F"/>
    <w:rsid w:val="003D72C8"/>
    <w:rsid w:val="003F1762"/>
    <w:rsid w:val="003F7919"/>
    <w:rsid w:val="00401027"/>
    <w:rsid w:val="004034E5"/>
    <w:rsid w:val="00411B27"/>
    <w:rsid w:val="00415BDD"/>
    <w:rsid w:val="00417256"/>
    <w:rsid w:val="004200F4"/>
    <w:rsid w:val="00420532"/>
    <w:rsid w:val="00422680"/>
    <w:rsid w:val="004238DE"/>
    <w:rsid w:val="00424288"/>
    <w:rsid w:val="004339C7"/>
    <w:rsid w:val="00434505"/>
    <w:rsid w:val="00435166"/>
    <w:rsid w:val="0043675E"/>
    <w:rsid w:val="00441E6F"/>
    <w:rsid w:val="00443F2A"/>
    <w:rsid w:val="00444D06"/>
    <w:rsid w:val="00445045"/>
    <w:rsid w:val="00454DFC"/>
    <w:rsid w:val="00456F34"/>
    <w:rsid w:val="004619C5"/>
    <w:rsid w:val="00463BD4"/>
    <w:rsid w:val="00464BE7"/>
    <w:rsid w:val="0046520D"/>
    <w:rsid w:val="0046693C"/>
    <w:rsid w:val="00467879"/>
    <w:rsid w:val="004724A2"/>
    <w:rsid w:val="0047459E"/>
    <w:rsid w:val="004805F6"/>
    <w:rsid w:val="004809A9"/>
    <w:rsid w:val="004873A1"/>
    <w:rsid w:val="00494AD0"/>
    <w:rsid w:val="004973F9"/>
    <w:rsid w:val="00497EA7"/>
    <w:rsid w:val="004A403E"/>
    <w:rsid w:val="004A6ACC"/>
    <w:rsid w:val="004B1ADE"/>
    <w:rsid w:val="004B3255"/>
    <w:rsid w:val="004C1B69"/>
    <w:rsid w:val="004C34FF"/>
    <w:rsid w:val="004C38A6"/>
    <w:rsid w:val="004C53BC"/>
    <w:rsid w:val="004C5425"/>
    <w:rsid w:val="004C69F5"/>
    <w:rsid w:val="004D28D5"/>
    <w:rsid w:val="004D33F5"/>
    <w:rsid w:val="004E1A14"/>
    <w:rsid w:val="004E52DB"/>
    <w:rsid w:val="004E7807"/>
    <w:rsid w:val="004F332C"/>
    <w:rsid w:val="004F3D49"/>
    <w:rsid w:val="004F5B88"/>
    <w:rsid w:val="004F6EE6"/>
    <w:rsid w:val="00501D27"/>
    <w:rsid w:val="00502A3A"/>
    <w:rsid w:val="00503255"/>
    <w:rsid w:val="00503710"/>
    <w:rsid w:val="00503F48"/>
    <w:rsid w:val="005049A0"/>
    <w:rsid w:val="0050631D"/>
    <w:rsid w:val="00510145"/>
    <w:rsid w:val="00512BC0"/>
    <w:rsid w:val="00512F36"/>
    <w:rsid w:val="00514E83"/>
    <w:rsid w:val="00515032"/>
    <w:rsid w:val="00515E09"/>
    <w:rsid w:val="0052118F"/>
    <w:rsid w:val="00523D8F"/>
    <w:rsid w:val="0052498F"/>
    <w:rsid w:val="0052528F"/>
    <w:rsid w:val="0053222C"/>
    <w:rsid w:val="005328F9"/>
    <w:rsid w:val="00532D6B"/>
    <w:rsid w:val="00536BCC"/>
    <w:rsid w:val="0054071A"/>
    <w:rsid w:val="00540815"/>
    <w:rsid w:val="00542CCB"/>
    <w:rsid w:val="0055032C"/>
    <w:rsid w:val="00550D72"/>
    <w:rsid w:val="005514B3"/>
    <w:rsid w:val="00560FF4"/>
    <w:rsid w:val="005649A4"/>
    <w:rsid w:val="00564C99"/>
    <w:rsid w:val="0057053F"/>
    <w:rsid w:val="00570E00"/>
    <w:rsid w:val="005723C1"/>
    <w:rsid w:val="00574ECE"/>
    <w:rsid w:val="005751B6"/>
    <w:rsid w:val="00582B63"/>
    <w:rsid w:val="00587641"/>
    <w:rsid w:val="0059097C"/>
    <w:rsid w:val="00591E1A"/>
    <w:rsid w:val="005928EB"/>
    <w:rsid w:val="00596E68"/>
    <w:rsid w:val="005A1F33"/>
    <w:rsid w:val="005A2CBA"/>
    <w:rsid w:val="005A2E24"/>
    <w:rsid w:val="005A49E4"/>
    <w:rsid w:val="005A4BFA"/>
    <w:rsid w:val="005B0324"/>
    <w:rsid w:val="005B1186"/>
    <w:rsid w:val="005B5166"/>
    <w:rsid w:val="005B5C76"/>
    <w:rsid w:val="005D3981"/>
    <w:rsid w:val="005D60DB"/>
    <w:rsid w:val="005E304A"/>
    <w:rsid w:val="005E680A"/>
    <w:rsid w:val="005F2FB7"/>
    <w:rsid w:val="005F3161"/>
    <w:rsid w:val="005F362B"/>
    <w:rsid w:val="005F568C"/>
    <w:rsid w:val="005F715A"/>
    <w:rsid w:val="00600723"/>
    <w:rsid w:val="0060267A"/>
    <w:rsid w:val="00603903"/>
    <w:rsid w:val="00604D7F"/>
    <w:rsid w:val="00605F59"/>
    <w:rsid w:val="00610B87"/>
    <w:rsid w:val="00611259"/>
    <w:rsid w:val="00615634"/>
    <w:rsid w:val="00622622"/>
    <w:rsid w:val="00624D69"/>
    <w:rsid w:val="00625986"/>
    <w:rsid w:val="00626411"/>
    <w:rsid w:val="00626EF4"/>
    <w:rsid w:val="00630B14"/>
    <w:rsid w:val="00632C84"/>
    <w:rsid w:val="00632FD3"/>
    <w:rsid w:val="00643984"/>
    <w:rsid w:val="00652A86"/>
    <w:rsid w:val="00653AA9"/>
    <w:rsid w:val="00661A20"/>
    <w:rsid w:val="0066612D"/>
    <w:rsid w:val="006709AA"/>
    <w:rsid w:val="00671C35"/>
    <w:rsid w:val="00672B4C"/>
    <w:rsid w:val="00682416"/>
    <w:rsid w:val="00683047"/>
    <w:rsid w:val="00683DA8"/>
    <w:rsid w:val="00685839"/>
    <w:rsid w:val="006874ED"/>
    <w:rsid w:val="006907F7"/>
    <w:rsid w:val="00692427"/>
    <w:rsid w:val="00693A81"/>
    <w:rsid w:val="00693DCC"/>
    <w:rsid w:val="006A01E0"/>
    <w:rsid w:val="006A0BBC"/>
    <w:rsid w:val="006A1545"/>
    <w:rsid w:val="006A289A"/>
    <w:rsid w:val="006A3951"/>
    <w:rsid w:val="006A74C4"/>
    <w:rsid w:val="006B1D04"/>
    <w:rsid w:val="006B28FB"/>
    <w:rsid w:val="006B3494"/>
    <w:rsid w:val="006B4796"/>
    <w:rsid w:val="006B4B31"/>
    <w:rsid w:val="006C75AB"/>
    <w:rsid w:val="006D04FA"/>
    <w:rsid w:val="006D2A10"/>
    <w:rsid w:val="006E5EB9"/>
    <w:rsid w:val="006F5F4E"/>
    <w:rsid w:val="006F720C"/>
    <w:rsid w:val="0070030D"/>
    <w:rsid w:val="007015D2"/>
    <w:rsid w:val="00702418"/>
    <w:rsid w:val="00704695"/>
    <w:rsid w:val="00710990"/>
    <w:rsid w:val="0071250B"/>
    <w:rsid w:val="007147F6"/>
    <w:rsid w:val="007155DC"/>
    <w:rsid w:val="00723319"/>
    <w:rsid w:val="00726505"/>
    <w:rsid w:val="00726FC0"/>
    <w:rsid w:val="00733B1C"/>
    <w:rsid w:val="00734E5A"/>
    <w:rsid w:val="007376D2"/>
    <w:rsid w:val="00744579"/>
    <w:rsid w:val="007524F7"/>
    <w:rsid w:val="00753E49"/>
    <w:rsid w:val="00753FFD"/>
    <w:rsid w:val="00762B42"/>
    <w:rsid w:val="00763A2E"/>
    <w:rsid w:val="00763F5F"/>
    <w:rsid w:val="00765369"/>
    <w:rsid w:val="00773030"/>
    <w:rsid w:val="00773479"/>
    <w:rsid w:val="00776157"/>
    <w:rsid w:val="007764AC"/>
    <w:rsid w:val="00777502"/>
    <w:rsid w:val="007775EC"/>
    <w:rsid w:val="00777FAD"/>
    <w:rsid w:val="007843D9"/>
    <w:rsid w:val="00784830"/>
    <w:rsid w:val="0079316D"/>
    <w:rsid w:val="007A030D"/>
    <w:rsid w:val="007A3D1A"/>
    <w:rsid w:val="007A6B6D"/>
    <w:rsid w:val="007B001D"/>
    <w:rsid w:val="007B1212"/>
    <w:rsid w:val="007B1485"/>
    <w:rsid w:val="007B69A8"/>
    <w:rsid w:val="007B6AA5"/>
    <w:rsid w:val="007B6DD9"/>
    <w:rsid w:val="007C0645"/>
    <w:rsid w:val="007C5E04"/>
    <w:rsid w:val="007C71CA"/>
    <w:rsid w:val="007D266A"/>
    <w:rsid w:val="007E15B4"/>
    <w:rsid w:val="007E2FA1"/>
    <w:rsid w:val="007E4085"/>
    <w:rsid w:val="007E52F8"/>
    <w:rsid w:val="007E61A8"/>
    <w:rsid w:val="007E68B5"/>
    <w:rsid w:val="007F0EC2"/>
    <w:rsid w:val="007F1FF2"/>
    <w:rsid w:val="007F3614"/>
    <w:rsid w:val="007F76F7"/>
    <w:rsid w:val="007F7B6A"/>
    <w:rsid w:val="00802147"/>
    <w:rsid w:val="00804653"/>
    <w:rsid w:val="00804B5A"/>
    <w:rsid w:val="00805ECC"/>
    <w:rsid w:val="00807115"/>
    <w:rsid w:val="008120AF"/>
    <w:rsid w:val="00813123"/>
    <w:rsid w:val="00814CB9"/>
    <w:rsid w:val="00815D88"/>
    <w:rsid w:val="00816171"/>
    <w:rsid w:val="008166C9"/>
    <w:rsid w:val="008169B2"/>
    <w:rsid w:val="00823C4B"/>
    <w:rsid w:val="008244E3"/>
    <w:rsid w:val="00837499"/>
    <w:rsid w:val="0084121C"/>
    <w:rsid w:val="00846596"/>
    <w:rsid w:val="0084727D"/>
    <w:rsid w:val="008476D5"/>
    <w:rsid w:val="00852852"/>
    <w:rsid w:val="00852AD1"/>
    <w:rsid w:val="00855B6E"/>
    <w:rsid w:val="0085631B"/>
    <w:rsid w:val="00857B13"/>
    <w:rsid w:val="00861CF8"/>
    <w:rsid w:val="008679C4"/>
    <w:rsid w:val="00871B0B"/>
    <w:rsid w:val="0087228C"/>
    <w:rsid w:val="008744F1"/>
    <w:rsid w:val="008747F8"/>
    <w:rsid w:val="00875A43"/>
    <w:rsid w:val="00876519"/>
    <w:rsid w:val="0088365C"/>
    <w:rsid w:val="00887324"/>
    <w:rsid w:val="00891FFE"/>
    <w:rsid w:val="008965AD"/>
    <w:rsid w:val="00896A71"/>
    <w:rsid w:val="00896C1F"/>
    <w:rsid w:val="008A2BA2"/>
    <w:rsid w:val="008B06B0"/>
    <w:rsid w:val="008B0C37"/>
    <w:rsid w:val="008B1843"/>
    <w:rsid w:val="008B39B4"/>
    <w:rsid w:val="008C1A39"/>
    <w:rsid w:val="008C1A66"/>
    <w:rsid w:val="008C2D77"/>
    <w:rsid w:val="008C4AF1"/>
    <w:rsid w:val="008C4D6A"/>
    <w:rsid w:val="008C5863"/>
    <w:rsid w:val="008C591A"/>
    <w:rsid w:val="008C5B79"/>
    <w:rsid w:val="008C7727"/>
    <w:rsid w:val="008D2C5F"/>
    <w:rsid w:val="008D2F4E"/>
    <w:rsid w:val="008D4358"/>
    <w:rsid w:val="008E05BB"/>
    <w:rsid w:val="008E39FD"/>
    <w:rsid w:val="008E4ABF"/>
    <w:rsid w:val="008E53D3"/>
    <w:rsid w:val="008F2DAC"/>
    <w:rsid w:val="008F53FB"/>
    <w:rsid w:val="008F579E"/>
    <w:rsid w:val="008F58CC"/>
    <w:rsid w:val="008F6DE2"/>
    <w:rsid w:val="00901B13"/>
    <w:rsid w:val="00902D4E"/>
    <w:rsid w:val="009053E2"/>
    <w:rsid w:val="00905927"/>
    <w:rsid w:val="00906E7C"/>
    <w:rsid w:val="00911A75"/>
    <w:rsid w:val="00912601"/>
    <w:rsid w:val="009129E3"/>
    <w:rsid w:val="0091325F"/>
    <w:rsid w:val="00915303"/>
    <w:rsid w:val="00923898"/>
    <w:rsid w:val="00926575"/>
    <w:rsid w:val="00926B66"/>
    <w:rsid w:val="009327E5"/>
    <w:rsid w:val="00933FE1"/>
    <w:rsid w:val="009349D2"/>
    <w:rsid w:val="00934B6C"/>
    <w:rsid w:val="00935221"/>
    <w:rsid w:val="00937E15"/>
    <w:rsid w:val="0094072C"/>
    <w:rsid w:val="009441FE"/>
    <w:rsid w:val="00944A0C"/>
    <w:rsid w:val="00944B23"/>
    <w:rsid w:val="00944CBC"/>
    <w:rsid w:val="00945EFD"/>
    <w:rsid w:val="00946FAA"/>
    <w:rsid w:val="009523DB"/>
    <w:rsid w:val="00955911"/>
    <w:rsid w:val="009578E3"/>
    <w:rsid w:val="0096127E"/>
    <w:rsid w:val="0096237C"/>
    <w:rsid w:val="0096290F"/>
    <w:rsid w:val="0096331E"/>
    <w:rsid w:val="00963DC4"/>
    <w:rsid w:val="00974AD7"/>
    <w:rsid w:val="00976333"/>
    <w:rsid w:val="00981B86"/>
    <w:rsid w:val="00981CE2"/>
    <w:rsid w:val="00982435"/>
    <w:rsid w:val="00983F97"/>
    <w:rsid w:val="00986AE1"/>
    <w:rsid w:val="00986EC3"/>
    <w:rsid w:val="009877B9"/>
    <w:rsid w:val="00992453"/>
    <w:rsid w:val="00992C9D"/>
    <w:rsid w:val="00995432"/>
    <w:rsid w:val="009A02B1"/>
    <w:rsid w:val="009A0469"/>
    <w:rsid w:val="009A0E7B"/>
    <w:rsid w:val="009A1B17"/>
    <w:rsid w:val="009A28ED"/>
    <w:rsid w:val="009A2CA9"/>
    <w:rsid w:val="009B273C"/>
    <w:rsid w:val="009B3046"/>
    <w:rsid w:val="009B6AA1"/>
    <w:rsid w:val="009B6C8D"/>
    <w:rsid w:val="009C357A"/>
    <w:rsid w:val="009D48EC"/>
    <w:rsid w:val="009D5E71"/>
    <w:rsid w:val="009D60A6"/>
    <w:rsid w:val="009D693E"/>
    <w:rsid w:val="009E36CE"/>
    <w:rsid w:val="009E497D"/>
    <w:rsid w:val="009E694E"/>
    <w:rsid w:val="009F5384"/>
    <w:rsid w:val="00A040F3"/>
    <w:rsid w:val="00A04258"/>
    <w:rsid w:val="00A0450B"/>
    <w:rsid w:val="00A069CE"/>
    <w:rsid w:val="00A10443"/>
    <w:rsid w:val="00A110CE"/>
    <w:rsid w:val="00A11C2E"/>
    <w:rsid w:val="00A13359"/>
    <w:rsid w:val="00A14460"/>
    <w:rsid w:val="00A145CB"/>
    <w:rsid w:val="00A1578D"/>
    <w:rsid w:val="00A2534D"/>
    <w:rsid w:val="00A25357"/>
    <w:rsid w:val="00A25393"/>
    <w:rsid w:val="00A271CD"/>
    <w:rsid w:val="00A374E5"/>
    <w:rsid w:val="00A47548"/>
    <w:rsid w:val="00A504E1"/>
    <w:rsid w:val="00A576DA"/>
    <w:rsid w:val="00A63A11"/>
    <w:rsid w:val="00A63C17"/>
    <w:rsid w:val="00A63CD6"/>
    <w:rsid w:val="00A70097"/>
    <w:rsid w:val="00A71CD0"/>
    <w:rsid w:val="00A72283"/>
    <w:rsid w:val="00A74168"/>
    <w:rsid w:val="00A92058"/>
    <w:rsid w:val="00A93E03"/>
    <w:rsid w:val="00A95FE9"/>
    <w:rsid w:val="00AA0578"/>
    <w:rsid w:val="00AA2BAD"/>
    <w:rsid w:val="00AA6784"/>
    <w:rsid w:val="00AB386D"/>
    <w:rsid w:val="00AB38D1"/>
    <w:rsid w:val="00AB592C"/>
    <w:rsid w:val="00AB606A"/>
    <w:rsid w:val="00AC5766"/>
    <w:rsid w:val="00AC5CDB"/>
    <w:rsid w:val="00AD060E"/>
    <w:rsid w:val="00AD2C17"/>
    <w:rsid w:val="00AD2D14"/>
    <w:rsid w:val="00AD5207"/>
    <w:rsid w:val="00AD581F"/>
    <w:rsid w:val="00AD5947"/>
    <w:rsid w:val="00AF26B9"/>
    <w:rsid w:val="00AF2EB2"/>
    <w:rsid w:val="00AF4651"/>
    <w:rsid w:val="00AF471E"/>
    <w:rsid w:val="00AF4D20"/>
    <w:rsid w:val="00AF63BE"/>
    <w:rsid w:val="00AF6B0F"/>
    <w:rsid w:val="00AF6C4E"/>
    <w:rsid w:val="00AF6D99"/>
    <w:rsid w:val="00B11776"/>
    <w:rsid w:val="00B1266D"/>
    <w:rsid w:val="00B14AA9"/>
    <w:rsid w:val="00B14F16"/>
    <w:rsid w:val="00B167E2"/>
    <w:rsid w:val="00B2033C"/>
    <w:rsid w:val="00B45A55"/>
    <w:rsid w:val="00B460DA"/>
    <w:rsid w:val="00B47161"/>
    <w:rsid w:val="00B51C36"/>
    <w:rsid w:val="00B538C5"/>
    <w:rsid w:val="00B541E3"/>
    <w:rsid w:val="00B55C3C"/>
    <w:rsid w:val="00B57E83"/>
    <w:rsid w:val="00B606DC"/>
    <w:rsid w:val="00B62A40"/>
    <w:rsid w:val="00B64B70"/>
    <w:rsid w:val="00B73D5C"/>
    <w:rsid w:val="00B82368"/>
    <w:rsid w:val="00B83B96"/>
    <w:rsid w:val="00B85C9C"/>
    <w:rsid w:val="00B86145"/>
    <w:rsid w:val="00B927FC"/>
    <w:rsid w:val="00B92872"/>
    <w:rsid w:val="00B9303F"/>
    <w:rsid w:val="00B9375C"/>
    <w:rsid w:val="00B9420E"/>
    <w:rsid w:val="00B9607E"/>
    <w:rsid w:val="00B976DC"/>
    <w:rsid w:val="00B97BB0"/>
    <w:rsid w:val="00BA00A6"/>
    <w:rsid w:val="00BA0DD6"/>
    <w:rsid w:val="00BA78BA"/>
    <w:rsid w:val="00BB05D7"/>
    <w:rsid w:val="00BB23B9"/>
    <w:rsid w:val="00BB257D"/>
    <w:rsid w:val="00BC0CCB"/>
    <w:rsid w:val="00BC41BB"/>
    <w:rsid w:val="00BC536D"/>
    <w:rsid w:val="00BC6719"/>
    <w:rsid w:val="00BC7267"/>
    <w:rsid w:val="00BC72DF"/>
    <w:rsid w:val="00BC7B59"/>
    <w:rsid w:val="00BD2408"/>
    <w:rsid w:val="00BD2BF7"/>
    <w:rsid w:val="00BD6F12"/>
    <w:rsid w:val="00BE04A6"/>
    <w:rsid w:val="00BE04F5"/>
    <w:rsid w:val="00BE75C2"/>
    <w:rsid w:val="00BF2100"/>
    <w:rsid w:val="00BF5056"/>
    <w:rsid w:val="00C033C4"/>
    <w:rsid w:val="00C0745F"/>
    <w:rsid w:val="00C07C26"/>
    <w:rsid w:val="00C14655"/>
    <w:rsid w:val="00C15FE3"/>
    <w:rsid w:val="00C17FD0"/>
    <w:rsid w:val="00C201D1"/>
    <w:rsid w:val="00C215CD"/>
    <w:rsid w:val="00C221E7"/>
    <w:rsid w:val="00C24691"/>
    <w:rsid w:val="00C24F65"/>
    <w:rsid w:val="00C2521C"/>
    <w:rsid w:val="00C267AF"/>
    <w:rsid w:val="00C31999"/>
    <w:rsid w:val="00C33973"/>
    <w:rsid w:val="00C35331"/>
    <w:rsid w:val="00C355A8"/>
    <w:rsid w:val="00C43CE6"/>
    <w:rsid w:val="00C43EA4"/>
    <w:rsid w:val="00C4599C"/>
    <w:rsid w:val="00C50CE0"/>
    <w:rsid w:val="00C51482"/>
    <w:rsid w:val="00C522D4"/>
    <w:rsid w:val="00C57B6F"/>
    <w:rsid w:val="00C63775"/>
    <w:rsid w:val="00C63A3D"/>
    <w:rsid w:val="00C63DAF"/>
    <w:rsid w:val="00C677F0"/>
    <w:rsid w:val="00C70457"/>
    <w:rsid w:val="00C72736"/>
    <w:rsid w:val="00C72954"/>
    <w:rsid w:val="00C73CEC"/>
    <w:rsid w:val="00C74049"/>
    <w:rsid w:val="00C7452D"/>
    <w:rsid w:val="00C75AA7"/>
    <w:rsid w:val="00C75F83"/>
    <w:rsid w:val="00C80984"/>
    <w:rsid w:val="00C83A38"/>
    <w:rsid w:val="00C8603F"/>
    <w:rsid w:val="00C87CB5"/>
    <w:rsid w:val="00C901CA"/>
    <w:rsid w:val="00C90779"/>
    <w:rsid w:val="00C9226A"/>
    <w:rsid w:val="00C9400E"/>
    <w:rsid w:val="00C96605"/>
    <w:rsid w:val="00C96664"/>
    <w:rsid w:val="00C970CB"/>
    <w:rsid w:val="00CA4247"/>
    <w:rsid w:val="00CA6DB6"/>
    <w:rsid w:val="00CB02B4"/>
    <w:rsid w:val="00CB5C7F"/>
    <w:rsid w:val="00CC0CB3"/>
    <w:rsid w:val="00CC177B"/>
    <w:rsid w:val="00CC1A58"/>
    <w:rsid w:val="00CC2ACA"/>
    <w:rsid w:val="00CD20CC"/>
    <w:rsid w:val="00CD59CB"/>
    <w:rsid w:val="00CD7786"/>
    <w:rsid w:val="00CE35E5"/>
    <w:rsid w:val="00CE53C3"/>
    <w:rsid w:val="00CF0466"/>
    <w:rsid w:val="00D00314"/>
    <w:rsid w:val="00D04A47"/>
    <w:rsid w:val="00D05C85"/>
    <w:rsid w:val="00D111CB"/>
    <w:rsid w:val="00D1481C"/>
    <w:rsid w:val="00D14EDE"/>
    <w:rsid w:val="00D214E3"/>
    <w:rsid w:val="00D26CC2"/>
    <w:rsid w:val="00D276C9"/>
    <w:rsid w:val="00D337D2"/>
    <w:rsid w:val="00D3449D"/>
    <w:rsid w:val="00D36815"/>
    <w:rsid w:val="00D41933"/>
    <w:rsid w:val="00D427F6"/>
    <w:rsid w:val="00D449F8"/>
    <w:rsid w:val="00D527EE"/>
    <w:rsid w:val="00D5760D"/>
    <w:rsid w:val="00D6008F"/>
    <w:rsid w:val="00D61670"/>
    <w:rsid w:val="00D61EA2"/>
    <w:rsid w:val="00D64300"/>
    <w:rsid w:val="00D65E0B"/>
    <w:rsid w:val="00D66E51"/>
    <w:rsid w:val="00D80DFF"/>
    <w:rsid w:val="00D82EC6"/>
    <w:rsid w:val="00D83633"/>
    <w:rsid w:val="00D863A1"/>
    <w:rsid w:val="00D95730"/>
    <w:rsid w:val="00DA35F6"/>
    <w:rsid w:val="00DA5D0F"/>
    <w:rsid w:val="00DB2ED3"/>
    <w:rsid w:val="00DB62E0"/>
    <w:rsid w:val="00DC1F2C"/>
    <w:rsid w:val="00DC1F3E"/>
    <w:rsid w:val="00DC2F75"/>
    <w:rsid w:val="00DC6C73"/>
    <w:rsid w:val="00DC6FC2"/>
    <w:rsid w:val="00DC7307"/>
    <w:rsid w:val="00DC7F93"/>
    <w:rsid w:val="00DD1040"/>
    <w:rsid w:val="00DD4F7C"/>
    <w:rsid w:val="00DD5E27"/>
    <w:rsid w:val="00DD6477"/>
    <w:rsid w:val="00DD7BA3"/>
    <w:rsid w:val="00DE2E73"/>
    <w:rsid w:val="00DE30A1"/>
    <w:rsid w:val="00DE594E"/>
    <w:rsid w:val="00DF45E6"/>
    <w:rsid w:val="00DF4E4B"/>
    <w:rsid w:val="00DF755A"/>
    <w:rsid w:val="00E01EFE"/>
    <w:rsid w:val="00E12264"/>
    <w:rsid w:val="00E15E63"/>
    <w:rsid w:val="00E16736"/>
    <w:rsid w:val="00E24B80"/>
    <w:rsid w:val="00E2551F"/>
    <w:rsid w:val="00E2624C"/>
    <w:rsid w:val="00E264E5"/>
    <w:rsid w:val="00E27C59"/>
    <w:rsid w:val="00E3060E"/>
    <w:rsid w:val="00E3359A"/>
    <w:rsid w:val="00E3706A"/>
    <w:rsid w:val="00E42EED"/>
    <w:rsid w:val="00E46210"/>
    <w:rsid w:val="00E46CF4"/>
    <w:rsid w:val="00E47271"/>
    <w:rsid w:val="00E4799C"/>
    <w:rsid w:val="00E51041"/>
    <w:rsid w:val="00E5397D"/>
    <w:rsid w:val="00E55F2B"/>
    <w:rsid w:val="00E56DF0"/>
    <w:rsid w:val="00E61AF3"/>
    <w:rsid w:val="00E62CB0"/>
    <w:rsid w:val="00E62F44"/>
    <w:rsid w:val="00E63CAB"/>
    <w:rsid w:val="00E67D5D"/>
    <w:rsid w:val="00E67F51"/>
    <w:rsid w:val="00E71D3D"/>
    <w:rsid w:val="00E734B0"/>
    <w:rsid w:val="00E74CEC"/>
    <w:rsid w:val="00E7658A"/>
    <w:rsid w:val="00E7726F"/>
    <w:rsid w:val="00E83369"/>
    <w:rsid w:val="00E84ECC"/>
    <w:rsid w:val="00E85E45"/>
    <w:rsid w:val="00E86673"/>
    <w:rsid w:val="00E90324"/>
    <w:rsid w:val="00E90877"/>
    <w:rsid w:val="00E909AF"/>
    <w:rsid w:val="00E9132E"/>
    <w:rsid w:val="00E942ED"/>
    <w:rsid w:val="00E94CA1"/>
    <w:rsid w:val="00EA2B46"/>
    <w:rsid w:val="00EA4D17"/>
    <w:rsid w:val="00EA7032"/>
    <w:rsid w:val="00EB1578"/>
    <w:rsid w:val="00EB226B"/>
    <w:rsid w:val="00EB5815"/>
    <w:rsid w:val="00EB68F0"/>
    <w:rsid w:val="00EC48AB"/>
    <w:rsid w:val="00EC5C9A"/>
    <w:rsid w:val="00ED002B"/>
    <w:rsid w:val="00ED0D94"/>
    <w:rsid w:val="00ED2452"/>
    <w:rsid w:val="00ED304A"/>
    <w:rsid w:val="00ED50C0"/>
    <w:rsid w:val="00ED5501"/>
    <w:rsid w:val="00ED638F"/>
    <w:rsid w:val="00EE1215"/>
    <w:rsid w:val="00EF1E26"/>
    <w:rsid w:val="00EF42C6"/>
    <w:rsid w:val="00EF5536"/>
    <w:rsid w:val="00EF7EEF"/>
    <w:rsid w:val="00F00299"/>
    <w:rsid w:val="00F02EB7"/>
    <w:rsid w:val="00F03D79"/>
    <w:rsid w:val="00F04CBB"/>
    <w:rsid w:val="00F0560C"/>
    <w:rsid w:val="00F13DF3"/>
    <w:rsid w:val="00F1446C"/>
    <w:rsid w:val="00F161C7"/>
    <w:rsid w:val="00F211AB"/>
    <w:rsid w:val="00F301CF"/>
    <w:rsid w:val="00F34F35"/>
    <w:rsid w:val="00F400AF"/>
    <w:rsid w:val="00F41389"/>
    <w:rsid w:val="00F4148C"/>
    <w:rsid w:val="00F44921"/>
    <w:rsid w:val="00F4493A"/>
    <w:rsid w:val="00F469AA"/>
    <w:rsid w:val="00F5022E"/>
    <w:rsid w:val="00F51854"/>
    <w:rsid w:val="00F52745"/>
    <w:rsid w:val="00F530AC"/>
    <w:rsid w:val="00F55C11"/>
    <w:rsid w:val="00F56BAD"/>
    <w:rsid w:val="00F56E95"/>
    <w:rsid w:val="00F6086E"/>
    <w:rsid w:val="00F62E74"/>
    <w:rsid w:val="00F65614"/>
    <w:rsid w:val="00F66FD6"/>
    <w:rsid w:val="00F72CFB"/>
    <w:rsid w:val="00F77CC2"/>
    <w:rsid w:val="00F82B6F"/>
    <w:rsid w:val="00F84789"/>
    <w:rsid w:val="00F869A3"/>
    <w:rsid w:val="00F97DB5"/>
    <w:rsid w:val="00FA01C0"/>
    <w:rsid w:val="00FA5479"/>
    <w:rsid w:val="00FA5BAB"/>
    <w:rsid w:val="00FA66BA"/>
    <w:rsid w:val="00FA7C6A"/>
    <w:rsid w:val="00FB473E"/>
    <w:rsid w:val="00FB53E3"/>
    <w:rsid w:val="00FB6F77"/>
    <w:rsid w:val="00FC1A2C"/>
    <w:rsid w:val="00FC26D3"/>
    <w:rsid w:val="00FC4402"/>
    <w:rsid w:val="00FD30D6"/>
    <w:rsid w:val="00FD5FD0"/>
    <w:rsid w:val="00FE2633"/>
    <w:rsid w:val="00FE38DD"/>
    <w:rsid w:val="00FE4670"/>
    <w:rsid w:val="00FF2A17"/>
    <w:rsid w:val="00FF38DA"/>
    <w:rsid w:val="00FF5BDA"/>
    <w:rsid w:val="0233CCC5"/>
    <w:rsid w:val="029C9F45"/>
    <w:rsid w:val="04AD8631"/>
    <w:rsid w:val="058B31EF"/>
    <w:rsid w:val="077A1971"/>
    <w:rsid w:val="095BB215"/>
    <w:rsid w:val="0B93C4E5"/>
    <w:rsid w:val="1087E316"/>
    <w:rsid w:val="10BC6790"/>
    <w:rsid w:val="1192965C"/>
    <w:rsid w:val="1AFDDBFE"/>
    <w:rsid w:val="24396ABA"/>
    <w:rsid w:val="24F27C9E"/>
    <w:rsid w:val="28705C6D"/>
    <w:rsid w:val="289437B1"/>
    <w:rsid w:val="29833A94"/>
    <w:rsid w:val="2C03F8E4"/>
    <w:rsid w:val="2CD0F9A7"/>
    <w:rsid w:val="42A0E7A0"/>
    <w:rsid w:val="44359B7E"/>
    <w:rsid w:val="4B59BA6C"/>
    <w:rsid w:val="4BD50DBF"/>
    <w:rsid w:val="4E7DAD6F"/>
    <w:rsid w:val="4FA79EB7"/>
    <w:rsid w:val="5255CC24"/>
    <w:rsid w:val="652714EC"/>
    <w:rsid w:val="67F6AB7C"/>
    <w:rsid w:val="6896030D"/>
    <w:rsid w:val="6D8CC044"/>
    <w:rsid w:val="72AAB990"/>
    <w:rsid w:val="730CA637"/>
    <w:rsid w:val="7F8C07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896C8"/>
  <w15:chartTrackingRefBased/>
  <w15:docId w15:val="{5A20E13F-8C4A-4527-B4F8-51F36ABC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qFormat/>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uiPriority w:val="34"/>
    <w:qFormat/>
    <w:rsid w:val="00ED5501"/>
    <w:pPr>
      <w:ind w:left="720"/>
      <w:contextualSpacing/>
    </w:pPr>
  </w:style>
  <w:style w:type="character" w:styleId="IntenseEmphasis">
    <w:name w:val="Intense Emphasis"/>
    <w:basedOn w:val="DefaultParagraphFont"/>
    <w:uiPriority w:val="21"/>
    <w:qFormat/>
    <w:rsid w:val="00ED5501"/>
    <w:rPr>
      <w:i/>
      <w:iCs/>
      <w:color w:val="0F4761" w:themeColor="accent1" w:themeShade="BF"/>
    </w:rPr>
  </w:style>
  <w:style w:type="paragraph" w:styleId="IntenseQuote">
    <w:name w:val="Intense Quote"/>
    <w:basedOn w:val="Normal"/>
    <w:next w:val="Normal"/>
    <w:link w:val="IntenseQuoteChar"/>
    <w:uiPriority w:val="30"/>
    <w:qFormat/>
    <w:rsid w:val="00ED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501"/>
    <w:rPr>
      <w:i/>
      <w:iCs/>
      <w:color w:val="0F4761" w:themeColor="accent1" w:themeShade="BF"/>
    </w:rPr>
  </w:style>
  <w:style w:type="character" w:styleId="IntenseReference">
    <w:name w:val="Intense Reference"/>
    <w:basedOn w:val="DefaultParagraphFont"/>
    <w:uiPriority w:val="32"/>
    <w:qFormat/>
    <w:rsid w:val="00ED5501"/>
    <w:rPr>
      <w:b/>
      <w:bCs/>
      <w:smallCaps/>
      <w:color w:val="0F476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character" w:styleId="Hyperlink">
    <w:name w:val="Hyperlink"/>
    <w:basedOn w:val="DefaultParagraphFont"/>
    <w:uiPriority w:val="99"/>
    <w:unhideWhenUsed/>
    <w:rsid w:val="000C48C8"/>
    <w:rPr>
      <w:color w:val="0000FF"/>
      <w:u w:val="single"/>
    </w:rPr>
  </w:style>
  <w:style w:type="character" w:styleId="CommentReference">
    <w:name w:val="annotation reference"/>
    <w:basedOn w:val="DefaultParagraphFont"/>
    <w:uiPriority w:val="99"/>
    <w:semiHidden/>
    <w:unhideWhenUsed/>
    <w:rsid w:val="000C48C8"/>
    <w:rPr>
      <w:sz w:val="16"/>
      <w:szCs w:val="16"/>
    </w:rPr>
  </w:style>
  <w:style w:type="paragraph" w:styleId="CommentText">
    <w:name w:val="annotation text"/>
    <w:basedOn w:val="Normal"/>
    <w:link w:val="CommentTextChar"/>
    <w:uiPriority w:val="99"/>
    <w:unhideWhenUsed/>
    <w:rsid w:val="000C48C8"/>
    <w:rPr>
      <w:sz w:val="20"/>
      <w:szCs w:val="20"/>
    </w:rPr>
  </w:style>
  <w:style w:type="character" w:customStyle="1" w:styleId="CommentTextChar">
    <w:name w:val="Comment Text Char"/>
    <w:basedOn w:val="DefaultParagraphFont"/>
    <w:link w:val="CommentText"/>
    <w:uiPriority w:val="99"/>
    <w:rsid w:val="000C48C8"/>
    <w:rPr>
      <w:sz w:val="20"/>
      <w:szCs w:val="20"/>
    </w:rPr>
  </w:style>
  <w:style w:type="character" w:styleId="Mention">
    <w:name w:val="Mention"/>
    <w:basedOn w:val="DefaultParagraphFont"/>
    <w:uiPriority w:val="99"/>
    <w:unhideWhenUsed/>
    <w:rsid w:val="000C48C8"/>
    <w:rPr>
      <w:color w:val="2B579A"/>
      <w:shd w:val="clear" w:color="auto" w:fill="E1DFDD"/>
    </w:rPr>
  </w:style>
  <w:style w:type="paragraph" w:styleId="FootnoteText">
    <w:name w:val="footnote text"/>
    <w:basedOn w:val="Normal"/>
    <w:link w:val="FootnoteTextChar"/>
    <w:unhideWhenUsed/>
    <w:rsid w:val="000C48C8"/>
    <w:rPr>
      <w:sz w:val="20"/>
      <w:szCs w:val="20"/>
    </w:rPr>
  </w:style>
  <w:style w:type="character" w:customStyle="1" w:styleId="FootnoteTextChar">
    <w:name w:val="Footnote Text Char"/>
    <w:basedOn w:val="DefaultParagraphFont"/>
    <w:link w:val="FootnoteText"/>
    <w:rsid w:val="000C48C8"/>
    <w:rPr>
      <w:sz w:val="20"/>
      <w:szCs w:val="20"/>
    </w:rPr>
  </w:style>
  <w:style w:type="character" w:styleId="FootnoteReference">
    <w:name w:val="footnote reference"/>
    <w:basedOn w:val="DefaultParagraphFont"/>
    <w:unhideWhenUsed/>
    <w:rsid w:val="000C48C8"/>
    <w:rPr>
      <w:vertAlign w:val="superscript"/>
    </w:rPr>
  </w:style>
  <w:style w:type="character" w:styleId="UnresolvedMention">
    <w:name w:val="Unresolved Mention"/>
    <w:basedOn w:val="DefaultParagraphFont"/>
    <w:uiPriority w:val="99"/>
    <w:semiHidden/>
    <w:unhideWhenUsed/>
    <w:rsid w:val="007B6D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B5C7F"/>
    <w:rPr>
      <w:b/>
      <w:bCs/>
    </w:rPr>
  </w:style>
  <w:style w:type="character" w:customStyle="1" w:styleId="CommentSubjectChar">
    <w:name w:val="Comment Subject Char"/>
    <w:basedOn w:val="CommentTextChar"/>
    <w:link w:val="CommentSubject"/>
    <w:uiPriority w:val="99"/>
    <w:semiHidden/>
    <w:rsid w:val="00CB5C7F"/>
    <w:rPr>
      <w:b/>
      <w:bCs/>
      <w:sz w:val="20"/>
      <w:szCs w:val="20"/>
    </w:rPr>
  </w:style>
  <w:style w:type="paragraph" w:styleId="Revision">
    <w:name w:val="Revision"/>
    <w:hidden/>
    <w:uiPriority w:val="99"/>
    <w:semiHidden/>
    <w:rsid w:val="004B3255"/>
  </w:style>
  <w:style w:type="paragraph" w:styleId="NormalWeb">
    <w:name w:val="Normal (Web)"/>
    <w:basedOn w:val="Normal"/>
    <w:uiPriority w:val="99"/>
    <w:semiHidden/>
    <w:unhideWhenUsed/>
    <w:rsid w:val="009A0E7B"/>
    <w:pPr>
      <w:spacing w:before="100" w:beforeAutospacing="1" w:after="100" w:afterAutospacing="1"/>
    </w:pPr>
    <w:rPr>
      <w:rFonts w:ascii="Times New Roman" w:eastAsia="Times New Roman" w:hAnsi="Times New Roman" w:cs="Times New Roman"/>
      <w:kern w:val="0"/>
      <w14:ligatures w14:val="none"/>
    </w:rPr>
  </w:style>
  <w:style w:type="paragraph" w:customStyle="1" w:styleId="Table">
    <w:name w:val="Table"/>
    <w:basedOn w:val="Normal"/>
    <w:qFormat/>
    <w:rsid w:val="00632C84"/>
    <w:pPr>
      <w:spacing w:before="80" w:after="80"/>
    </w:pPr>
    <w:rPr>
      <w:rFonts w:eastAsiaTheme="minorEastAsia"/>
      <w:kern w:val="0"/>
      <w:sz w:val="20"/>
      <w:szCs w:val="20"/>
      <w:lang w:bidi="en-US"/>
      <w14:ligatures w14:val="none"/>
    </w:rPr>
  </w:style>
  <w:style w:type="table" w:styleId="TableGrid">
    <w:name w:val="Table Grid"/>
    <w:basedOn w:val="TableNormal"/>
    <w:uiPriority w:val="59"/>
    <w:rsid w:val="00632C84"/>
    <w:rPr>
      <w:rFonts w:eastAsiaTheme="minorEastAsia"/>
      <w:kern w:val="0"/>
      <w:sz w:val="22"/>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
    <w:qFormat/>
    <w:rsid w:val="00632C84"/>
    <w:pPr>
      <w:spacing w:line="276" w:lineRule="auto"/>
    </w:pPr>
    <w:rPr>
      <w:b/>
      <w:sz w:val="22"/>
    </w:rPr>
  </w:style>
  <w:style w:type="character" w:styleId="FollowedHyperlink">
    <w:name w:val="FollowedHyperlink"/>
    <w:basedOn w:val="DefaultParagraphFont"/>
    <w:uiPriority w:val="99"/>
    <w:semiHidden/>
    <w:unhideWhenUsed/>
    <w:rsid w:val="00E74C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7831">
      <w:bodyDiv w:val="1"/>
      <w:marLeft w:val="0"/>
      <w:marRight w:val="0"/>
      <w:marTop w:val="0"/>
      <w:marBottom w:val="0"/>
      <w:divBdr>
        <w:top w:val="none" w:sz="0" w:space="0" w:color="auto"/>
        <w:left w:val="none" w:sz="0" w:space="0" w:color="auto"/>
        <w:bottom w:val="none" w:sz="0" w:space="0" w:color="auto"/>
        <w:right w:val="none" w:sz="0" w:space="0" w:color="auto"/>
      </w:divBdr>
      <w:divsChild>
        <w:div w:id="61223508">
          <w:marLeft w:val="0"/>
          <w:marRight w:val="0"/>
          <w:marTop w:val="0"/>
          <w:marBottom w:val="0"/>
          <w:divBdr>
            <w:top w:val="none" w:sz="0" w:space="0" w:color="auto"/>
            <w:left w:val="none" w:sz="0" w:space="0" w:color="auto"/>
            <w:bottom w:val="none" w:sz="0" w:space="0" w:color="auto"/>
            <w:right w:val="none" w:sz="0" w:space="0" w:color="auto"/>
          </w:divBdr>
        </w:div>
        <w:div w:id="91316703">
          <w:marLeft w:val="0"/>
          <w:marRight w:val="0"/>
          <w:marTop w:val="0"/>
          <w:marBottom w:val="0"/>
          <w:divBdr>
            <w:top w:val="none" w:sz="0" w:space="0" w:color="auto"/>
            <w:left w:val="none" w:sz="0" w:space="0" w:color="auto"/>
            <w:bottom w:val="none" w:sz="0" w:space="0" w:color="auto"/>
            <w:right w:val="none" w:sz="0" w:space="0" w:color="auto"/>
          </w:divBdr>
        </w:div>
        <w:div w:id="272054231">
          <w:marLeft w:val="0"/>
          <w:marRight w:val="0"/>
          <w:marTop w:val="0"/>
          <w:marBottom w:val="0"/>
          <w:divBdr>
            <w:top w:val="none" w:sz="0" w:space="0" w:color="auto"/>
            <w:left w:val="none" w:sz="0" w:space="0" w:color="auto"/>
            <w:bottom w:val="none" w:sz="0" w:space="0" w:color="auto"/>
            <w:right w:val="none" w:sz="0" w:space="0" w:color="auto"/>
          </w:divBdr>
        </w:div>
        <w:div w:id="725377868">
          <w:marLeft w:val="0"/>
          <w:marRight w:val="0"/>
          <w:marTop w:val="0"/>
          <w:marBottom w:val="0"/>
          <w:divBdr>
            <w:top w:val="none" w:sz="0" w:space="0" w:color="auto"/>
            <w:left w:val="none" w:sz="0" w:space="0" w:color="auto"/>
            <w:bottom w:val="none" w:sz="0" w:space="0" w:color="auto"/>
            <w:right w:val="none" w:sz="0" w:space="0" w:color="auto"/>
          </w:divBdr>
        </w:div>
        <w:div w:id="769546975">
          <w:marLeft w:val="0"/>
          <w:marRight w:val="0"/>
          <w:marTop w:val="0"/>
          <w:marBottom w:val="0"/>
          <w:divBdr>
            <w:top w:val="none" w:sz="0" w:space="0" w:color="auto"/>
            <w:left w:val="none" w:sz="0" w:space="0" w:color="auto"/>
            <w:bottom w:val="none" w:sz="0" w:space="0" w:color="auto"/>
            <w:right w:val="none" w:sz="0" w:space="0" w:color="auto"/>
          </w:divBdr>
        </w:div>
        <w:div w:id="931277177">
          <w:marLeft w:val="0"/>
          <w:marRight w:val="0"/>
          <w:marTop w:val="0"/>
          <w:marBottom w:val="0"/>
          <w:divBdr>
            <w:top w:val="none" w:sz="0" w:space="0" w:color="auto"/>
            <w:left w:val="none" w:sz="0" w:space="0" w:color="auto"/>
            <w:bottom w:val="none" w:sz="0" w:space="0" w:color="auto"/>
            <w:right w:val="none" w:sz="0" w:space="0" w:color="auto"/>
          </w:divBdr>
        </w:div>
        <w:div w:id="983579162">
          <w:marLeft w:val="0"/>
          <w:marRight w:val="0"/>
          <w:marTop w:val="0"/>
          <w:marBottom w:val="0"/>
          <w:divBdr>
            <w:top w:val="none" w:sz="0" w:space="0" w:color="auto"/>
            <w:left w:val="none" w:sz="0" w:space="0" w:color="auto"/>
            <w:bottom w:val="none" w:sz="0" w:space="0" w:color="auto"/>
            <w:right w:val="none" w:sz="0" w:space="0" w:color="auto"/>
          </w:divBdr>
        </w:div>
        <w:div w:id="1295285701">
          <w:marLeft w:val="0"/>
          <w:marRight w:val="0"/>
          <w:marTop w:val="0"/>
          <w:marBottom w:val="0"/>
          <w:divBdr>
            <w:top w:val="none" w:sz="0" w:space="0" w:color="auto"/>
            <w:left w:val="none" w:sz="0" w:space="0" w:color="auto"/>
            <w:bottom w:val="none" w:sz="0" w:space="0" w:color="auto"/>
            <w:right w:val="none" w:sz="0" w:space="0" w:color="auto"/>
          </w:divBdr>
        </w:div>
        <w:div w:id="1604533561">
          <w:marLeft w:val="0"/>
          <w:marRight w:val="0"/>
          <w:marTop w:val="0"/>
          <w:marBottom w:val="0"/>
          <w:divBdr>
            <w:top w:val="none" w:sz="0" w:space="0" w:color="auto"/>
            <w:left w:val="none" w:sz="0" w:space="0" w:color="auto"/>
            <w:bottom w:val="none" w:sz="0" w:space="0" w:color="auto"/>
            <w:right w:val="none" w:sz="0" w:space="0" w:color="auto"/>
          </w:divBdr>
        </w:div>
        <w:div w:id="1734085462">
          <w:marLeft w:val="0"/>
          <w:marRight w:val="0"/>
          <w:marTop w:val="0"/>
          <w:marBottom w:val="0"/>
          <w:divBdr>
            <w:top w:val="none" w:sz="0" w:space="0" w:color="auto"/>
            <w:left w:val="none" w:sz="0" w:space="0" w:color="auto"/>
            <w:bottom w:val="none" w:sz="0" w:space="0" w:color="auto"/>
            <w:right w:val="none" w:sz="0" w:space="0" w:color="auto"/>
          </w:divBdr>
        </w:div>
        <w:div w:id="1789735687">
          <w:marLeft w:val="0"/>
          <w:marRight w:val="0"/>
          <w:marTop w:val="0"/>
          <w:marBottom w:val="0"/>
          <w:divBdr>
            <w:top w:val="none" w:sz="0" w:space="0" w:color="auto"/>
            <w:left w:val="none" w:sz="0" w:space="0" w:color="auto"/>
            <w:bottom w:val="none" w:sz="0" w:space="0" w:color="auto"/>
            <w:right w:val="none" w:sz="0" w:space="0" w:color="auto"/>
          </w:divBdr>
        </w:div>
        <w:div w:id="1922788043">
          <w:marLeft w:val="0"/>
          <w:marRight w:val="0"/>
          <w:marTop w:val="0"/>
          <w:marBottom w:val="0"/>
          <w:divBdr>
            <w:top w:val="none" w:sz="0" w:space="0" w:color="auto"/>
            <w:left w:val="none" w:sz="0" w:space="0" w:color="auto"/>
            <w:bottom w:val="none" w:sz="0" w:space="0" w:color="auto"/>
            <w:right w:val="none" w:sz="0" w:space="0" w:color="auto"/>
          </w:divBdr>
        </w:div>
        <w:div w:id="2123302722">
          <w:marLeft w:val="0"/>
          <w:marRight w:val="0"/>
          <w:marTop w:val="0"/>
          <w:marBottom w:val="0"/>
          <w:divBdr>
            <w:top w:val="none" w:sz="0" w:space="0" w:color="auto"/>
            <w:left w:val="none" w:sz="0" w:space="0" w:color="auto"/>
            <w:bottom w:val="none" w:sz="0" w:space="0" w:color="auto"/>
            <w:right w:val="none" w:sz="0" w:space="0" w:color="auto"/>
          </w:divBdr>
        </w:div>
      </w:divsChild>
    </w:div>
    <w:div w:id="647590499">
      <w:bodyDiv w:val="1"/>
      <w:marLeft w:val="0"/>
      <w:marRight w:val="0"/>
      <w:marTop w:val="0"/>
      <w:marBottom w:val="0"/>
      <w:divBdr>
        <w:top w:val="none" w:sz="0" w:space="0" w:color="auto"/>
        <w:left w:val="none" w:sz="0" w:space="0" w:color="auto"/>
        <w:bottom w:val="none" w:sz="0" w:space="0" w:color="auto"/>
        <w:right w:val="none" w:sz="0" w:space="0" w:color="auto"/>
      </w:divBdr>
      <w:divsChild>
        <w:div w:id="287594444">
          <w:marLeft w:val="0"/>
          <w:marRight w:val="0"/>
          <w:marTop w:val="0"/>
          <w:marBottom w:val="0"/>
          <w:divBdr>
            <w:top w:val="none" w:sz="0" w:space="0" w:color="auto"/>
            <w:left w:val="none" w:sz="0" w:space="0" w:color="auto"/>
            <w:bottom w:val="none" w:sz="0" w:space="0" w:color="auto"/>
            <w:right w:val="none" w:sz="0" w:space="0" w:color="auto"/>
          </w:divBdr>
        </w:div>
        <w:div w:id="456800224">
          <w:marLeft w:val="0"/>
          <w:marRight w:val="0"/>
          <w:marTop w:val="0"/>
          <w:marBottom w:val="0"/>
          <w:divBdr>
            <w:top w:val="none" w:sz="0" w:space="0" w:color="auto"/>
            <w:left w:val="none" w:sz="0" w:space="0" w:color="auto"/>
            <w:bottom w:val="none" w:sz="0" w:space="0" w:color="auto"/>
            <w:right w:val="none" w:sz="0" w:space="0" w:color="auto"/>
          </w:divBdr>
        </w:div>
        <w:div w:id="580457054">
          <w:marLeft w:val="0"/>
          <w:marRight w:val="0"/>
          <w:marTop w:val="0"/>
          <w:marBottom w:val="0"/>
          <w:divBdr>
            <w:top w:val="none" w:sz="0" w:space="0" w:color="auto"/>
            <w:left w:val="none" w:sz="0" w:space="0" w:color="auto"/>
            <w:bottom w:val="none" w:sz="0" w:space="0" w:color="auto"/>
            <w:right w:val="none" w:sz="0" w:space="0" w:color="auto"/>
          </w:divBdr>
        </w:div>
        <w:div w:id="677537695">
          <w:marLeft w:val="0"/>
          <w:marRight w:val="0"/>
          <w:marTop w:val="0"/>
          <w:marBottom w:val="0"/>
          <w:divBdr>
            <w:top w:val="none" w:sz="0" w:space="0" w:color="auto"/>
            <w:left w:val="none" w:sz="0" w:space="0" w:color="auto"/>
            <w:bottom w:val="none" w:sz="0" w:space="0" w:color="auto"/>
            <w:right w:val="none" w:sz="0" w:space="0" w:color="auto"/>
          </w:divBdr>
        </w:div>
        <w:div w:id="746809691">
          <w:marLeft w:val="0"/>
          <w:marRight w:val="0"/>
          <w:marTop w:val="0"/>
          <w:marBottom w:val="0"/>
          <w:divBdr>
            <w:top w:val="none" w:sz="0" w:space="0" w:color="auto"/>
            <w:left w:val="none" w:sz="0" w:space="0" w:color="auto"/>
            <w:bottom w:val="none" w:sz="0" w:space="0" w:color="auto"/>
            <w:right w:val="none" w:sz="0" w:space="0" w:color="auto"/>
          </w:divBdr>
        </w:div>
        <w:div w:id="857233369">
          <w:marLeft w:val="0"/>
          <w:marRight w:val="0"/>
          <w:marTop w:val="0"/>
          <w:marBottom w:val="0"/>
          <w:divBdr>
            <w:top w:val="none" w:sz="0" w:space="0" w:color="auto"/>
            <w:left w:val="none" w:sz="0" w:space="0" w:color="auto"/>
            <w:bottom w:val="none" w:sz="0" w:space="0" w:color="auto"/>
            <w:right w:val="none" w:sz="0" w:space="0" w:color="auto"/>
          </w:divBdr>
        </w:div>
        <w:div w:id="986665269">
          <w:marLeft w:val="0"/>
          <w:marRight w:val="0"/>
          <w:marTop w:val="0"/>
          <w:marBottom w:val="0"/>
          <w:divBdr>
            <w:top w:val="none" w:sz="0" w:space="0" w:color="auto"/>
            <w:left w:val="none" w:sz="0" w:space="0" w:color="auto"/>
            <w:bottom w:val="none" w:sz="0" w:space="0" w:color="auto"/>
            <w:right w:val="none" w:sz="0" w:space="0" w:color="auto"/>
          </w:divBdr>
        </w:div>
        <w:div w:id="1147865883">
          <w:marLeft w:val="0"/>
          <w:marRight w:val="0"/>
          <w:marTop w:val="0"/>
          <w:marBottom w:val="0"/>
          <w:divBdr>
            <w:top w:val="none" w:sz="0" w:space="0" w:color="auto"/>
            <w:left w:val="none" w:sz="0" w:space="0" w:color="auto"/>
            <w:bottom w:val="none" w:sz="0" w:space="0" w:color="auto"/>
            <w:right w:val="none" w:sz="0" w:space="0" w:color="auto"/>
          </w:divBdr>
        </w:div>
        <w:div w:id="1265771997">
          <w:marLeft w:val="0"/>
          <w:marRight w:val="0"/>
          <w:marTop w:val="0"/>
          <w:marBottom w:val="0"/>
          <w:divBdr>
            <w:top w:val="none" w:sz="0" w:space="0" w:color="auto"/>
            <w:left w:val="none" w:sz="0" w:space="0" w:color="auto"/>
            <w:bottom w:val="none" w:sz="0" w:space="0" w:color="auto"/>
            <w:right w:val="none" w:sz="0" w:space="0" w:color="auto"/>
          </w:divBdr>
        </w:div>
        <w:div w:id="1442453117">
          <w:marLeft w:val="0"/>
          <w:marRight w:val="0"/>
          <w:marTop w:val="0"/>
          <w:marBottom w:val="0"/>
          <w:divBdr>
            <w:top w:val="none" w:sz="0" w:space="0" w:color="auto"/>
            <w:left w:val="none" w:sz="0" w:space="0" w:color="auto"/>
            <w:bottom w:val="none" w:sz="0" w:space="0" w:color="auto"/>
            <w:right w:val="none" w:sz="0" w:space="0" w:color="auto"/>
          </w:divBdr>
        </w:div>
        <w:div w:id="1612207230">
          <w:marLeft w:val="0"/>
          <w:marRight w:val="0"/>
          <w:marTop w:val="0"/>
          <w:marBottom w:val="0"/>
          <w:divBdr>
            <w:top w:val="none" w:sz="0" w:space="0" w:color="auto"/>
            <w:left w:val="none" w:sz="0" w:space="0" w:color="auto"/>
            <w:bottom w:val="none" w:sz="0" w:space="0" w:color="auto"/>
            <w:right w:val="none" w:sz="0" w:space="0" w:color="auto"/>
          </w:divBdr>
        </w:div>
        <w:div w:id="1807893651">
          <w:marLeft w:val="0"/>
          <w:marRight w:val="0"/>
          <w:marTop w:val="0"/>
          <w:marBottom w:val="0"/>
          <w:divBdr>
            <w:top w:val="none" w:sz="0" w:space="0" w:color="auto"/>
            <w:left w:val="none" w:sz="0" w:space="0" w:color="auto"/>
            <w:bottom w:val="none" w:sz="0" w:space="0" w:color="auto"/>
            <w:right w:val="none" w:sz="0" w:space="0" w:color="auto"/>
          </w:divBdr>
        </w:div>
        <w:div w:id="2124567165">
          <w:marLeft w:val="0"/>
          <w:marRight w:val="0"/>
          <w:marTop w:val="0"/>
          <w:marBottom w:val="0"/>
          <w:divBdr>
            <w:top w:val="none" w:sz="0" w:space="0" w:color="auto"/>
            <w:left w:val="none" w:sz="0" w:space="0" w:color="auto"/>
            <w:bottom w:val="none" w:sz="0" w:space="0" w:color="auto"/>
            <w:right w:val="none" w:sz="0" w:space="0" w:color="auto"/>
          </w:divBdr>
        </w:div>
      </w:divsChild>
    </w:div>
    <w:div w:id="893930438">
      <w:bodyDiv w:val="1"/>
      <w:marLeft w:val="0"/>
      <w:marRight w:val="0"/>
      <w:marTop w:val="0"/>
      <w:marBottom w:val="0"/>
      <w:divBdr>
        <w:top w:val="none" w:sz="0" w:space="0" w:color="auto"/>
        <w:left w:val="none" w:sz="0" w:space="0" w:color="auto"/>
        <w:bottom w:val="none" w:sz="0" w:space="0" w:color="auto"/>
        <w:right w:val="none" w:sz="0" w:space="0" w:color="auto"/>
      </w:divBdr>
    </w:div>
    <w:div w:id="1170027699">
      <w:bodyDiv w:val="1"/>
      <w:marLeft w:val="0"/>
      <w:marRight w:val="0"/>
      <w:marTop w:val="0"/>
      <w:marBottom w:val="0"/>
      <w:divBdr>
        <w:top w:val="none" w:sz="0" w:space="0" w:color="auto"/>
        <w:left w:val="none" w:sz="0" w:space="0" w:color="auto"/>
        <w:bottom w:val="none" w:sz="0" w:space="0" w:color="auto"/>
        <w:right w:val="none" w:sz="0" w:space="0" w:color="auto"/>
      </w:divBdr>
    </w:div>
    <w:div w:id="18358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irtualschools@mas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bese/docs/fy2022/2022-03/item5.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boe/docs/fy2013/2013-06/item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DC322-CAE7-448C-89AE-0F26AFCC3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customXml/itemProps3.xml><?xml version="1.0" encoding="utf-8"?>
<ds:datastoreItem xmlns:ds="http://schemas.openxmlformats.org/officeDocument/2006/customXml" ds:itemID="{04FE0586-21AC-42F8-B9CF-896F0830B98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3D07A341-9E8B-42BC-AEA6-54E0F793D40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BESE March 25, 2025 Regular Meeting Item 6: Commonwealth Virtual Schools Report on Conditions</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25, 2025 Regular Meeting Item 6: Commonwealth Virtual Schools Report on Conditions</dc:title>
  <dc:subject/>
  <dc:creator>DESE</dc:creator>
  <cp:keywords/>
  <dc:description/>
  <cp:lastModifiedBy>Zou, Dong (EOE)</cp:lastModifiedBy>
  <cp:revision>4</cp:revision>
  <cp:lastPrinted>2024-04-24T14:15:00Z</cp:lastPrinted>
  <dcterms:created xsi:type="dcterms:W3CDTF">2025-03-18T13:37:00Z</dcterms:created>
  <dcterms:modified xsi:type="dcterms:W3CDTF">2025-03-18T14:32:00Z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2025 12:00AM</vt:lpwstr>
  </property>
</Properties>
</file>