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Pr>
          <w:rFonts w:asciiTheme="majorHAnsi" w:hAnsiTheme="majorHAnsi"/>
          <w:color w:val="0F4761" w:themeColor="accent1" w:themeShade="BF"/>
          <w:sz w:val="40"/>
        </w:rPr>
        <w:t>MEMORANDO</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tc>
          <w:tcPr>
            <w:tcW w:w="1184" w:type="dxa"/>
          </w:tcPr>
          <w:p w14:paraId="4BEB8732" w14:textId="77777777" w:rsidR="00C3665B" w:rsidRPr="00C3665B" w:rsidRDefault="00C3665B" w:rsidP="00C3665B">
            <w:pPr>
              <w:spacing w:after="0" w:line="240" w:lineRule="auto"/>
              <w:rPr>
                <w:b/>
              </w:rPr>
            </w:pPr>
            <w:r>
              <w:rPr>
                <w:b/>
              </w:rPr>
              <w:t>Para:</w:t>
            </w:r>
          </w:p>
        </w:tc>
        <w:tc>
          <w:tcPr>
            <w:tcW w:w="8176" w:type="dxa"/>
          </w:tcPr>
          <w:p w14:paraId="25AE7450" w14:textId="5A08E145" w:rsidR="00C3665B" w:rsidRPr="00C3665B" w:rsidRDefault="006F631F" w:rsidP="00C3665B">
            <w:pPr>
              <w:widowControl w:val="0"/>
              <w:tabs>
                <w:tab w:val="center" w:pos="4680"/>
                <w:tab w:val="right" w:pos="9360"/>
              </w:tabs>
              <w:spacing w:after="0" w:line="240" w:lineRule="auto"/>
              <w:rPr>
                <w:bCs/>
                <w:snapToGrid w:val="0"/>
                <w:szCs w:val="20"/>
              </w:rPr>
            </w:pPr>
            <w:r>
              <w:rPr>
                <w:snapToGrid w:val="0"/>
              </w:rPr>
              <w:t>Miembros de la Junta de Educación Primaria y Secundaria </w:t>
            </w:r>
          </w:p>
        </w:tc>
      </w:tr>
      <w:tr w:rsidR="00C3665B" w:rsidRPr="00C3665B" w14:paraId="014ADFC2" w14:textId="77777777">
        <w:tc>
          <w:tcPr>
            <w:tcW w:w="1184" w:type="dxa"/>
          </w:tcPr>
          <w:p w14:paraId="0F209268" w14:textId="77777777" w:rsidR="00C3665B" w:rsidRPr="00C3665B" w:rsidRDefault="00C3665B" w:rsidP="00C3665B">
            <w:pPr>
              <w:spacing w:after="0" w:line="240" w:lineRule="auto"/>
              <w:rPr>
                <w:b/>
              </w:rPr>
            </w:pPr>
            <w:r>
              <w:rPr>
                <w:b/>
              </w:rPr>
              <w:t>De:</w:t>
            </w:r>
            <w:r>
              <w:tab/>
            </w:r>
          </w:p>
        </w:tc>
        <w:tc>
          <w:tcPr>
            <w:tcW w:w="8176" w:type="dxa"/>
          </w:tcPr>
          <w:p w14:paraId="6F9D5175" w14:textId="10BBCD26" w:rsidR="00C3665B" w:rsidRPr="006F631F" w:rsidRDefault="00E0707D" w:rsidP="00C3665B">
            <w:pPr>
              <w:widowControl w:val="0"/>
              <w:tabs>
                <w:tab w:val="center" w:pos="4680"/>
                <w:tab w:val="right" w:pos="9360"/>
              </w:tabs>
              <w:spacing w:after="0" w:line="240" w:lineRule="auto"/>
              <w:rPr>
                <w:bCs/>
                <w:snapToGrid w:val="0"/>
              </w:rPr>
            </w:pPr>
            <w:r>
              <w:rPr>
                <w:snapToGrid w:val="0"/>
              </w:rPr>
              <w:t xml:space="preserve">Patrick </w:t>
            </w:r>
            <w:proofErr w:type="spellStart"/>
            <w:r>
              <w:rPr>
                <w:snapToGrid w:val="0"/>
              </w:rPr>
              <w:t>Tutwiler</w:t>
            </w:r>
            <w:proofErr w:type="spellEnd"/>
            <w:r>
              <w:rPr>
                <w:snapToGrid w:val="0"/>
              </w:rPr>
              <w:t>, Comisionado interino</w:t>
            </w:r>
          </w:p>
        </w:tc>
      </w:tr>
      <w:tr w:rsidR="00C3665B" w:rsidRPr="00C3665B" w14:paraId="02FD8403" w14:textId="77777777">
        <w:tc>
          <w:tcPr>
            <w:tcW w:w="1184" w:type="dxa"/>
          </w:tcPr>
          <w:p w14:paraId="3076B878" w14:textId="77777777" w:rsidR="00C3665B" w:rsidRPr="00C3665B" w:rsidRDefault="00C3665B" w:rsidP="00C3665B">
            <w:pPr>
              <w:spacing w:after="0" w:line="240" w:lineRule="auto"/>
              <w:rPr>
                <w:b/>
              </w:rPr>
            </w:pPr>
            <w:r>
              <w:rPr>
                <w:b/>
              </w:rPr>
              <w:t>Fecha:</w:t>
            </w:r>
            <w:r>
              <w:tab/>
            </w:r>
          </w:p>
        </w:tc>
        <w:tc>
          <w:tcPr>
            <w:tcW w:w="8176" w:type="dxa"/>
          </w:tcPr>
          <w:p w14:paraId="558FA6C4" w14:textId="310959BE" w:rsidR="00C3665B" w:rsidRPr="006F631F" w:rsidRDefault="00606C4C" w:rsidP="00C3665B">
            <w:pPr>
              <w:widowControl w:val="0"/>
              <w:tabs>
                <w:tab w:val="center" w:pos="4680"/>
                <w:tab w:val="right" w:pos="9360"/>
              </w:tabs>
              <w:spacing w:after="0" w:line="240" w:lineRule="auto"/>
            </w:pPr>
            <w:r>
              <w:t>22 de abril de 2025</w:t>
            </w:r>
          </w:p>
        </w:tc>
      </w:tr>
      <w:tr w:rsidR="00C3665B" w:rsidRPr="00C3665B" w14:paraId="3A43128D" w14:textId="77777777">
        <w:tc>
          <w:tcPr>
            <w:tcW w:w="1184" w:type="dxa"/>
          </w:tcPr>
          <w:p w14:paraId="52BE17F1" w14:textId="77777777" w:rsidR="00C3665B" w:rsidRPr="00C3665B" w:rsidRDefault="00C3665B" w:rsidP="00C3665B">
            <w:pPr>
              <w:spacing w:after="0" w:line="240" w:lineRule="auto"/>
              <w:rPr>
                <w:b/>
              </w:rPr>
            </w:pPr>
            <w:r>
              <w:rPr>
                <w:b/>
              </w:rPr>
              <w:t>Asunto:</w:t>
            </w:r>
          </w:p>
        </w:tc>
        <w:tc>
          <w:tcPr>
            <w:tcW w:w="8176" w:type="dxa"/>
          </w:tcPr>
          <w:p w14:paraId="61A962E0" w14:textId="6CF2080F" w:rsidR="00C3665B" w:rsidRPr="00C3665B" w:rsidRDefault="006F631F" w:rsidP="00C3665B">
            <w:pPr>
              <w:widowControl w:val="0"/>
              <w:tabs>
                <w:tab w:val="center" w:pos="4680"/>
                <w:tab w:val="right" w:pos="9360"/>
              </w:tabs>
              <w:spacing w:after="0" w:line="240" w:lineRule="auto"/>
              <w:rPr>
                <w:snapToGrid w:val="0"/>
              </w:rPr>
            </w:pPr>
            <w:r>
              <w:rPr>
                <w:rStyle w:val="normaltextrun"/>
                <w:rFonts w:ascii="Aptos" w:hAnsi="Aptos"/>
                <w:color w:val="000000"/>
                <w:shd w:val="clear" w:color="auto" w:fill="FFFFFF"/>
              </w:rPr>
              <w:t>Modificaciones propuestas al Reglamento relativo a los Distritos Escolares Regionales, 603 CMR 41.00 </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072DC5F4" w14:textId="77777777" w:rsidR="006F631F" w:rsidRDefault="006F631F" w:rsidP="006F631F">
      <w:pPr>
        <w:pStyle w:val="paragraph"/>
        <w:spacing w:before="0" w:beforeAutospacing="0" w:after="0" w:afterAutospacing="0"/>
        <w:textAlignment w:val="baseline"/>
        <w:rPr>
          <w:rStyle w:val="normaltextrun"/>
          <w:rFonts w:ascii="Aptos" w:eastAsiaTheme="majorEastAsia" w:hAnsi="Aptos" w:cs="Segoe UI"/>
        </w:rPr>
      </w:pPr>
    </w:p>
    <w:p w14:paraId="6A738ADF" w14:textId="7E686D15"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ptos" w:hAnsi="Aptos"/>
          <w:color w:val="000000" w:themeColor="text1"/>
        </w:rPr>
        <w:t>Este mes presento las modificaciones propuestas a 603 CMR 41.00, el Reglamento relativo a los Distritos Escolares Regionales, a la Junta de Educación Primaria y Secundaria (la Junta) para votar para solicitar comentarios públicos, anticipando una votación final de la Junta para septiembre de 2025, tras el período de comentarios públicos. </w:t>
      </w:r>
      <w:r>
        <w:rPr>
          <w:rStyle w:val="eop"/>
          <w:rFonts w:ascii="Aptos" w:hAnsi="Aptos"/>
          <w:color w:val="000000" w:themeColor="text1"/>
        </w:rPr>
        <w:t> </w:t>
      </w:r>
    </w:p>
    <w:p w14:paraId="6DA38100"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Aptos" w:hAnsi="Aptos"/>
          <w:color w:val="000000" w:themeColor="text1"/>
        </w:rPr>
        <w:t> </w:t>
      </w:r>
    </w:p>
    <w:p w14:paraId="3498BDBC" w14:textId="555E31A2"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ptos" w:hAnsi="Aptos"/>
          <w:color w:val="000000" w:themeColor="text1"/>
        </w:rPr>
        <w:t xml:space="preserve">Estos reglamentos fueron modificados por última vez por la Junta en 2009. Al trabajar con los distritos escolares regionales, el personal del Departamento ha identificado áreas en las que el texto actual del reglamento limita la capacidad de los distritos para estructurar acuerdos regionales que respondan mejor a las necesidades locales, impone requisitos innecesarios a los distritos o carece de claridad. Las modificaciones propuestas actualizarán y simplificarán las definiciones y los procedimientos relacionados con los distritos escolares regionales, incluida la creación de dichos distritos y los cambios de miembros en los distritos existentes; aclararán la revisión requerida del Departamento y la aprobación del Comisionado de los acuerdos propuestos por los distritos escolares regionales y las modificaciones a dichos acuerdos; perfeccionarán el papel del Comisionado en el establecimiento de presupuestos provisionales cuando lo requiera la ley, junto con las actividades asociadas del Departamento; y añadirán secciones de exenciones y divisibilidad al reglamento. A </w:t>
      </w:r>
      <w:proofErr w:type="gramStart"/>
      <w:r>
        <w:rPr>
          <w:rStyle w:val="normaltextrun"/>
          <w:rFonts w:ascii="Aptos" w:hAnsi="Aptos"/>
          <w:color w:val="000000" w:themeColor="text1"/>
        </w:rPr>
        <w:t>continuación</w:t>
      </w:r>
      <w:proofErr w:type="gramEnd"/>
      <w:r>
        <w:rPr>
          <w:rStyle w:val="normaltextrun"/>
          <w:rFonts w:ascii="Aptos" w:hAnsi="Aptos"/>
          <w:color w:val="000000" w:themeColor="text1"/>
        </w:rPr>
        <w:t xml:space="preserve"> se detalla un resumen de los cambios introducidos en cada sección. </w:t>
      </w:r>
      <w:r>
        <w:rPr>
          <w:rStyle w:val="eop"/>
          <w:rFonts w:ascii="Aptos" w:hAnsi="Aptos"/>
          <w:color w:val="000000" w:themeColor="text1"/>
        </w:rPr>
        <w:t> </w:t>
      </w:r>
    </w:p>
    <w:p w14:paraId="62B39BF4"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Aptos" w:hAnsi="Aptos"/>
          <w:color w:val="000000" w:themeColor="text1"/>
        </w:rPr>
        <w:t> </w:t>
      </w:r>
    </w:p>
    <w:p w14:paraId="1F72C47F"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ptos" w:hAnsi="Aptos"/>
          <w:b/>
          <w:color w:val="000000" w:themeColor="text1"/>
        </w:rPr>
        <w:t>Modificaciones propuestas a 603 CMR 41.00</w:t>
      </w:r>
      <w:r>
        <w:rPr>
          <w:rStyle w:val="eop"/>
          <w:rFonts w:ascii="Aptos" w:hAnsi="Aptos"/>
          <w:color w:val="000000" w:themeColor="text1"/>
        </w:rPr>
        <w:t> </w:t>
      </w:r>
    </w:p>
    <w:p w14:paraId="10E90259"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ptos" w:hAnsi="Aptos"/>
          <w:color w:val="000000" w:themeColor="text1"/>
        </w:rPr>
        <w:t>Los cambios reglamentarios propuestos deberían proporcionar mayor flexibilidad y claridad a los distritos escolares regionales, en particular, en los ámbitos de presupuesto, supervisión fiscal y la aprobación del Comisionado de los acuerdos regionales y las modificaciones de los acuerdos. Entre las modificaciones propuestas a los reglamentos se incluyen las siguientes: </w:t>
      </w:r>
      <w:r>
        <w:rPr>
          <w:rStyle w:val="eop"/>
          <w:rFonts w:ascii="Aptos" w:hAnsi="Aptos"/>
          <w:color w:val="000000" w:themeColor="text1"/>
        </w:rPr>
        <w:t> </w:t>
      </w:r>
    </w:p>
    <w:p w14:paraId="560BCB60" w14:textId="77777777" w:rsidR="006F631F" w:rsidRPr="006F631F" w:rsidRDefault="006F631F" w:rsidP="006F631F">
      <w:pPr>
        <w:pStyle w:val="paragraph"/>
        <w:numPr>
          <w:ilvl w:val="0"/>
          <w:numId w:val="1"/>
        </w:numPr>
        <w:spacing w:before="0" w:beforeAutospacing="0" w:after="0" w:afterAutospacing="0"/>
        <w:textAlignment w:val="baseline"/>
        <w:rPr>
          <w:rFonts w:ascii="Aptos" w:hAnsi="Aptos" w:cs="Segoe UI"/>
          <w:color w:val="000000" w:themeColor="text1"/>
        </w:rPr>
      </w:pPr>
      <w:r>
        <w:rPr>
          <w:rStyle w:val="normaltextrun"/>
          <w:rFonts w:ascii="Aptos" w:hAnsi="Aptos"/>
          <w:i/>
          <w:color w:val="000000" w:themeColor="text1"/>
        </w:rPr>
        <w:t>Definiciones</w:t>
      </w:r>
      <w:r>
        <w:rPr>
          <w:rStyle w:val="normaltextrun"/>
          <w:rFonts w:ascii="Aptos" w:hAnsi="Aptos"/>
          <w:color w:val="000000" w:themeColor="text1"/>
        </w:rPr>
        <w:t xml:space="preserve"> nuevas y modificadas en 603 CMR 41.01.</w:t>
      </w:r>
      <w:r>
        <w:rPr>
          <w:rStyle w:val="eop"/>
          <w:rFonts w:ascii="Aptos" w:hAnsi="Aptos"/>
          <w:color w:val="000000" w:themeColor="text1"/>
        </w:rPr>
        <w:t> </w:t>
      </w:r>
    </w:p>
    <w:p w14:paraId="1D8600D0" w14:textId="77777777" w:rsidR="006F631F" w:rsidRPr="006F631F" w:rsidRDefault="006F631F" w:rsidP="006F631F">
      <w:pPr>
        <w:pStyle w:val="paragraph"/>
        <w:numPr>
          <w:ilvl w:val="0"/>
          <w:numId w:val="2"/>
        </w:numPr>
        <w:spacing w:before="0" w:beforeAutospacing="0" w:after="0" w:afterAutospacing="0"/>
        <w:textAlignment w:val="baseline"/>
        <w:rPr>
          <w:rFonts w:ascii="Aptos" w:hAnsi="Aptos" w:cs="Segoe UI"/>
          <w:color w:val="000000" w:themeColor="text1"/>
        </w:rPr>
      </w:pPr>
      <w:r>
        <w:rPr>
          <w:rStyle w:val="normaltextrun"/>
          <w:rFonts w:ascii="Aptos" w:hAnsi="Aptos"/>
          <w:color w:val="000000" w:themeColor="text1"/>
        </w:rPr>
        <w:t xml:space="preserve">Aclaración de </w:t>
      </w:r>
      <w:r>
        <w:rPr>
          <w:rStyle w:val="normaltextrun"/>
          <w:rFonts w:ascii="Aptos" w:hAnsi="Aptos"/>
          <w:i/>
          <w:color w:val="000000" w:themeColor="text1"/>
        </w:rPr>
        <w:t xml:space="preserve">los procedimientos de reorganización </w:t>
      </w:r>
      <w:r>
        <w:rPr>
          <w:rStyle w:val="normaltextrun"/>
          <w:rFonts w:ascii="Aptos" w:hAnsi="Aptos"/>
          <w:color w:val="000000" w:themeColor="text1"/>
        </w:rPr>
        <w:t xml:space="preserve">en 603 CMR 41.02, incluidas las responsabilidades locales y del Departamento para los distintos tipos de planes </w:t>
      </w:r>
      <w:r>
        <w:rPr>
          <w:rStyle w:val="normaltextrun"/>
          <w:rFonts w:ascii="Aptos" w:hAnsi="Aptos"/>
          <w:color w:val="000000" w:themeColor="text1"/>
        </w:rPr>
        <w:lastRenderedPageBreak/>
        <w:t>de reorganización de los distritos escolares. Los cambios propuestos aclaran las disposiciones relativas al plan de largo alcance y a la conferencia sobre necesidades regionales para los nuevos distritos escolares regionales propuestos, así como las modificaciones de los acuerdos regionales existentes que cambien la composición de miembros del distrito o los grados atendidos por el distrito.    </w:t>
      </w:r>
      <w:r>
        <w:rPr>
          <w:rStyle w:val="eop"/>
          <w:rFonts w:ascii="Aptos" w:hAnsi="Aptos"/>
          <w:color w:val="000000" w:themeColor="text1"/>
        </w:rPr>
        <w:t> </w:t>
      </w:r>
    </w:p>
    <w:p w14:paraId="38D9E45C" w14:textId="77777777" w:rsidR="006F631F" w:rsidRPr="006F631F" w:rsidRDefault="006F631F" w:rsidP="006F631F">
      <w:pPr>
        <w:pStyle w:val="paragraph"/>
        <w:numPr>
          <w:ilvl w:val="0"/>
          <w:numId w:val="3"/>
        </w:numPr>
        <w:spacing w:before="0" w:beforeAutospacing="0" w:after="0" w:afterAutospacing="0"/>
        <w:textAlignment w:val="baseline"/>
        <w:rPr>
          <w:rFonts w:ascii="Aptos" w:hAnsi="Aptos" w:cs="Segoe UI"/>
          <w:color w:val="000000" w:themeColor="text1"/>
        </w:rPr>
      </w:pPr>
      <w:r>
        <w:rPr>
          <w:rStyle w:val="normaltextrun"/>
          <w:rFonts w:ascii="Aptos" w:hAnsi="Aptos"/>
          <w:color w:val="000000" w:themeColor="text1"/>
        </w:rPr>
        <w:t xml:space="preserve">En 603 CMR 41.03, </w:t>
      </w:r>
      <w:r>
        <w:rPr>
          <w:rStyle w:val="normaltextrun"/>
          <w:rFonts w:ascii="Aptos" w:hAnsi="Aptos"/>
          <w:i/>
          <w:color w:val="000000" w:themeColor="text1"/>
        </w:rPr>
        <w:t>Aprobación del Departamento de Educación Primaria y Secundaria</w:t>
      </w:r>
      <w:r>
        <w:rPr>
          <w:rStyle w:val="normaltextrun"/>
          <w:rFonts w:ascii="Aptos" w:hAnsi="Aptos"/>
          <w:color w:val="000000" w:themeColor="text1"/>
        </w:rPr>
        <w:t>, se aclaran los procedimientos para la revisión por parte del Departamento de los acuerdos regionales propuestos y las modificaciones a los acuerdos regionales y se aclara la secuencia y conexión entre la aprobación local de acuerdos regionales y sus modificaciones, la aprobación del Comisionado y cualquier período de transición.   </w:t>
      </w:r>
      <w:r>
        <w:rPr>
          <w:rStyle w:val="eop"/>
          <w:rFonts w:ascii="Aptos" w:hAnsi="Aptos"/>
          <w:color w:val="000000" w:themeColor="text1"/>
        </w:rPr>
        <w:t> </w:t>
      </w:r>
    </w:p>
    <w:p w14:paraId="1A1A6B20" w14:textId="77777777" w:rsidR="006F631F" w:rsidRPr="006F631F" w:rsidRDefault="006F631F" w:rsidP="006F631F">
      <w:pPr>
        <w:pStyle w:val="paragraph"/>
        <w:numPr>
          <w:ilvl w:val="0"/>
          <w:numId w:val="4"/>
        </w:numPr>
        <w:spacing w:before="0" w:beforeAutospacing="0" w:after="0" w:afterAutospacing="0"/>
        <w:textAlignment w:val="baseline"/>
        <w:rPr>
          <w:rFonts w:ascii="Aptos" w:hAnsi="Aptos" w:cs="Segoe UI"/>
          <w:color w:val="000000" w:themeColor="text1"/>
        </w:rPr>
      </w:pPr>
      <w:r>
        <w:rPr>
          <w:rStyle w:val="normaltextrun"/>
          <w:rFonts w:ascii="Aptos" w:hAnsi="Aptos"/>
          <w:color w:val="000000" w:themeColor="text1"/>
        </w:rPr>
        <w:t xml:space="preserve">Actualizaciones técnicas de los términos en la disposición sobre </w:t>
      </w:r>
      <w:r>
        <w:rPr>
          <w:rStyle w:val="normaltextrun"/>
          <w:rFonts w:ascii="Aptos" w:hAnsi="Aptos"/>
          <w:i/>
          <w:color w:val="000000" w:themeColor="text1"/>
        </w:rPr>
        <w:t>Representantes Municipales en la Negociación Colectiva de los Distritos Escolares Regionales</w:t>
      </w:r>
      <w:r>
        <w:rPr>
          <w:rStyle w:val="normaltextrun"/>
          <w:rFonts w:ascii="Aptos" w:hAnsi="Aptos"/>
          <w:color w:val="000000" w:themeColor="text1"/>
        </w:rPr>
        <w:t xml:space="preserve"> en 603 CMR 41.04. </w:t>
      </w:r>
      <w:r>
        <w:rPr>
          <w:rStyle w:val="eop"/>
          <w:rFonts w:ascii="Aptos" w:hAnsi="Aptos"/>
          <w:color w:val="000000" w:themeColor="text1"/>
        </w:rPr>
        <w:t> </w:t>
      </w:r>
    </w:p>
    <w:p w14:paraId="028C6BF7" w14:textId="19EA37F5" w:rsidR="006F631F" w:rsidRPr="006F631F" w:rsidRDefault="006F631F" w:rsidP="006F631F">
      <w:pPr>
        <w:pStyle w:val="paragraph"/>
        <w:numPr>
          <w:ilvl w:val="0"/>
          <w:numId w:val="5"/>
        </w:numPr>
        <w:spacing w:before="0" w:beforeAutospacing="0" w:after="0" w:afterAutospacing="0"/>
        <w:textAlignment w:val="baseline"/>
        <w:rPr>
          <w:rFonts w:ascii="Aptos" w:hAnsi="Aptos" w:cs="Segoe UI"/>
          <w:color w:val="000000" w:themeColor="text1"/>
        </w:rPr>
      </w:pPr>
      <w:r>
        <w:rPr>
          <w:rStyle w:val="normaltextrun"/>
          <w:rFonts w:ascii="Aptos" w:hAnsi="Aptos"/>
          <w:color w:val="000000" w:themeColor="text1"/>
        </w:rPr>
        <w:t xml:space="preserve">Aclaración del texto y los procedimientos relacionados con </w:t>
      </w:r>
      <w:r>
        <w:rPr>
          <w:rStyle w:val="normaltextrun"/>
          <w:rFonts w:ascii="Aptos" w:hAnsi="Aptos"/>
          <w:i/>
          <w:color w:val="000000" w:themeColor="text1"/>
        </w:rPr>
        <w:t>los</w:t>
      </w:r>
      <w:r>
        <w:rPr>
          <w:rStyle w:val="normaltextrun"/>
          <w:rFonts w:ascii="Aptos" w:hAnsi="Aptos"/>
          <w:i/>
          <w:iCs/>
          <w:color w:val="000000" w:themeColor="text1"/>
        </w:rPr>
        <w:t xml:space="preserve"> Presupuestos de los Distritos Escolares Regionales</w:t>
      </w:r>
      <w:r>
        <w:rPr>
          <w:rStyle w:val="normaltextrun"/>
          <w:rFonts w:ascii="Aptos" w:hAnsi="Aptos"/>
          <w:color w:val="000000" w:themeColor="text1"/>
        </w:rPr>
        <w:t xml:space="preserve"> en 603 CMR 41.05, incluyendo los votos del comité escolar, detalles adicionales sobre los métodos permitidos para evaluar a los municipios miembros del distrito escolar regional en cuanto a gastos presupuestarios, requisitos de información relacionados, los requisitos para los comités escolares y los municipios miembros cuando un presupuesto para el año fiscal siguiente no se aprueba a nivel local para el inicio del año fiscal y el establecimiento de un presupuesto provisional por el Comisionado, modificaciones a los presupuestos aprobados y los requisitos relacionados con los presupuestos cuando un nuevo miembro se une o un miembro actual deja un distrito escolar regional, y la revisión del Departamento de los presupuestos de los distritos escolares regionales. Por ejemplo, los distritos y las juntas de planificación regionales que deseaban proponer un texto de acuerdo regional con un determinado umbral para las votaciones de los comités escolares sobre los presupuestos iniciales se veían innecesariamente limitados por el requisito existente de una estricta "mayoría de votos" para los presupuestos iniciales. Esto impedía que las regiones de dos ciudades en particular exigieran que al menos un miembro del comité escolar de cada ciudad apoyara la propuesta presupuestaria inicial. El reglamento modificado permitiría a los distritos escolares regionales fijar un umbral que se ajuste a las necesidades locales. Además, el reglamento modificado aclara las fuentes de ingresos que un comité escolar debe incluir en su presupuesto para que lo aprueben los municipios miembros.  </w:t>
      </w:r>
      <w:r>
        <w:rPr>
          <w:rStyle w:val="eop"/>
          <w:rFonts w:ascii="Aptos" w:hAnsi="Aptos"/>
          <w:color w:val="000000" w:themeColor="text1"/>
        </w:rPr>
        <w:t> </w:t>
      </w:r>
    </w:p>
    <w:p w14:paraId="6016A531" w14:textId="497183C0" w:rsidR="006F631F" w:rsidRPr="006F631F" w:rsidRDefault="006F631F" w:rsidP="006F631F">
      <w:pPr>
        <w:pStyle w:val="paragraph"/>
        <w:numPr>
          <w:ilvl w:val="0"/>
          <w:numId w:val="6"/>
        </w:numPr>
        <w:spacing w:before="0" w:beforeAutospacing="0" w:after="0" w:afterAutospacing="0"/>
        <w:textAlignment w:val="baseline"/>
        <w:rPr>
          <w:rFonts w:ascii="Aptos" w:hAnsi="Aptos" w:cs="Segoe UI"/>
          <w:color w:val="000000" w:themeColor="text1"/>
        </w:rPr>
      </w:pPr>
      <w:r>
        <w:rPr>
          <w:rStyle w:val="normaltextrun"/>
          <w:rFonts w:ascii="Aptos" w:hAnsi="Aptos"/>
          <w:color w:val="000000" w:themeColor="text1"/>
        </w:rPr>
        <w:t xml:space="preserve">En 603 CMR 41.06, se aclaran los requisitos relacionados con el uso por parte de los distritos escolares regionales de </w:t>
      </w:r>
      <w:r>
        <w:rPr>
          <w:rStyle w:val="normaltextrun"/>
          <w:rFonts w:ascii="Aptos" w:hAnsi="Aptos"/>
          <w:i/>
          <w:color w:val="000000" w:themeColor="text1"/>
        </w:rPr>
        <w:t>los Fondos de Exceso y Déficit</w:t>
      </w:r>
      <w:r>
        <w:rPr>
          <w:rStyle w:val="normaltextrun"/>
          <w:rFonts w:ascii="Aptos" w:hAnsi="Aptos"/>
          <w:color w:val="000000" w:themeColor="text1"/>
        </w:rPr>
        <w:t>, en consonancia con las orientaciones conjuntas emitidas por el Centro de Financiación de Distritos y Escuelas del Departamento y la División de Servicios Locales del Departamento de Ingresos. </w:t>
      </w:r>
      <w:r>
        <w:rPr>
          <w:rStyle w:val="eop"/>
          <w:rFonts w:ascii="Aptos" w:hAnsi="Aptos"/>
          <w:color w:val="000000" w:themeColor="text1"/>
        </w:rPr>
        <w:t> </w:t>
      </w:r>
    </w:p>
    <w:p w14:paraId="5FCC2710" w14:textId="77777777" w:rsidR="006F631F" w:rsidRPr="006F631F" w:rsidRDefault="006F631F" w:rsidP="006F631F">
      <w:pPr>
        <w:pStyle w:val="paragraph"/>
        <w:numPr>
          <w:ilvl w:val="0"/>
          <w:numId w:val="7"/>
        </w:numPr>
        <w:spacing w:before="0" w:beforeAutospacing="0" w:after="0" w:afterAutospacing="0"/>
        <w:textAlignment w:val="baseline"/>
        <w:rPr>
          <w:rFonts w:ascii="Aptos" w:hAnsi="Aptos" w:cs="Segoe UI"/>
          <w:color w:val="000000" w:themeColor="text1"/>
        </w:rPr>
      </w:pPr>
      <w:r>
        <w:rPr>
          <w:rStyle w:val="normaltextrun"/>
          <w:rFonts w:ascii="Aptos" w:hAnsi="Aptos"/>
          <w:color w:val="000000" w:themeColor="text1"/>
        </w:rPr>
        <w:t xml:space="preserve">En 603 CMR 41.07, se normalizan, aclaran y reorganizan los requisitos relacionados con el </w:t>
      </w:r>
      <w:r>
        <w:rPr>
          <w:rStyle w:val="normaltextrun"/>
          <w:rFonts w:ascii="Aptos" w:hAnsi="Aptos"/>
          <w:i/>
          <w:color w:val="000000" w:themeColor="text1"/>
        </w:rPr>
        <w:t>Control Fiscal de los Distritos Escolares Regionales por parte del Comisionado</w:t>
      </w:r>
      <w:r>
        <w:rPr>
          <w:rStyle w:val="normaltextrun"/>
          <w:rFonts w:ascii="Aptos" w:hAnsi="Aptos"/>
          <w:color w:val="000000" w:themeColor="text1"/>
        </w:rPr>
        <w:t xml:space="preserve">, para permitir al Comisionado ejercer una supervisión fiscal </w:t>
      </w:r>
      <w:r>
        <w:rPr>
          <w:rStyle w:val="normaltextrun"/>
          <w:rFonts w:ascii="Aptos" w:hAnsi="Aptos"/>
          <w:color w:val="000000" w:themeColor="text1"/>
        </w:rPr>
        <w:lastRenderedPageBreak/>
        <w:t>adecuada de los distritos escolares regionales para los que se requiera dicha supervisión en virtud de las Leyes Generales, capítulo 71, §16B, así como 603 CMR 41.05. Los cambios propuestos a estas disposiciones tienen por objeto aclarar las obligaciones del Departamento y de los distritos escolares regionales en los casos en que el Comisionado deba participar en diversos niveles de supervisión fiscal (por ejemplo, en caso de falta de presupuesto al 1 de julio, falta de presupuesto al 1 de diciembre, supervisión fiscal impuesta por ley).</w:t>
      </w:r>
      <w:r>
        <w:rPr>
          <w:rStyle w:val="eop"/>
          <w:rFonts w:ascii="Aptos" w:hAnsi="Aptos"/>
          <w:color w:val="000000" w:themeColor="text1"/>
        </w:rPr>
        <w:t> </w:t>
      </w:r>
    </w:p>
    <w:p w14:paraId="36036EA0" w14:textId="77777777" w:rsidR="006F631F" w:rsidRPr="006F631F" w:rsidRDefault="006F631F" w:rsidP="006F631F">
      <w:pPr>
        <w:pStyle w:val="paragraph"/>
        <w:numPr>
          <w:ilvl w:val="0"/>
          <w:numId w:val="8"/>
        </w:numPr>
        <w:spacing w:before="0" w:beforeAutospacing="0" w:after="0" w:afterAutospacing="0"/>
        <w:textAlignment w:val="baseline"/>
        <w:rPr>
          <w:rFonts w:ascii="Aptos" w:hAnsi="Aptos" w:cs="Segoe UI"/>
          <w:color w:val="000000" w:themeColor="text1"/>
        </w:rPr>
      </w:pPr>
      <w:r>
        <w:rPr>
          <w:rStyle w:val="normaltextrun"/>
          <w:rFonts w:ascii="Aptos" w:hAnsi="Aptos"/>
          <w:color w:val="000000" w:themeColor="text1"/>
        </w:rPr>
        <w:t xml:space="preserve">El agregado de una disposición de </w:t>
      </w:r>
      <w:r>
        <w:rPr>
          <w:rStyle w:val="normaltextrun"/>
          <w:rFonts w:ascii="Aptos" w:hAnsi="Aptos"/>
          <w:i/>
          <w:color w:val="000000" w:themeColor="text1"/>
        </w:rPr>
        <w:t>Exenciones</w:t>
      </w:r>
      <w:r>
        <w:rPr>
          <w:rStyle w:val="normaltextrun"/>
          <w:rFonts w:ascii="Aptos" w:hAnsi="Aptos"/>
          <w:color w:val="000000" w:themeColor="text1"/>
        </w:rPr>
        <w:t xml:space="preserve"> en 603 CMR 41.08, y una disposición de </w:t>
      </w:r>
      <w:r>
        <w:rPr>
          <w:rStyle w:val="normaltextrun"/>
          <w:rFonts w:ascii="Aptos" w:hAnsi="Aptos"/>
          <w:i/>
          <w:color w:val="000000" w:themeColor="text1"/>
        </w:rPr>
        <w:t>Divisibilidad</w:t>
      </w:r>
      <w:r>
        <w:rPr>
          <w:rStyle w:val="normaltextrun"/>
          <w:rFonts w:ascii="Aptos" w:hAnsi="Aptos"/>
          <w:color w:val="000000" w:themeColor="text1"/>
        </w:rPr>
        <w:t xml:space="preserve"> en 603 CMR 41.09. Antes no se concedían exenciones en virtud de este reglamento. La modificación propuesta permite al Comisionado estudiar y conceder exenciones del reglamento sobre distritos escolares regionales caso por caso, por ejemplo, para ampliar un periodo de transición cuando se solicite una prórroga razonable. </w:t>
      </w:r>
      <w:r>
        <w:rPr>
          <w:rStyle w:val="eop"/>
          <w:rFonts w:ascii="Aptos" w:hAnsi="Aptos"/>
          <w:color w:val="000000" w:themeColor="text1"/>
        </w:rPr>
        <w:t> </w:t>
      </w:r>
    </w:p>
    <w:p w14:paraId="3CB7B37C"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Aptos" w:hAnsi="Aptos"/>
          <w:color w:val="000000" w:themeColor="text1"/>
        </w:rPr>
        <w:t> </w:t>
      </w:r>
    </w:p>
    <w:p w14:paraId="6E6D8133" w14:textId="495461F6" w:rsidR="006F631F" w:rsidRPr="006F631F" w:rsidRDefault="006F631F" w:rsidP="402AE4B6">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ptos" w:hAnsi="Aptos"/>
          <w:color w:val="000000" w:themeColor="text1"/>
        </w:rPr>
        <w:t>John J. Sullivan, comisionado adjunto de finanzas de distritos y escuelas, Lucy Wall, de nuestro personal jurídico, Christine Lynch, exdirectora de gobernanza regional/consultora de gestión, y Michelle Griffin, coordinadora de gobernanza regional, nos acompañarán en el debate.</w:t>
      </w:r>
      <w:r>
        <w:rPr>
          <w:rStyle w:val="eop"/>
          <w:rFonts w:ascii="Aptos" w:hAnsi="Aptos"/>
          <w:color w:val="000000" w:themeColor="text1"/>
        </w:rPr>
        <w:t> </w:t>
      </w:r>
    </w:p>
    <w:p w14:paraId="7A02639B"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Aptos" w:hAnsi="Aptos"/>
          <w:color w:val="000000" w:themeColor="text1"/>
        </w:rPr>
        <w:t> </w:t>
      </w:r>
    </w:p>
    <w:p w14:paraId="48B428AB" w14:textId="53E71F9F"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ptos" w:hAnsi="Aptos"/>
          <w:color w:val="000000" w:themeColor="text1"/>
        </w:rPr>
        <w:t>Tras revisar todos los comentarios y determinar si hacen falta más cambios, el Departamento prevé volver a presentar las modificaciones a la Junta en septiembre de 2025 para su adopción final.</w:t>
      </w:r>
      <w:r>
        <w:rPr>
          <w:rStyle w:val="eop"/>
          <w:rFonts w:ascii="Aptos" w:hAnsi="Aptos"/>
          <w:color w:val="000000" w:themeColor="text1"/>
        </w:rPr>
        <w:t> </w:t>
      </w:r>
    </w:p>
    <w:p w14:paraId="42890F99"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Aptos" w:hAnsi="Aptos"/>
          <w:color w:val="000000" w:themeColor="text1"/>
        </w:rPr>
        <w:t> </w:t>
      </w:r>
    </w:p>
    <w:p w14:paraId="1F283481"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ptos" w:hAnsi="Aptos"/>
          <w:color w:val="000000" w:themeColor="text1"/>
        </w:rPr>
        <w:t>Se adjunta una versión resumida del reglamento, junto con una moción para solicitar comentarios públicos sobre las modificaciones propuestas.</w:t>
      </w:r>
      <w:r>
        <w:rPr>
          <w:rStyle w:val="eop"/>
          <w:rFonts w:ascii="Aptos" w:hAnsi="Aptos"/>
          <w:color w:val="000000" w:themeColor="text1"/>
        </w:rPr>
        <w:t> </w:t>
      </w:r>
    </w:p>
    <w:p w14:paraId="6472FD1F"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Aptos" w:hAnsi="Aptos"/>
          <w:color w:val="000000" w:themeColor="text1"/>
        </w:rPr>
        <w:t> </w:t>
      </w:r>
    </w:p>
    <w:p w14:paraId="1211FFB2" w14:textId="5D604BAE"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Aptos" w:hAnsi="Aptos"/>
          <w:color w:val="000000" w:themeColor="text1"/>
        </w:rPr>
        <w:t> </w:t>
      </w:r>
      <w:r>
        <w:rPr>
          <w:rStyle w:val="normaltextrun"/>
          <w:rFonts w:ascii="Aptos" w:hAnsi="Aptos"/>
          <w:color w:val="000000" w:themeColor="text1"/>
        </w:rPr>
        <w:t>Adjuntos:</w:t>
      </w:r>
      <w:r>
        <w:rPr>
          <w:rStyle w:val="eop"/>
          <w:rFonts w:ascii="Aptos" w:hAnsi="Aptos"/>
          <w:color w:val="000000" w:themeColor="text1"/>
        </w:rPr>
        <w:t> </w:t>
      </w:r>
    </w:p>
    <w:p w14:paraId="578AFEB8" w14:textId="77777777" w:rsidR="006F631F" w:rsidRPr="006F631F" w:rsidRDefault="006F631F" w:rsidP="006F631F">
      <w:pPr>
        <w:pStyle w:val="paragraph"/>
        <w:spacing w:before="0" w:beforeAutospacing="0" w:after="0" w:afterAutospacing="0"/>
        <w:ind w:firstLine="720"/>
        <w:textAlignment w:val="baseline"/>
        <w:rPr>
          <w:rFonts w:ascii="Segoe UI" w:hAnsi="Segoe UI" w:cs="Segoe UI"/>
          <w:color w:val="000000" w:themeColor="text1"/>
          <w:sz w:val="18"/>
          <w:szCs w:val="18"/>
        </w:rPr>
      </w:pPr>
      <w:r>
        <w:rPr>
          <w:rStyle w:val="normaltextrun"/>
          <w:rFonts w:ascii="Aptos" w:hAnsi="Aptos"/>
          <w:color w:val="000000" w:themeColor="text1"/>
        </w:rPr>
        <w:t xml:space="preserve">603 CMR 41.00 Versión tachada de la parte pertinente del reglamento que muestra </w:t>
      </w:r>
      <w:r>
        <w:rPr>
          <w:rStyle w:val="tabchar"/>
          <w:rFonts w:ascii="Calibri" w:hAnsi="Calibri"/>
          <w:color w:val="000000" w:themeColor="text1"/>
        </w:rPr>
        <w:tab/>
      </w:r>
      <w:r>
        <w:rPr>
          <w:rStyle w:val="tabchar"/>
          <w:rFonts w:ascii="Calibri" w:hAnsi="Calibri"/>
          <w:color w:val="000000" w:themeColor="text1"/>
        </w:rPr>
        <w:tab/>
      </w:r>
      <w:r>
        <w:rPr>
          <w:rStyle w:val="normaltextrun"/>
          <w:rFonts w:ascii="Aptos" w:hAnsi="Aptos"/>
          <w:color w:val="000000" w:themeColor="text1"/>
        </w:rPr>
        <w:t>las modificaciones</w:t>
      </w:r>
      <w:r>
        <w:rPr>
          <w:rStyle w:val="eop"/>
          <w:rFonts w:ascii="Aptos" w:hAnsi="Aptos"/>
          <w:color w:val="000000" w:themeColor="text1"/>
        </w:rPr>
        <w:t> </w:t>
      </w:r>
    </w:p>
    <w:p w14:paraId="0A5AB562" w14:textId="77777777" w:rsidR="006F631F" w:rsidRPr="006F631F" w:rsidRDefault="006F631F" w:rsidP="006F631F">
      <w:pPr>
        <w:pStyle w:val="paragraph"/>
        <w:spacing w:before="0" w:beforeAutospacing="0" w:after="0" w:afterAutospacing="0"/>
        <w:ind w:firstLine="720"/>
        <w:textAlignment w:val="baseline"/>
        <w:rPr>
          <w:rFonts w:ascii="Segoe UI" w:hAnsi="Segoe UI" w:cs="Segoe UI"/>
          <w:color w:val="000000" w:themeColor="text1"/>
          <w:sz w:val="18"/>
          <w:szCs w:val="18"/>
        </w:rPr>
      </w:pPr>
      <w:r>
        <w:rPr>
          <w:rStyle w:val="normaltextrun"/>
          <w:rFonts w:ascii="Aptos" w:hAnsi="Aptos"/>
          <w:color w:val="000000" w:themeColor="text1"/>
        </w:rPr>
        <w:t>Moción: 603 CMR 41.00 </w:t>
      </w:r>
      <w:r>
        <w:rPr>
          <w:rStyle w:val="eop"/>
          <w:rFonts w:ascii="Aptos" w:hAnsi="Aptos"/>
          <w:color w:val="000000" w:themeColor="text1"/>
        </w:rPr>
        <w:t> </w:t>
      </w:r>
    </w:p>
    <w:p w14:paraId="454239BF" w14:textId="77777777" w:rsidR="006F631F" w:rsidRPr="006F631F" w:rsidRDefault="006F631F">
      <w:pPr>
        <w:rPr>
          <w:color w:val="000000" w:themeColor="text1"/>
        </w:rPr>
        <w:sectPr w:rsidR="006F631F" w:rsidRPr="006F631F" w:rsidSect="00725BB6">
          <w:footerReference w:type="default" r:id="rId16"/>
          <w:type w:val="continuous"/>
          <w:pgSz w:w="12240" w:h="15840"/>
          <w:pgMar w:top="1440" w:right="1440" w:bottom="1440" w:left="1440" w:header="720" w:footer="720" w:gutter="0"/>
          <w:cols w:space="720"/>
          <w:docGrid w:linePitch="360"/>
        </w:sectPr>
      </w:pPr>
    </w:p>
    <w:p w14:paraId="5CD4DEEF" w14:textId="77777777" w:rsidR="00725BB6" w:rsidRPr="006F631F" w:rsidRDefault="00725BB6" w:rsidP="006F631F">
      <w:pPr>
        <w:rPr>
          <w:color w:val="000000" w:themeColor="text1"/>
        </w:rPr>
      </w:pPr>
    </w:p>
    <w:sectPr w:rsidR="00725BB6" w:rsidRPr="006F631F"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7731" w14:textId="77777777" w:rsidR="00FE31E2" w:rsidRDefault="00FE31E2" w:rsidP="00C84EE3">
      <w:pPr>
        <w:spacing w:after="0" w:line="240" w:lineRule="auto"/>
      </w:pPr>
      <w:r>
        <w:separator/>
      </w:r>
    </w:p>
  </w:endnote>
  <w:endnote w:type="continuationSeparator" w:id="0">
    <w:p w14:paraId="65C422CD" w14:textId="77777777" w:rsidR="00FE31E2" w:rsidRDefault="00FE31E2" w:rsidP="00C84EE3">
      <w:pPr>
        <w:spacing w:after="0" w:line="240" w:lineRule="auto"/>
      </w:pPr>
      <w:r>
        <w:continuationSeparator/>
      </w:r>
    </w:p>
  </w:endnote>
  <w:endnote w:type="continuationNotice" w:id="1">
    <w:p w14:paraId="0549B860" w14:textId="77777777" w:rsidR="00FE31E2" w:rsidRDefault="00FE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EAB75FB">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04A70888">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t>2</w:t>
        </w:r>
        <w: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17FC" w14:textId="77777777" w:rsidR="00FE31E2" w:rsidRDefault="00FE31E2" w:rsidP="00C84EE3">
      <w:pPr>
        <w:spacing w:after="0" w:line="240" w:lineRule="auto"/>
      </w:pPr>
      <w:r>
        <w:separator/>
      </w:r>
    </w:p>
  </w:footnote>
  <w:footnote w:type="continuationSeparator" w:id="0">
    <w:p w14:paraId="200A3D0D" w14:textId="77777777" w:rsidR="00FE31E2" w:rsidRDefault="00FE31E2" w:rsidP="00C84EE3">
      <w:pPr>
        <w:spacing w:after="0" w:line="240" w:lineRule="auto"/>
      </w:pPr>
      <w:r>
        <w:continuationSeparator/>
      </w:r>
    </w:p>
  </w:footnote>
  <w:footnote w:type="continuationNotice" w:id="1">
    <w:p w14:paraId="5AF77154" w14:textId="77777777" w:rsidR="00FE31E2" w:rsidRDefault="00FE3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5CA88B66">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3E"/>
    <w:multiLevelType w:val="multilevel"/>
    <w:tmpl w:val="250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54ED2"/>
    <w:multiLevelType w:val="multilevel"/>
    <w:tmpl w:val="364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54F84"/>
    <w:multiLevelType w:val="multilevel"/>
    <w:tmpl w:val="755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F262A"/>
    <w:multiLevelType w:val="multilevel"/>
    <w:tmpl w:val="942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5F29A4"/>
    <w:multiLevelType w:val="multilevel"/>
    <w:tmpl w:val="89F8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89516D"/>
    <w:multiLevelType w:val="multilevel"/>
    <w:tmpl w:val="302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2931F3"/>
    <w:multiLevelType w:val="multilevel"/>
    <w:tmpl w:val="0C4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1129FF"/>
    <w:multiLevelType w:val="multilevel"/>
    <w:tmpl w:val="AF0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5579491">
    <w:abstractNumId w:val="1"/>
  </w:num>
  <w:num w:numId="2" w16cid:durableId="1502164402">
    <w:abstractNumId w:val="2"/>
  </w:num>
  <w:num w:numId="3" w16cid:durableId="1590692263">
    <w:abstractNumId w:val="7"/>
  </w:num>
  <w:num w:numId="4" w16cid:durableId="828982781">
    <w:abstractNumId w:val="5"/>
  </w:num>
  <w:num w:numId="5" w16cid:durableId="859054657">
    <w:abstractNumId w:val="0"/>
  </w:num>
  <w:num w:numId="6" w16cid:durableId="360595899">
    <w:abstractNumId w:val="4"/>
  </w:num>
  <w:num w:numId="7" w16cid:durableId="342899823">
    <w:abstractNumId w:val="3"/>
  </w:num>
  <w:num w:numId="8" w16cid:durableId="2059668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16DE9"/>
    <w:rsid w:val="00032C6B"/>
    <w:rsid w:val="000F11A7"/>
    <w:rsid w:val="00193100"/>
    <w:rsid w:val="001B3D3D"/>
    <w:rsid w:val="002E4BDE"/>
    <w:rsid w:val="003C5721"/>
    <w:rsid w:val="00417AD7"/>
    <w:rsid w:val="00432891"/>
    <w:rsid w:val="004C46FB"/>
    <w:rsid w:val="00606C4C"/>
    <w:rsid w:val="00625776"/>
    <w:rsid w:val="006F631F"/>
    <w:rsid w:val="00725BB6"/>
    <w:rsid w:val="007415A4"/>
    <w:rsid w:val="007647E2"/>
    <w:rsid w:val="0078021E"/>
    <w:rsid w:val="00886DE6"/>
    <w:rsid w:val="008E1474"/>
    <w:rsid w:val="00922FD3"/>
    <w:rsid w:val="0096795D"/>
    <w:rsid w:val="00992648"/>
    <w:rsid w:val="009A28ED"/>
    <w:rsid w:val="009C5387"/>
    <w:rsid w:val="009D1963"/>
    <w:rsid w:val="00A0633B"/>
    <w:rsid w:val="00A35E49"/>
    <w:rsid w:val="00A47614"/>
    <w:rsid w:val="00AB547A"/>
    <w:rsid w:val="00AF2D49"/>
    <w:rsid w:val="00B150A1"/>
    <w:rsid w:val="00BA1E04"/>
    <w:rsid w:val="00BE0EFA"/>
    <w:rsid w:val="00C3665B"/>
    <w:rsid w:val="00C824D2"/>
    <w:rsid w:val="00C842AD"/>
    <w:rsid w:val="00C84EE3"/>
    <w:rsid w:val="00CE0D9E"/>
    <w:rsid w:val="00D80134"/>
    <w:rsid w:val="00DD1475"/>
    <w:rsid w:val="00E0707D"/>
    <w:rsid w:val="00E63E19"/>
    <w:rsid w:val="00E71D53"/>
    <w:rsid w:val="00E8794E"/>
    <w:rsid w:val="00EB1B84"/>
    <w:rsid w:val="00F00022"/>
    <w:rsid w:val="00F24E91"/>
    <w:rsid w:val="00F37179"/>
    <w:rsid w:val="00FE31E2"/>
    <w:rsid w:val="14AF067F"/>
    <w:rsid w:val="26987068"/>
    <w:rsid w:val="402AE4B6"/>
    <w:rsid w:val="639689A9"/>
    <w:rsid w:val="72A02A24"/>
    <w:rsid w:val="7C48D6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F2986E6-CF35-4F37-BD20-1CA937A5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006F631F"/>
  </w:style>
  <w:style w:type="paragraph" w:customStyle="1" w:styleId="paragraph">
    <w:name w:val="paragraph"/>
    <w:basedOn w:val="Normal"/>
    <w:rsid w:val="006F63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6F631F"/>
  </w:style>
  <w:style w:type="character" w:customStyle="1" w:styleId="tabchar">
    <w:name w:val="tabchar"/>
    <w:basedOn w:val="DefaultParagraphFont"/>
    <w:rsid w:val="006F631F"/>
  </w:style>
  <w:style w:type="character" w:styleId="CommentReference">
    <w:name w:val="annotation reference"/>
    <w:basedOn w:val="DefaultParagraphFont"/>
    <w:uiPriority w:val="99"/>
    <w:semiHidden/>
    <w:unhideWhenUsed/>
    <w:rsid w:val="006F631F"/>
    <w:rPr>
      <w:sz w:val="16"/>
      <w:szCs w:val="16"/>
    </w:rPr>
  </w:style>
  <w:style w:type="paragraph" w:styleId="CommentText">
    <w:name w:val="annotation text"/>
    <w:basedOn w:val="Normal"/>
    <w:link w:val="CommentTextChar"/>
    <w:uiPriority w:val="99"/>
    <w:unhideWhenUsed/>
    <w:rsid w:val="006F631F"/>
    <w:pPr>
      <w:spacing w:line="240" w:lineRule="auto"/>
    </w:pPr>
    <w:rPr>
      <w:sz w:val="20"/>
      <w:szCs w:val="20"/>
    </w:rPr>
  </w:style>
  <w:style w:type="character" w:customStyle="1" w:styleId="CommentTextChar">
    <w:name w:val="Comment Text Char"/>
    <w:basedOn w:val="DefaultParagraphFont"/>
    <w:link w:val="CommentText"/>
    <w:uiPriority w:val="99"/>
    <w:rsid w:val="006F631F"/>
    <w:rPr>
      <w:sz w:val="20"/>
      <w:szCs w:val="20"/>
    </w:rPr>
  </w:style>
  <w:style w:type="paragraph" w:styleId="CommentSubject">
    <w:name w:val="annotation subject"/>
    <w:basedOn w:val="CommentText"/>
    <w:next w:val="CommentText"/>
    <w:link w:val="CommentSubjectChar"/>
    <w:uiPriority w:val="99"/>
    <w:semiHidden/>
    <w:unhideWhenUsed/>
    <w:rsid w:val="006F631F"/>
    <w:rPr>
      <w:b/>
      <w:bCs/>
    </w:rPr>
  </w:style>
  <w:style w:type="character" w:customStyle="1" w:styleId="CommentSubjectChar">
    <w:name w:val="Comment Subject Char"/>
    <w:basedOn w:val="CommentTextChar"/>
    <w:link w:val="CommentSubject"/>
    <w:uiPriority w:val="99"/>
    <w:semiHidden/>
    <w:rsid w:val="006F6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6727">
      <w:bodyDiv w:val="1"/>
      <w:marLeft w:val="0"/>
      <w:marRight w:val="0"/>
      <w:marTop w:val="0"/>
      <w:marBottom w:val="0"/>
      <w:divBdr>
        <w:top w:val="none" w:sz="0" w:space="0" w:color="auto"/>
        <w:left w:val="none" w:sz="0" w:space="0" w:color="auto"/>
        <w:bottom w:val="none" w:sz="0" w:space="0" w:color="auto"/>
        <w:right w:val="none" w:sz="0" w:space="0" w:color="auto"/>
      </w:divBdr>
      <w:divsChild>
        <w:div w:id="110590871">
          <w:marLeft w:val="0"/>
          <w:marRight w:val="0"/>
          <w:marTop w:val="0"/>
          <w:marBottom w:val="0"/>
          <w:divBdr>
            <w:top w:val="none" w:sz="0" w:space="0" w:color="auto"/>
            <w:left w:val="none" w:sz="0" w:space="0" w:color="auto"/>
            <w:bottom w:val="none" w:sz="0" w:space="0" w:color="auto"/>
            <w:right w:val="none" w:sz="0" w:space="0" w:color="auto"/>
          </w:divBdr>
        </w:div>
        <w:div w:id="621811659">
          <w:marLeft w:val="0"/>
          <w:marRight w:val="0"/>
          <w:marTop w:val="0"/>
          <w:marBottom w:val="0"/>
          <w:divBdr>
            <w:top w:val="none" w:sz="0" w:space="0" w:color="auto"/>
            <w:left w:val="none" w:sz="0" w:space="0" w:color="auto"/>
            <w:bottom w:val="none" w:sz="0" w:space="0" w:color="auto"/>
            <w:right w:val="none" w:sz="0" w:space="0" w:color="auto"/>
          </w:divBdr>
        </w:div>
        <w:div w:id="952247322">
          <w:marLeft w:val="0"/>
          <w:marRight w:val="0"/>
          <w:marTop w:val="0"/>
          <w:marBottom w:val="0"/>
          <w:divBdr>
            <w:top w:val="none" w:sz="0" w:space="0" w:color="auto"/>
            <w:left w:val="none" w:sz="0" w:space="0" w:color="auto"/>
            <w:bottom w:val="none" w:sz="0" w:space="0" w:color="auto"/>
            <w:right w:val="none" w:sz="0" w:space="0" w:color="auto"/>
          </w:divBdr>
        </w:div>
        <w:div w:id="1134905591">
          <w:marLeft w:val="0"/>
          <w:marRight w:val="0"/>
          <w:marTop w:val="0"/>
          <w:marBottom w:val="0"/>
          <w:divBdr>
            <w:top w:val="none" w:sz="0" w:space="0" w:color="auto"/>
            <w:left w:val="none" w:sz="0" w:space="0" w:color="auto"/>
            <w:bottom w:val="none" w:sz="0" w:space="0" w:color="auto"/>
            <w:right w:val="none" w:sz="0" w:space="0" w:color="auto"/>
          </w:divBdr>
          <w:divsChild>
            <w:div w:id="47654654">
              <w:marLeft w:val="0"/>
              <w:marRight w:val="0"/>
              <w:marTop w:val="0"/>
              <w:marBottom w:val="0"/>
              <w:divBdr>
                <w:top w:val="none" w:sz="0" w:space="0" w:color="auto"/>
                <w:left w:val="none" w:sz="0" w:space="0" w:color="auto"/>
                <w:bottom w:val="none" w:sz="0" w:space="0" w:color="auto"/>
                <w:right w:val="none" w:sz="0" w:space="0" w:color="auto"/>
              </w:divBdr>
            </w:div>
            <w:div w:id="217858405">
              <w:marLeft w:val="0"/>
              <w:marRight w:val="0"/>
              <w:marTop w:val="0"/>
              <w:marBottom w:val="0"/>
              <w:divBdr>
                <w:top w:val="none" w:sz="0" w:space="0" w:color="auto"/>
                <w:left w:val="none" w:sz="0" w:space="0" w:color="auto"/>
                <w:bottom w:val="none" w:sz="0" w:space="0" w:color="auto"/>
                <w:right w:val="none" w:sz="0" w:space="0" w:color="auto"/>
              </w:divBdr>
            </w:div>
            <w:div w:id="304747719">
              <w:marLeft w:val="0"/>
              <w:marRight w:val="0"/>
              <w:marTop w:val="0"/>
              <w:marBottom w:val="0"/>
              <w:divBdr>
                <w:top w:val="none" w:sz="0" w:space="0" w:color="auto"/>
                <w:left w:val="none" w:sz="0" w:space="0" w:color="auto"/>
                <w:bottom w:val="none" w:sz="0" w:space="0" w:color="auto"/>
                <w:right w:val="none" w:sz="0" w:space="0" w:color="auto"/>
              </w:divBdr>
            </w:div>
            <w:div w:id="414471410">
              <w:marLeft w:val="0"/>
              <w:marRight w:val="0"/>
              <w:marTop w:val="0"/>
              <w:marBottom w:val="0"/>
              <w:divBdr>
                <w:top w:val="none" w:sz="0" w:space="0" w:color="auto"/>
                <w:left w:val="none" w:sz="0" w:space="0" w:color="auto"/>
                <w:bottom w:val="none" w:sz="0" w:space="0" w:color="auto"/>
                <w:right w:val="none" w:sz="0" w:space="0" w:color="auto"/>
              </w:divBdr>
            </w:div>
            <w:div w:id="438599624">
              <w:marLeft w:val="0"/>
              <w:marRight w:val="0"/>
              <w:marTop w:val="0"/>
              <w:marBottom w:val="0"/>
              <w:divBdr>
                <w:top w:val="none" w:sz="0" w:space="0" w:color="auto"/>
                <w:left w:val="none" w:sz="0" w:space="0" w:color="auto"/>
                <w:bottom w:val="none" w:sz="0" w:space="0" w:color="auto"/>
                <w:right w:val="none" w:sz="0" w:space="0" w:color="auto"/>
              </w:divBdr>
            </w:div>
            <w:div w:id="542058488">
              <w:marLeft w:val="0"/>
              <w:marRight w:val="0"/>
              <w:marTop w:val="0"/>
              <w:marBottom w:val="0"/>
              <w:divBdr>
                <w:top w:val="none" w:sz="0" w:space="0" w:color="auto"/>
                <w:left w:val="none" w:sz="0" w:space="0" w:color="auto"/>
                <w:bottom w:val="none" w:sz="0" w:space="0" w:color="auto"/>
                <w:right w:val="none" w:sz="0" w:space="0" w:color="auto"/>
              </w:divBdr>
            </w:div>
            <w:div w:id="614363941">
              <w:marLeft w:val="0"/>
              <w:marRight w:val="0"/>
              <w:marTop w:val="0"/>
              <w:marBottom w:val="0"/>
              <w:divBdr>
                <w:top w:val="none" w:sz="0" w:space="0" w:color="auto"/>
                <w:left w:val="none" w:sz="0" w:space="0" w:color="auto"/>
                <w:bottom w:val="none" w:sz="0" w:space="0" w:color="auto"/>
                <w:right w:val="none" w:sz="0" w:space="0" w:color="auto"/>
              </w:divBdr>
            </w:div>
            <w:div w:id="887449230">
              <w:marLeft w:val="0"/>
              <w:marRight w:val="0"/>
              <w:marTop w:val="0"/>
              <w:marBottom w:val="0"/>
              <w:divBdr>
                <w:top w:val="none" w:sz="0" w:space="0" w:color="auto"/>
                <w:left w:val="none" w:sz="0" w:space="0" w:color="auto"/>
                <w:bottom w:val="none" w:sz="0" w:space="0" w:color="auto"/>
                <w:right w:val="none" w:sz="0" w:space="0" w:color="auto"/>
              </w:divBdr>
            </w:div>
            <w:div w:id="946159731">
              <w:marLeft w:val="0"/>
              <w:marRight w:val="0"/>
              <w:marTop w:val="0"/>
              <w:marBottom w:val="0"/>
              <w:divBdr>
                <w:top w:val="none" w:sz="0" w:space="0" w:color="auto"/>
                <w:left w:val="none" w:sz="0" w:space="0" w:color="auto"/>
                <w:bottom w:val="none" w:sz="0" w:space="0" w:color="auto"/>
                <w:right w:val="none" w:sz="0" w:space="0" w:color="auto"/>
              </w:divBdr>
            </w:div>
            <w:div w:id="953361230">
              <w:marLeft w:val="0"/>
              <w:marRight w:val="0"/>
              <w:marTop w:val="0"/>
              <w:marBottom w:val="0"/>
              <w:divBdr>
                <w:top w:val="none" w:sz="0" w:space="0" w:color="auto"/>
                <w:left w:val="none" w:sz="0" w:space="0" w:color="auto"/>
                <w:bottom w:val="none" w:sz="0" w:space="0" w:color="auto"/>
                <w:right w:val="none" w:sz="0" w:space="0" w:color="auto"/>
              </w:divBdr>
            </w:div>
            <w:div w:id="1035470780">
              <w:marLeft w:val="0"/>
              <w:marRight w:val="0"/>
              <w:marTop w:val="0"/>
              <w:marBottom w:val="0"/>
              <w:divBdr>
                <w:top w:val="none" w:sz="0" w:space="0" w:color="auto"/>
                <w:left w:val="none" w:sz="0" w:space="0" w:color="auto"/>
                <w:bottom w:val="none" w:sz="0" w:space="0" w:color="auto"/>
                <w:right w:val="none" w:sz="0" w:space="0" w:color="auto"/>
              </w:divBdr>
            </w:div>
            <w:div w:id="1092819203">
              <w:marLeft w:val="0"/>
              <w:marRight w:val="0"/>
              <w:marTop w:val="0"/>
              <w:marBottom w:val="0"/>
              <w:divBdr>
                <w:top w:val="none" w:sz="0" w:space="0" w:color="auto"/>
                <w:left w:val="none" w:sz="0" w:space="0" w:color="auto"/>
                <w:bottom w:val="none" w:sz="0" w:space="0" w:color="auto"/>
                <w:right w:val="none" w:sz="0" w:space="0" w:color="auto"/>
              </w:divBdr>
            </w:div>
            <w:div w:id="1136491708">
              <w:marLeft w:val="0"/>
              <w:marRight w:val="0"/>
              <w:marTop w:val="0"/>
              <w:marBottom w:val="0"/>
              <w:divBdr>
                <w:top w:val="none" w:sz="0" w:space="0" w:color="auto"/>
                <w:left w:val="none" w:sz="0" w:space="0" w:color="auto"/>
                <w:bottom w:val="none" w:sz="0" w:space="0" w:color="auto"/>
                <w:right w:val="none" w:sz="0" w:space="0" w:color="auto"/>
              </w:divBdr>
            </w:div>
            <w:div w:id="1216045021">
              <w:marLeft w:val="0"/>
              <w:marRight w:val="0"/>
              <w:marTop w:val="0"/>
              <w:marBottom w:val="0"/>
              <w:divBdr>
                <w:top w:val="none" w:sz="0" w:space="0" w:color="auto"/>
                <w:left w:val="none" w:sz="0" w:space="0" w:color="auto"/>
                <w:bottom w:val="none" w:sz="0" w:space="0" w:color="auto"/>
                <w:right w:val="none" w:sz="0" w:space="0" w:color="auto"/>
              </w:divBdr>
            </w:div>
            <w:div w:id="1282567782">
              <w:marLeft w:val="0"/>
              <w:marRight w:val="0"/>
              <w:marTop w:val="0"/>
              <w:marBottom w:val="0"/>
              <w:divBdr>
                <w:top w:val="none" w:sz="0" w:space="0" w:color="auto"/>
                <w:left w:val="none" w:sz="0" w:space="0" w:color="auto"/>
                <w:bottom w:val="none" w:sz="0" w:space="0" w:color="auto"/>
                <w:right w:val="none" w:sz="0" w:space="0" w:color="auto"/>
              </w:divBdr>
            </w:div>
            <w:div w:id="1611552568">
              <w:marLeft w:val="0"/>
              <w:marRight w:val="0"/>
              <w:marTop w:val="0"/>
              <w:marBottom w:val="0"/>
              <w:divBdr>
                <w:top w:val="none" w:sz="0" w:space="0" w:color="auto"/>
                <w:left w:val="none" w:sz="0" w:space="0" w:color="auto"/>
                <w:bottom w:val="none" w:sz="0" w:space="0" w:color="auto"/>
                <w:right w:val="none" w:sz="0" w:space="0" w:color="auto"/>
              </w:divBdr>
            </w:div>
            <w:div w:id="1772890802">
              <w:marLeft w:val="0"/>
              <w:marRight w:val="0"/>
              <w:marTop w:val="0"/>
              <w:marBottom w:val="0"/>
              <w:divBdr>
                <w:top w:val="none" w:sz="0" w:space="0" w:color="auto"/>
                <w:left w:val="none" w:sz="0" w:space="0" w:color="auto"/>
                <w:bottom w:val="none" w:sz="0" w:space="0" w:color="auto"/>
                <w:right w:val="none" w:sz="0" w:space="0" w:color="auto"/>
              </w:divBdr>
            </w:div>
            <w:div w:id="1807773188">
              <w:marLeft w:val="0"/>
              <w:marRight w:val="0"/>
              <w:marTop w:val="0"/>
              <w:marBottom w:val="0"/>
              <w:divBdr>
                <w:top w:val="none" w:sz="0" w:space="0" w:color="auto"/>
                <w:left w:val="none" w:sz="0" w:space="0" w:color="auto"/>
                <w:bottom w:val="none" w:sz="0" w:space="0" w:color="auto"/>
                <w:right w:val="none" w:sz="0" w:space="0" w:color="auto"/>
              </w:divBdr>
            </w:div>
            <w:div w:id="1903248867">
              <w:marLeft w:val="0"/>
              <w:marRight w:val="0"/>
              <w:marTop w:val="0"/>
              <w:marBottom w:val="0"/>
              <w:divBdr>
                <w:top w:val="none" w:sz="0" w:space="0" w:color="auto"/>
                <w:left w:val="none" w:sz="0" w:space="0" w:color="auto"/>
                <w:bottom w:val="none" w:sz="0" w:space="0" w:color="auto"/>
                <w:right w:val="none" w:sz="0" w:space="0" w:color="auto"/>
              </w:divBdr>
            </w:div>
          </w:divsChild>
        </w:div>
        <w:div w:id="1160930094">
          <w:marLeft w:val="0"/>
          <w:marRight w:val="0"/>
          <w:marTop w:val="0"/>
          <w:marBottom w:val="0"/>
          <w:divBdr>
            <w:top w:val="none" w:sz="0" w:space="0" w:color="auto"/>
            <w:left w:val="none" w:sz="0" w:space="0" w:color="auto"/>
            <w:bottom w:val="none" w:sz="0" w:space="0" w:color="auto"/>
            <w:right w:val="none" w:sz="0" w:space="0" w:color="auto"/>
          </w:divBdr>
        </w:div>
        <w:div w:id="1410881206">
          <w:marLeft w:val="0"/>
          <w:marRight w:val="0"/>
          <w:marTop w:val="0"/>
          <w:marBottom w:val="0"/>
          <w:divBdr>
            <w:top w:val="none" w:sz="0" w:space="0" w:color="auto"/>
            <w:left w:val="none" w:sz="0" w:space="0" w:color="auto"/>
            <w:bottom w:val="none" w:sz="0" w:space="0" w:color="auto"/>
            <w:right w:val="none" w:sz="0" w:space="0" w:color="auto"/>
          </w:divBdr>
        </w:div>
        <w:div w:id="2089038269">
          <w:marLeft w:val="0"/>
          <w:marRight w:val="0"/>
          <w:marTop w:val="0"/>
          <w:marBottom w:val="0"/>
          <w:divBdr>
            <w:top w:val="none" w:sz="0" w:space="0" w:color="auto"/>
            <w:left w:val="none" w:sz="0" w:space="0" w:color="auto"/>
            <w:bottom w:val="none" w:sz="0" w:space="0" w:color="auto"/>
            <w:right w:val="none" w:sz="0" w:space="0" w:color="auto"/>
          </w:divBdr>
        </w:div>
      </w:divsChild>
    </w:div>
    <w:div w:id="1978532400">
      <w:bodyDiv w:val="1"/>
      <w:marLeft w:val="0"/>
      <w:marRight w:val="0"/>
      <w:marTop w:val="0"/>
      <w:marBottom w:val="0"/>
      <w:divBdr>
        <w:top w:val="none" w:sz="0" w:space="0" w:color="auto"/>
        <w:left w:val="none" w:sz="0" w:space="0" w:color="auto"/>
        <w:bottom w:val="none" w:sz="0" w:space="0" w:color="auto"/>
        <w:right w:val="none" w:sz="0" w:space="0" w:color="auto"/>
      </w:divBdr>
      <w:divsChild>
        <w:div w:id="700320782">
          <w:marLeft w:val="0"/>
          <w:marRight w:val="0"/>
          <w:marTop w:val="0"/>
          <w:marBottom w:val="0"/>
          <w:divBdr>
            <w:top w:val="none" w:sz="0" w:space="0" w:color="auto"/>
            <w:left w:val="none" w:sz="0" w:space="0" w:color="auto"/>
            <w:bottom w:val="none" w:sz="0" w:space="0" w:color="auto"/>
            <w:right w:val="none" w:sz="0" w:space="0" w:color="auto"/>
          </w:divBdr>
        </w:div>
        <w:div w:id="951935776">
          <w:marLeft w:val="0"/>
          <w:marRight w:val="0"/>
          <w:marTop w:val="0"/>
          <w:marBottom w:val="0"/>
          <w:divBdr>
            <w:top w:val="none" w:sz="0" w:space="0" w:color="auto"/>
            <w:left w:val="none" w:sz="0" w:space="0" w:color="auto"/>
            <w:bottom w:val="none" w:sz="0" w:space="0" w:color="auto"/>
            <w:right w:val="none" w:sz="0" w:space="0" w:color="auto"/>
          </w:divBdr>
        </w:div>
        <w:div w:id="1426340699">
          <w:marLeft w:val="0"/>
          <w:marRight w:val="0"/>
          <w:marTop w:val="0"/>
          <w:marBottom w:val="0"/>
          <w:divBdr>
            <w:top w:val="none" w:sz="0" w:space="0" w:color="auto"/>
            <w:left w:val="none" w:sz="0" w:space="0" w:color="auto"/>
            <w:bottom w:val="none" w:sz="0" w:space="0" w:color="auto"/>
            <w:right w:val="none" w:sz="0" w:space="0" w:color="auto"/>
          </w:divBdr>
          <w:divsChild>
            <w:div w:id="1884095834">
              <w:marLeft w:val="-75"/>
              <w:marRight w:val="0"/>
              <w:marTop w:val="30"/>
              <w:marBottom w:val="30"/>
              <w:divBdr>
                <w:top w:val="none" w:sz="0" w:space="0" w:color="auto"/>
                <w:left w:val="none" w:sz="0" w:space="0" w:color="auto"/>
                <w:bottom w:val="none" w:sz="0" w:space="0" w:color="auto"/>
                <w:right w:val="none" w:sz="0" w:space="0" w:color="auto"/>
              </w:divBdr>
              <w:divsChild>
                <w:div w:id="464741336">
                  <w:marLeft w:val="0"/>
                  <w:marRight w:val="0"/>
                  <w:marTop w:val="0"/>
                  <w:marBottom w:val="0"/>
                  <w:divBdr>
                    <w:top w:val="none" w:sz="0" w:space="0" w:color="auto"/>
                    <w:left w:val="none" w:sz="0" w:space="0" w:color="auto"/>
                    <w:bottom w:val="none" w:sz="0" w:space="0" w:color="auto"/>
                    <w:right w:val="none" w:sz="0" w:space="0" w:color="auto"/>
                  </w:divBdr>
                  <w:divsChild>
                    <w:div w:id="605190377">
                      <w:marLeft w:val="0"/>
                      <w:marRight w:val="0"/>
                      <w:marTop w:val="0"/>
                      <w:marBottom w:val="0"/>
                      <w:divBdr>
                        <w:top w:val="none" w:sz="0" w:space="0" w:color="auto"/>
                        <w:left w:val="none" w:sz="0" w:space="0" w:color="auto"/>
                        <w:bottom w:val="none" w:sz="0" w:space="0" w:color="auto"/>
                        <w:right w:val="none" w:sz="0" w:space="0" w:color="auto"/>
                      </w:divBdr>
                    </w:div>
                  </w:divsChild>
                </w:div>
                <w:div w:id="504128442">
                  <w:marLeft w:val="0"/>
                  <w:marRight w:val="0"/>
                  <w:marTop w:val="0"/>
                  <w:marBottom w:val="0"/>
                  <w:divBdr>
                    <w:top w:val="none" w:sz="0" w:space="0" w:color="auto"/>
                    <w:left w:val="none" w:sz="0" w:space="0" w:color="auto"/>
                    <w:bottom w:val="none" w:sz="0" w:space="0" w:color="auto"/>
                    <w:right w:val="none" w:sz="0" w:space="0" w:color="auto"/>
                  </w:divBdr>
                  <w:divsChild>
                    <w:div w:id="456460706">
                      <w:marLeft w:val="0"/>
                      <w:marRight w:val="0"/>
                      <w:marTop w:val="0"/>
                      <w:marBottom w:val="0"/>
                      <w:divBdr>
                        <w:top w:val="none" w:sz="0" w:space="0" w:color="auto"/>
                        <w:left w:val="none" w:sz="0" w:space="0" w:color="auto"/>
                        <w:bottom w:val="none" w:sz="0" w:space="0" w:color="auto"/>
                        <w:right w:val="none" w:sz="0" w:space="0" w:color="auto"/>
                      </w:divBdr>
                    </w:div>
                  </w:divsChild>
                </w:div>
                <w:div w:id="570430184">
                  <w:marLeft w:val="0"/>
                  <w:marRight w:val="0"/>
                  <w:marTop w:val="0"/>
                  <w:marBottom w:val="0"/>
                  <w:divBdr>
                    <w:top w:val="none" w:sz="0" w:space="0" w:color="auto"/>
                    <w:left w:val="none" w:sz="0" w:space="0" w:color="auto"/>
                    <w:bottom w:val="none" w:sz="0" w:space="0" w:color="auto"/>
                    <w:right w:val="none" w:sz="0" w:space="0" w:color="auto"/>
                  </w:divBdr>
                  <w:divsChild>
                    <w:div w:id="42027820">
                      <w:marLeft w:val="0"/>
                      <w:marRight w:val="0"/>
                      <w:marTop w:val="0"/>
                      <w:marBottom w:val="0"/>
                      <w:divBdr>
                        <w:top w:val="none" w:sz="0" w:space="0" w:color="auto"/>
                        <w:left w:val="none" w:sz="0" w:space="0" w:color="auto"/>
                        <w:bottom w:val="none" w:sz="0" w:space="0" w:color="auto"/>
                        <w:right w:val="none" w:sz="0" w:space="0" w:color="auto"/>
                      </w:divBdr>
                    </w:div>
                    <w:div w:id="1987009350">
                      <w:marLeft w:val="0"/>
                      <w:marRight w:val="0"/>
                      <w:marTop w:val="0"/>
                      <w:marBottom w:val="0"/>
                      <w:divBdr>
                        <w:top w:val="none" w:sz="0" w:space="0" w:color="auto"/>
                        <w:left w:val="none" w:sz="0" w:space="0" w:color="auto"/>
                        <w:bottom w:val="none" w:sz="0" w:space="0" w:color="auto"/>
                        <w:right w:val="none" w:sz="0" w:space="0" w:color="auto"/>
                      </w:divBdr>
                    </w:div>
                  </w:divsChild>
                </w:div>
                <w:div w:id="1096973195">
                  <w:marLeft w:val="0"/>
                  <w:marRight w:val="0"/>
                  <w:marTop w:val="0"/>
                  <w:marBottom w:val="0"/>
                  <w:divBdr>
                    <w:top w:val="none" w:sz="0" w:space="0" w:color="auto"/>
                    <w:left w:val="none" w:sz="0" w:space="0" w:color="auto"/>
                    <w:bottom w:val="none" w:sz="0" w:space="0" w:color="auto"/>
                    <w:right w:val="none" w:sz="0" w:space="0" w:color="auto"/>
                  </w:divBdr>
                  <w:divsChild>
                    <w:div w:id="1026561848">
                      <w:marLeft w:val="0"/>
                      <w:marRight w:val="0"/>
                      <w:marTop w:val="0"/>
                      <w:marBottom w:val="0"/>
                      <w:divBdr>
                        <w:top w:val="none" w:sz="0" w:space="0" w:color="auto"/>
                        <w:left w:val="none" w:sz="0" w:space="0" w:color="auto"/>
                        <w:bottom w:val="none" w:sz="0" w:space="0" w:color="auto"/>
                        <w:right w:val="none" w:sz="0" w:space="0" w:color="auto"/>
                      </w:divBdr>
                    </w:div>
                    <w:div w:id="1840804013">
                      <w:marLeft w:val="0"/>
                      <w:marRight w:val="0"/>
                      <w:marTop w:val="0"/>
                      <w:marBottom w:val="0"/>
                      <w:divBdr>
                        <w:top w:val="none" w:sz="0" w:space="0" w:color="auto"/>
                        <w:left w:val="none" w:sz="0" w:space="0" w:color="auto"/>
                        <w:bottom w:val="none" w:sz="0" w:space="0" w:color="auto"/>
                        <w:right w:val="none" w:sz="0" w:space="0" w:color="auto"/>
                      </w:divBdr>
                    </w:div>
                  </w:divsChild>
                </w:div>
                <w:div w:id="1201474515">
                  <w:marLeft w:val="0"/>
                  <w:marRight w:val="0"/>
                  <w:marTop w:val="0"/>
                  <w:marBottom w:val="0"/>
                  <w:divBdr>
                    <w:top w:val="none" w:sz="0" w:space="0" w:color="auto"/>
                    <w:left w:val="none" w:sz="0" w:space="0" w:color="auto"/>
                    <w:bottom w:val="none" w:sz="0" w:space="0" w:color="auto"/>
                    <w:right w:val="none" w:sz="0" w:space="0" w:color="auto"/>
                  </w:divBdr>
                  <w:divsChild>
                    <w:div w:id="1722360796">
                      <w:marLeft w:val="0"/>
                      <w:marRight w:val="0"/>
                      <w:marTop w:val="0"/>
                      <w:marBottom w:val="0"/>
                      <w:divBdr>
                        <w:top w:val="none" w:sz="0" w:space="0" w:color="auto"/>
                        <w:left w:val="none" w:sz="0" w:space="0" w:color="auto"/>
                        <w:bottom w:val="none" w:sz="0" w:space="0" w:color="auto"/>
                        <w:right w:val="none" w:sz="0" w:space="0" w:color="auto"/>
                      </w:divBdr>
                    </w:div>
                    <w:div w:id="1972052530">
                      <w:marLeft w:val="0"/>
                      <w:marRight w:val="0"/>
                      <w:marTop w:val="0"/>
                      <w:marBottom w:val="0"/>
                      <w:divBdr>
                        <w:top w:val="none" w:sz="0" w:space="0" w:color="auto"/>
                        <w:left w:val="none" w:sz="0" w:space="0" w:color="auto"/>
                        <w:bottom w:val="none" w:sz="0" w:space="0" w:color="auto"/>
                        <w:right w:val="none" w:sz="0" w:space="0" w:color="auto"/>
                      </w:divBdr>
                    </w:div>
                  </w:divsChild>
                </w:div>
                <w:div w:id="1310358222">
                  <w:marLeft w:val="0"/>
                  <w:marRight w:val="0"/>
                  <w:marTop w:val="0"/>
                  <w:marBottom w:val="0"/>
                  <w:divBdr>
                    <w:top w:val="none" w:sz="0" w:space="0" w:color="auto"/>
                    <w:left w:val="none" w:sz="0" w:space="0" w:color="auto"/>
                    <w:bottom w:val="none" w:sz="0" w:space="0" w:color="auto"/>
                    <w:right w:val="none" w:sz="0" w:space="0" w:color="auto"/>
                  </w:divBdr>
                  <w:divsChild>
                    <w:div w:id="1825704639">
                      <w:marLeft w:val="0"/>
                      <w:marRight w:val="0"/>
                      <w:marTop w:val="0"/>
                      <w:marBottom w:val="0"/>
                      <w:divBdr>
                        <w:top w:val="none" w:sz="0" w:space="0" w:color="auto"/>
                        <w:left w:val="none" w:sz="0" w:space="0" w:color="auto"/>
                        <w:bottom w:val="none" w:sz="0" w:space="0" w:color="auto"/>
                        <w:right w:val="none" w:sz="0" w:space="0" w:color="auto"/>
                      </w:divBdr>
                    </w:div>
                  </w:divsChild>
                </w:div>
                <w:div w:id="1514412752">
                  <w:marLeft w:val="0"/>
                  <w:marRight w:val="0"/>
                  <w:marTop w:val="0"/>
                  <w:marBottom w:val="0"/>
                  <w:divBdr>
                    <w:top w:val="none" w:sz="0" w:space="0" w:color="auto"/>
                    <w:left w:val="none" w:sz="0" w:space="0" w:color="auto"/>
                    <w:bottom w:val="none" w:sz="0" w:space="0" w:color="auto"/>
                    <w:right w:val="none" w:sz="0" w:space="0" w:color="auto"/>
                  </w:divBdr>
                  <w:divsChild>
                    <w:div w:id="924923790">
                      <w:marLeft w:val="0"/>
                      <w:marRight w:val="0"/>
                      <w:marTop w:val="0"/>
                      <w:marBottom w:val="0"/>
                      <w:divBdr>
                        <w:top w:val="none" w:sz="0" w:space="0" w:color="auto"/>
                        <w:left w:val="none" w:sz="0" w:space="0" w:color="auto"/>
                        <w:bottom w:val="none" w:sz="0" w:space="0" w:color="auto"/>
                        <w:right w:val="none" w:sz="0" w:space="0" w:color="auto"/>
                      </w:divBdr>
                    </w:div>
                  </w:divsChild>
                </w:div>
                <w:div w:id="1662538340">
                  <w:marLeft w:val="0"/>
                  <w:marRight w:val="0"/>
                  <w:marTop w:val="0"/>
                  <w:marBottom w:val="0"/>
                  <w:divBdr>
                    <w:top w:val="none" w:sz="0" w:space="0" w:color="auto"/>
                    <w:left w:val="none" w:sz="0" w:space="0" w:color="auto"/>
                    <w:bottom w:val="none" w:sz="0" w:space="0" w:color="auto"/>
                    <w:right w:val="none" w:sz="0" w:space="0" w:color="auto"/>
                  </w:divBdr>
                  <w:divsChild>
                    <w:div w:id="18735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9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A2D1730B-AEF2-45FD-912B-8E754A28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6344</Characters>
  <Application>Microsoft Office Word</Application>
  <DocSecurity>0</DocSecurity>
  <Lines>264</Lines>
  <Paragraphs>76</Paragraphs>
  <ScaleCrop>false</ScaleCrop>
  <HeadingPairs>
    <vt:vector size="2" baseType="variant">
      <vt:variant>
        <vt:lpstr>Title</vt:lpstr>
      </vt:variant>
      <vt:variant>
        <vt:i4>1</vt:i4>
      </vt:variant>
    </vt:vector>
  </HeadingPairs>
  <TitlesOfParts>
    <vt:vector size="1" baseType="lpstr">
      <vt:lpstr>BESE April 29, 2025 Regular Meeting Item 3: Proposed Amendments to Regulations on Regional School Districts, 603 CMR 41.00 — Spanish</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3: Proposed Amendments to Regulations on Regional School Districts, 603 CMR 41.00 — Spanish</dc:title>
  <dc:subject/>
  <dc:creator>DESE</dc:creator>
  <cp:keywords/>
  <dc:description/>
  <cp:lastModifiedBy>Zou, Dong (EOE)</cp:lastModifiedBy>
  <cp:revision>7</cp:revision>
  <dcterms:created xsi:type="dcterms:W3CDTF">2025-04-17T14:23:00Z</dcterms:created>
  <dcterms:modified xsi:type="dcterms:W3CDTF">2025-04-29T21:36:00Z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2025 12:00AM</vt:lpwstr>
  </property>
</Properties>
</file>