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1EC7" w14:textId="77777777" w:rsidR="00032C6B" w:rsidRDefault="00032C6B"/>
    <w:p w14:paraId="4569BE3F" w14:textId="77777777" w:rsidR="00C84EE3" w:rsidRDefault="00C84EE3"/>
    <w:p w14:paraId="66DAF1F0" w14:textId="77777777" w:rsidR="000F11A7" w:rsidRDefault="000F11A7">
      <w:pPr>
        <w:sectPr w:rsidR="000F11A7" w:rsidSect="00C84EE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00F3508" w14:textId="77777777" w:rsidR="00C3665B" w:rsidRPr="00C3665B" w:rsidRDefault="00C3665B" w:rsidP="00C3665B">
      <w:pPr>
        <w:keepNext/>
        <w:keepLines/>
        <w:spacing w:before="360" w:after="80" w:line="240" w:lineRule="auto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3665B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MEMORANDUM</w:t>
      </w:r>
    </w:p>
    <w:p w14:paraId="1272747C" w14:textId="77777777" w:rsidR="00C3665B" w:rsidRPr="00C3665B" w:rsidRDefault="00C3665B" w:rsidP="00C3665B">
      <w:pPr>
        <w:widowControl w:val="0"/>
        <w:tabs>
          <w:tab w:val="center" w:pos="4680"/>
          <w:tab w:val="right" w:pos="9360"/>
        </w:tabs>
        <w:spacing w:after="0" w:line="240" w:lineRule="auto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C3665B" w:rsidRPr="00C3665B" w14:paraId="30B0F129" w14:textId="77777777" w:rsidTr="49D51E1F">
        <w:tc>
          <w:tcPr>
            <w:tcW w:w="1184" w:type="dxa"/>
          </w:tcPr>
          <w:p w14:paraId="4BEB8732" w14:textId="77777777" w:rsidR="00C3665B" w:rsidRPr="00C3665B" w:rsidRDefault="00C3665B" w:rsidP="00C3665B">
            <w:pPr>
              <w:spacing w:after="0" w:line="240" w:lineRule="auto"/>
              <w:rPr>
                <w:b/>
              </w:rPr>
            </w:pPr>
            <w:r w:rsidRPr="00C3665B">
              <w:rPr>
                <w:b/>
              </w:rPr>
              <w:t>To:</w:t>
            </w:r>
          </w:p>
        </w:tc>
        <w:tc>
          <w:tcPr>
            <w:tcW w:w="8176" w:type="dxa"/>
          </w:tcPr>
          <w:p w14:paraId="25AE7450" w14:textId="111C3501" w:rsidR="00C3665B" w:rsidRPr="00C3665B" w:rsidRDefault="002C2248" w:rsidP="19B9BC4E">
            <w:pPr>
              <w:widowControl w:val="0"/>
              <w:tabs>
                <w:tab w:val="center" w:pos="4680"/>
                <w:tab w:val="right" w:pos="9360"/>
              </w:tabs>
              <w:spacing w:after="240" w:line="240" w:lineRule="auto"/>
            </w:pPr>
            <w:r w:rsidRPr="19B9BC4E">
              <w:rPr>
                <w:snapToGrid w:val="0"/>
              </w:rPr>
              <w:t>Members of the Board of Elementary and Secondary Education </w:t>
            </w:r>
          </w:p>
        </w:tc>
      </w:tr>
      <w:tr w:rsidR="00C3665B" w:rsidRPr="00C3665B" w14:paraId="014ADFC2" w14:textId="77777777" w:rsidTr="49D51E1F">
        <w:tc>
          <w:tcPr>
            <w:tcW w:w="1184" w:type="dxa"/>
          </w:tcPr>
          <w:p w14:paraId="0F209268" w14:textId="77777777" w:rsidR="00C3665B" w:rsidRPr="00C3665B" w:rsidRDefault="00C3665B" w:rsidP="00C3665B">
            <w:pPr>
              <w:spacing w:after="0" w:line="240" w:lineRule="auto"/>
              <w:rPr>
                <w:b/>
              </w:rPr>
            </w:pPr>
            <w:r w:rsidRPr="00C3665B">
              <w:rPr>
                <w:b/>
              </w:rPr>
              <w:t>From:</w:t>
            </w:r>
            <w:r w:rsidRPr="00C3665B">
              <w:tab/>
            </w:r>
          </w:p>
        </w:tc>
        <w:tc>
          <w:tcPr>
            <w:tcW w:w="8176" w:type="dxa"/>
          </w:tcPr>
          <w:p w14:paraId="6F9D5175" w14:textId="10BBCD26" w:rsidR="00C3665B" w:rsidRPr="00C3665B" w:rsidRDefault="00E0707D" w:rsidP="19B9BC4E">
            <w:pPr>
              <w:widowControl w:val="0"/>
              <w:tabs>
                <w:tab w:val="center" w:pos="4680"/>
                <w:tab w:val="right" w:pos="9360"/>
              </w:tabs>
              <w:spacing w:after="240" w:line="240" w:lineRule="auto"/>
            </w:pPr>
            <w:r w:rsidRPr="19B9BC4E">
              <w:rPr>
                <w:snapToGrid w:val="0"/>
              </w:rPr>
              <w:t>Patrick Tutwiler</w:t>
            </w:r>
            <w:r w:rsidR="00C3665B" w:rsidRPr="00C3665B">
              <w:rPr>
                <w:bCs/>
                <w:snapToGrid w:val="0"/>
              </w:rPr>
              <w:t xml:space="preserve">, </w:t>
            </w:r>
            <w:r w:rsidRPr="19B9BC4E">
              <w:rPr>
                <w:snapToGrid w:val="0"/>
              </w:rPr>
              <w:t>Interim</w:t>
            </w:r>
            <w:r w:rsidR="00C3665B" w:rsidRPr="19B9BC4E">
              <w:rPr>
                <w:snapToGrid w:val="0"/>
              </w:rPr>
              <w:t xml:space="preserve"> Commissioner</w:t>
            </w:r>
          </w:p>
        </w:tc>
      </w:tr>
      <w:tr w:rsidR="00C3665B" w:rsidRPr="00C3665B" w14:paraId="02FD8403" w14:textId="77777777" w:rsidTr="49D51E1F">
        <w:tc>
          <w:tcPr>
            <w:tcW w:w="1184" w:type="dxa"/>
          </w:tcPr>
          <w:p w14:paraId="3076B878" w14:textId="77777777" w:rsidR="00C3665B" w:rsidRPr="00C3665B" w:rsidRDefault="00C3665B" w:rsidP="00C3665B">
            <w:pPr>
              <w:spacing w:after="0" w:line="240" w:lineRule="auto"/>
              <w:rPr>
                <w:b/>
              </w:rPr>
            </w:pPr>
            <w:r w:rsidRPr="00C3665B">
              <w:rPr>
                <w:b/>
              </w:rPr>
              <w:t>Date:</w:t>
            </w:r>
            <w:r w:rsidRPr="00C3665B">
              <w:tab/>
            </w:r>
          </w:p>
        </w:tc>
        <w:tc>
          <w:tcPr>
            <w:tcW w:w="8176" w:type="dxa"/>
          </w:tcPr>
          <w:p w14:paraId="558FA6C4" w14:textId="3781DD63" w:rsidR="00C3665B" w:rsidRPr="00C3665B" w:rsidRDefault="3C131D23" w:rsidP="19B9BC4E">
            <w:pPr>
              <w:widowControl w:val="0"/>
              <w:tabs>
                <w:tab w:val="center" w:pos="4680"/>
                <w:tab w:val="right" w:pos="9360"/>
              </w:tabs>
              <w:spacing w:after="240" w:line="240" w:lineRule="auto"/>
            </w:pPr>
            <w:r>
              <w:t xml:space="preserve">May </w:t>
            </w:r>
            <w:r w:rsidR="00B4480F">
              <w:t>13</w:t>
            </w:r>
            <w:r w:rsidR="00C3665B">
              <w:t>, 202</w:t>
            </w:r>
            <w:r w:rsidR="00E0707D">
              <w:t>5</w:t>
            </w:r>
          </w:p>
        </w:tc>
      </w:tr>
      <w:tr w:rsidR="00C3665B" w:rsidRPr="00C3665B" w14:paraId="3A43128D" w14:textId="77777777" w:rsidTr="49D51E1F">
        <w:tc>
          <w:tcPr>
            <w:tcW w:w="1184" w:type="dxa"/>
          </w:tcPr>
          <w:p w14:paraId="52BE17F1" w14:textId="77777777" w:rsidR="00C3665B" w:rsidRPr="00C3665B" w:rsidRDefault="00C3665B" w:rsidP="00C3665B">
            <w:pPr>
              <w:spacing w:after="0" w:line="240" w:lineRule="auto"/>
              <w:rPr>
                <w:b/>
              </w:rPr>
            </w:pPr>
            <w:r w:rsidRPr="00C3665B"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61A962E0" w14:textId="3AF48482" w:rsidR="00C3665B" w:rsidRPr="00C3665B" w:rsidRDefault="00814608" w:rsidP="00C3665B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</w:pPr>
            <w:r>
              <w:t>Career Technical Education: Amendments to Regulations on Vocational Technical Education, 603 CMR 4.00 (Recruitment and Admissions)</w:t>
            </w:r>
            <w:r w:rsidR="21718C76">
              <w:t>, for Final Adoption</w:t>
            </w:r>
          </w:p>
        </w:tc>
      </w:tr>
    </w:tbl>
    <w:p w14:paraId="3A2B89A2" w14:textId="77777777" w:rsidR="00C3665B" w:rsidRPr="00C3665B" w:rsidRDefault="00C3665B" w:rsidP="00C3665B">
      <w:pPr>
        <w:pBdr>
          <w:bottom w:val="single" w:sz="4" w:space="1" w:color="auto"/>
        </w:pBdr>
        <w:spacing w:after="0" w:line="240" w:lineRule="auto"/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246FBEE1" w14:textId="77777777" w:rsidR="00B150A1" w:rsidRPr="00BD03F6" w:rsidRDefault="00B150A1" w:rsidP="00BD03F6">
      <w:pPr>
        <w:spacing w:after="0"/>
      </w:pPr>
    </w:p>
    <w:p w14:paraId="454239BF" w14:textId="77777777" w:rsidR="002E4BDE" w:rsidRPr="00BD03F6" w:rsidRDefault="002E4BDE" w:rsidP="00BD03F6">
      <w:pPr>
        <w:spacing w:after="0"/>
        <w:sectPr w:rsidR="002E4BDE" w:rsidRPr="00BD03F6" w:rsidSect="00725BB6"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4C8802" w14:textId="37FA7CDC" w:rsidR="618CEE35" w:rsidRDefault="618CEE35" w:rsidP="70C0BD02">
      <w:r>
        <w:t xml:space="preserve">In </w:t>
      </w:r>
      <w:r w:rsidR="00814608">
        <w:t>March</w:t>
      </w:r>
      <w:r>
        <w:t xml:space="preserve"> 2025, the Board of Elementary and Secondary Education (Board) voted to solicit public comments on proposed amendments to the </w:t>
      </w:r>
      <w:r w:rsidR="00814608">
        <w:t>r</w:t>
      </w:r>
      <w:r>
        <w:t xml:space="preserve">egulations on </w:t>
      </w:r>
      <w:r w:rsidR="00814608">
        <w:t>Vocational Technical Education</w:t>
      </w:r>
      <w:r w:rsidR="7A8DFCA3">
        <w:t xml:space="preserve"> (603 CMR 4.00)</w:t>
      </w:r>
      <w:r>
        <w:t xml:space="preserve">. </w:t>
      </w:r>
      <w:r w:rsidR="6D82B248">
        <w:t xml:space="preserve">The Department of Elementary and Secondary Education (Department) invited public </w:t>
      </w:r>
      <w:proofErr w:type="gramStart"/>
      <w:r w:rsidR="6D82B248">
        <w:t>comment</w:t>
      </w:r>
      <w:proofErr w:type="gramEnd"/>
      <w:r w:rsidR="6D82B248">
        <w:t xml:space="preserve"> on the proposed regulatory changes from </w:t>
      </w:r>
      <w:r w:rsidR="696CC582">
        <w:t>March 11 to April 18, 2025</w:t>
      </w:r>
      <w:r w:rsidR="6D82B248">
        <w:t>. As di</w:t>
      </w:r>
      <w:r w:rsidR="13FA7B28">
        <w:t>scussed below, b</w:t>
      </w:r>
      <w:r w:rsidR="75CBAAFE">
        <w:t xml:space="preserve">ased </w:t>
      </w:r>
      <w:r w:rsidR="1F364A65">
        <w:t>on</w:t>
      </w:r>
      <w:r w:rsidR="75CBAAFE">
        <w:t xml:space="preserve"> the comments received, I am recommending additional changes to the regulations. </w:t>
      </w:r>
      <w:r w:rsidR="626DEB64">
        <w:t>Enclosed</w:t>
      </w:r>
      <w:r w:rsidR="75CBAAFE">
        <w:t xml:space="preserve"> with this memorandum are the amended regulations, 603 CMR </w:t>
      </w:r>
      <w:r w:rsidR="00814608">
        <w:t>4</w:t>
      </w:r>
      <w:r w:rsidR="75CBAAFE">
        <w:t>.00</w:t>
      </w:r>
      <w:r w:rsidR="1AD957B7">
        <w:t xml:space="preserve">, for final adoption. </w:t>
      </w:r>
    </w:p>
    <w:p w14:paraId="7AF6C116" w14:textId="1FE1C71A" w:rsidR="7280D2D2" w:rsidRDefault="7280D2D2" w:rsidP="3698AF5A">
      <w:pPr>
        <w:rPr>
          <w:b/>
          <w:bCs/>
        </w:rPr>
      </w:pPr>
      <w:r w:rsidRPr="3698AF5A">
        <w:rPr>
          <w:b/>
          <w:bCs/>
        </w:rPr>
        <w:t>Background</w:t>
      </w:r>
    </w:p>
    <w:p w14:paraId="684E9F6C" w14:textId="0793577A" w:rsidR="7280D2D2" w:rsidRDefault="4A1F8FBF">
      <w:proofErr w:type="gramStart"/>
      <w:r>
        <w:t xml:space="preserve">The </w:t>
      </w:r>
      <w:r w:rsidR="2A774B3D">
        <w:t>March</w:t>
      </w:r>
      <w:proofErr w:type="gramEnd"/>
      <w:r w:rsidR="2A774B3D">
        <w:t xml:space="preserve"> 10, </w:t>
      </w:r>
      <w:proofErr w:type="gramStart"/>
      <w:r w:rsidR="2A774B3D">
        <w:t>2025</w:t>
      </w:r>
      <w:proofErr w:type="gramEnd"/>
      <w:r w:rsidR="2A774B3D">
        <w:t xml:space="preserve"> </w:t>
      </w:r>
      <w:r>
        <w:t xml:space="preserve">proposed amendments to the regulations address changes in the </w:t>
      </w:r>
      <w:r w:rsidR="37F5F677">
        <w:t xml:space="preserve">admissions </w:t>
      </w:r>
      <w:r w:rsidR="79F26684">
        <w:t>practices</w:t>
      </w:r>
      <w:r>
        <w:t xml:space="preserve"> and are designed to focus on </w:t>
      </w:r>
      <w:r w:rsidR="717ADD94">
        <w:t>access</w:t>
      </w:r>
      <w:r>
        <w:t>. Key provisions in the proposed amendments</w:t>
      </w:r>
      <w:r w:rsidR="6D88BB47">
        <w:t xml:space="preserve"> that went out for public comment</w:t>
      </w:r>
      <w:r>
        <w:t xml:space="preserve"> include the following:</w:t>
      </w:r>
    </w:p>
    <w:p w14:paraId="0FAE2A7D" w14:textId="0CEC5D08" w:rsidR="69E1F809" w:rsidRDefault="69E1F809" w:rsidP="00623609">
      <w:pPr>
        <w:pStyle w:val="ListParagraph"/>
        <w:numPr>
          <w:ilvl w:val="0"/>
          <w:numId w:val="3"/>
        </w:numPr>
        <w:spacing w:before="120" w:after="240" w:line="240" w:lineRule="auto"/>
        <w:contextualSpacing w:val="0"/>
      </w:pPr>
      <w:r>
        <w:t>Weighted admissions lottery.</w:t>
      </w:r>
    </w:p>
    <w:p w14:paraId="7B1FD66E" w14:textId="7D83166B" w:rsidR="2B1154ED" w:rsidRPr="00623609" w:rsidRDefault="69E1F809" w:rsidP="2B1154ED">
      <w:r w:rsidRPr="00623609">
        <w:t>The amended regulations introduce a weighted lottery system in which all students who apply enter the lottery for admission</w:t>
      </w:r>
      <w:r w:rsidR="51394E11" w:rsidRPr="00623609">
        <w:t xml:space="preserve"> and </w:t>
      </w:r>
      <w:r w:rsidR="2557B62F" w:rsidRPr="00623609">
        <w:t>students without major disciplinary infractions and students without 27 or more unexcu</w:t>
      </w:r>
      <w:r w:rsidR="6A0E4756" w:rsidRPr="00623609">
        <w:t>sed absences in the prior 270 school days, receive an extra weight per criterion.</w:t>
      </w:r>
      <w:r w:rsidR="18D3230F" w:rsidRPr="00623609">
        <w:t xml:space="preserve"> </w:t>
      </w:r>
      <w:r w:rsidR="05EFF1D5" w:rsidRPr="00623609">
        <w:t xml:space="preserve">The amended regulations also provide a standardized admissions cycle for school level admissions. </w:t>
      </w:r>
    </w:p>
    <w:p w14:paraId="10E4F29C" w14:textId="02CB466D" w:rsidR="2B1154ED" w:rsidRDefault="6A0E4756" w:rsidP="00623609">
      <w:pPr>
        <w:pStyle w:val="ListParagraph"/>
        <w:numPr>
          <w:ilvl w:val="0"/>
          <w:numId w:val="3"/>
        </w:numPr>
        <w:spacing w:before="120" w:after="240" w:line="240" w:lineRule="auto"/>
        <w:contextualSpacing w:val="0"/>
        <w:rPr>
          <w:rFonts w:ascii="Aptos" w:eastAsia="Aptos" w:hAnsi="Aptos" w:cs="Aptos"/>
        </w:rPr>
      </w:pPr>
      <w:r w:rsidRPr="2B1154ED">
        <w:rPr>
          <w:rFonts w:ascii="Aptos" w:eastAsia="Aptos" w:hAnsi="Aptos" w:cs="Aptos"/>
        </w:rPr>
        <w:t xml:space="preserve">Student interest. </w:t>
      </w:r>
    </w:p>
    <w:p w14:paraId="4126FFE2" w14:textId="44B00B2C" w:rsidR="2B1154ED" w:rsidRPr="00623609" w:rsidRDefault="6A0E4756" w:rsidP="00623609">
      <w:r w:rsidRPr="00623609">
        <w:lastRenderedPageBreak/>
        <w:t xml:space="preserve">The amended regulations add language that would permit schools and programs to require students to include an indication of interest in career technical education in their applications, provided that the </w:t>
      </w:r>
      <w:r w:rsidR="1ABAB399" w:rsidRPr="00623609">
        <w:t>CTE school or program holds at least two open houses and at least three virtual information sessions each school year.</w:t>
      </w:r>
    </w:p>
    <w:p w14:paraId="1ACA9D1A" w14:textId="1F4B56E3" w:rsidR="1ABAB399" w:rsidRDefault="1ABAB399" w:rsidP="00623609">
      <w:pPr>
        <w:pStyle w:val="ListParagraph"/>
        <w:numPr>
          <w:ilvl w:val="0"/>
          <w:numId w:val="3"/>
        </w:numPr>
        <w:spacing w:before="120" w:after="240" w:line="240" w:lineRule="auto"/>
        <w:contextualSpacing w:val="0"/>
        <w:rPr>
          <w:rFonts w:ascii="Aptos" w:eastAsia="Aptos" w:hAnsi="Aptos" w:cs="Aptos"/>
        </w:rPr>
      </w:pPr>
      <w:r w:rsidRPr="2B1154ED">
        <w:rPr>
          <w:rFonts w:ascii="Aptos" w:eastAsia="Aptos" w:hAnsi="Aptos" w:cs="Aptos"/>
        </w:rPr>
        <w:t>Middle school exploration.</w:t>
      </w:r>
    </w:p>
    <w:p w14:paraId="46404849" w14:textId="494F9C9E" w:rsidR="127A0B06" w:rsidRPr="00623609" w:rsidRDefault="1ABAB399" w:rsidP="00623609">
      <w:r w:rsidRPr="00623609">
        <w:t>The proposed regulations require sending districts to provide middle school students with information and opportunities to explore CTE schools and programs.</w:t>
      </w:r>
    </w:p>
    <w:p w14:paraId="58C5CC2D" w14:textId="178021F2" w:rsidR="691C5AD5" w:rsidRDefault="691C5AD5" w:rsidP="00623609">
      <w:pPr>
        <w:pStyle w:val="ListParagraph"/>
        <w:numPr>
          <w:ilvl w:val="0"/>
          <w:numId w:val="3"/>
        </w:numPr>
        <w:spacing w:before="120" w:after="240" w:line="240" w:lineRule="auto"/>
        <w:contextualSpacing w:val="0"/>
        <w:rPr>
          <w:rFonts w:ascii="Aptos" w:eastAsia="Aptos" w:hAnsi="Aptos" w:cs="Aptos"/>
        </w:rPr>
      </w:pPr>
      <w:r w:rsidRPr="127A0B06">
        <w:rPr>
          <w:rFonts w:ascii="Aptos" w:eastAsia="Aptos" w:hAnsi="Aptos" w:cs="Aptos"/>
        </w:rPr>
        <w:t>Updating terminology and definitions.</w:t>
      </w:r>
    </w:p>
    <w:p w14:paraId="1530E71C" w14:textId="0048C8AD" w:rsidR="691C5AD5" w:rsidRPr="00623609" w:rsidRDefault="691C5AD5" w:rsidP="00623609">
      <w:r w:rsidRPr="00623609">
        <w:t>The proposed regulations address terminology – e.g., updating references to this type of education from “vocational” to “career technical.”</w:t>
      </w:r>
    </w:p>
    <w:p w14:paraId="3CD77283" w14:textId="2B6F5259" w:rsidR="401A0534" w:rsidRDefault="401A0534" w:rsidP="70C0BD02">
      <w:pPr>
        <w:rPr>
          <w:b/>
          <w:bCs/>
        </w:rPr>
      </w:pPr>
      <w:r w:rsidRPr="70C0BD02">
        <w:rPr>
          <w:b/>
          <w:bCs/>
        </w:rPr>
        <w:t>Summary of Public Comment</w:t>
      </w:r>
    </w:p>
    <w:p w14:paraId="6DE54788" w14:textId="02CA7833" w:rsidR="70C0BD02" w:rsidRDefault="5CFD4C41" w:rsidP="127A0B06">
      <w:pPr>
        <w:rPr>
          <w:rFonts w:ascii="Aptos" w:eastAsia="Aptos" w:hAnsi="Aptos" w:cs="Aptos"/>
        </w:rPr>
      </w:pPr>
      <w:r>
        <w:t xml:space="preserve">During </w:t>
      </w:r>
      <w:proofErr w:type="gramStart"/>
      <w:r w:rsidR="1A672463">
        <w:t>public</w:t>
      </w:r>
      <w:proofErr w:type="gramEnd"/>
      <w:r w:rsidR="1A672463">
        <w:t xml:space="preserve"> comment </w:t>
      </w:r>
      <w:r>
        <w:t xml:space="preserve">period, </w:t>
      </w:r>
      <w:r w:rsidR="2FF98A7A" w:rsidRPr="2E220AD2">
        <w:rPr>
          <w:rFonts w:ascii="Aptos" w:eastAsia="Aptos" w:hAnsi="Aptos" w:cs="Aptos"/>
        </w:rPr>
        <w:t xml:space="preserve">the Department received a total of </w:t>
      </w:r>
      <w:r w:rsidR="00DE2CA9">
        <w:rPr>
          <w:rFonts w:ascii="Aptos" w:eastAsia="Aptos" w:hAnsi="Aptos" w:cs="Aptos"/>
        </w:rPr>
        <w:t>1,295</w:t>
      </w:r>
      <w:r w:rsidR="2FF98A7A" w:rsidRPr="2E220AD2">
        <w:rPr>
          <w:rFonts w:ascii="Aptos" w:eastAsia="Aptos" w:hAnsi="Aptos" w:cs="Aptos"/>
        </w:rPr>
        <w:t xml:space="preserve"> responses via email</w:t>
      </w:r>
      <w:r w:rsidR="00DE2CA9">
        <w:rPr>
          <w:rFonts w:ascii="Aptos" w:eastAsia="Aptos" w:hAnsi="Aptos" w:cs="Aptos"/>
        </w:rPr>
        <w:t>/mail</w:t>
      </w:r>
      <w:r w:rsidR="2FF98A7A" w:rsidRPr="2E220AD2">
        <w:rPr>
          <w:rFonts w:ascii="Aptos" w:eastAsia="Aptos" w:hAnsi="Aptos" w:cs="Aptos"/>
        </w:rPr>
        <w:t xml:space="preserve"> and</w:t>
      </w:r>
      <w:r w:rsidR="00B727FA">
        <w:rPr>
          <w:rFonts w:ascii="Aptos" w:eastAsia="Aptos" w:hAnsi="Aptos" w:cs="Aptos"/>
        </w:rPr>
        <w:t xml:space="preserve"> 782</w:t>
      </w:r>
      <w:r w:rsidR="2FF98A7A" w:rsidRPr="2E220AD2">
        <w:rPr>
          <w:rFonts w:ascii="Aptos" w:eastAsia="Aptos" w:hAnsi="Aptos" w:cs="Aptos"/>
        </w:rPr>
        <w:t xml:space="preserve"> responses through a dedicated public comment survey tool. </w:t>
      </w:r>
    </w:p>
    <w:p w14:paraId="5D5FDFCD" w14:textId="5DA681ED" w:rsidR="70C0BD02" w:rsidRDefault="7FE923F7" w:rsidP="4C68DF0D">
      <w:pPr>
        <w:rPr>
          <w:rFonts w:ascii="Aptos" w:eastAsia="Aptos" w:hAnsi="Aptos" w:cs="Aptos"/>
        </w:rPr>
      </w:pPr>
      <w:r w:rsidRPr="5004DAC8">
        <w:rPr>
          <w:rFonts w:ascii="Aptos" w:eastAsia="Aptos" w:hAnsi="Aptos" w:cs="Aptos"/>
        </w:rPr>
        <w:t>Among the</w:t>
      </w:r>
      <w:r w:rsidR="00474452">
        <w:rPr>
          <w:rFonts w:ascii="Aptos" w:eastAsia="Aptos" w:hAnsi="Aptos" w:cs="Aptos"/>
        </w:rPr>
        <w:t xml:space="preserve"> </w:t>
      </w:r>
      <w:r w:rsidRPr="5004DAC8">
        <w:rPr>
          <w:rFonts w:ascii="Aptos" w:eastAsia="Aptos" w:hAnsi="Aptos" w:cs="Aptos"/>
        </w:rPr>
        <w:t xml:space="preserve">comments submitted through the survey tool, </w:t>
      </w:r>
      <w:r w:rsidR="2FF98A7A" w:rsidRPr="5004DAC8">
        <w:rPr>
          <w:rFonts w:ascii="Aptos" w:eastAsia="Aptos" w:hAnsi="Aptos" w:cs="Aptos"/>
        </w:rPr>
        <w:t>approximately 10%</w:t>
      </w:r>
      <w:r w:rsidR="00814608" w:rsidRPr="5004DAC8">
        <w:rPr>
          <w:rFonts w:ascii="Aptos" w:eastAsia="Aptos" w:hAnsi="Aptos" w:cs="Aptos"/>
        </w:rPr>
        <w:t xml:space="preserve"> </w:t>
      </w:r>
      <w:r w:rsidRPr="5004DAC8">
        <w:rPr>
          <w:rFonts w:ascii="Aptos" w:eastAsia="Aptos" w:hAnsi="Aptos" w:cs="Aptos"/>
        </w:rPr>
        <w:t xml:space="preserve">came from individuals representing their school, district, or organization, while </w:t>
      </w:r>
      <w:r w:rsidR="2FF98A7A" w:rsidRPr="5004DAC8">
        <w:rPr>
          <w:rFonts w:ascii="Aptos" w:eastAsia="Aptos" w:hAnsi="Aptos" w:cs="Aptos"/>
        </w:rPr>
        <w:t>approximately 90%</w:t>
      </w:r>
      <w:r w:rsidR="00814608" w:rsidRPr="5004DAC8">
        <w:rPr>
          <w:rFonts w:ascii="Aptos" w:eastAsia="Aptos" w:hAnsi="Aptos" w:cs="Aptos"/>
        </w:rPr>
        <w:t xml:space="preserve"> </w:t>
      </w:r>
      <w:r w:rsidRPr="5004DAC8">
        <w:rPr>
          <w:rFonts w:ascii="Aptos" w:eastAsia="Aptos" w:hAnsi="Aptos" w:cs="Aptos"/>
        </w:rPr>
        <w:t xml:space="preserve">were submitted by individuals on their </w:t>
      </w:r>
      <w:r w:rsidR="2FF98A7A" w:rsidRPr="5004DAC8">
        <w:rPr>
          <w:rFonts w:ascii="Aptos" w:eastAsia="Aptos" w:hAnsi="Aptos" w:cs="Aptos"/>
        </w:rPr>
        <w:t xml:space="preserve">own </w:t>
      </w:r>
      <w:r w:rsidRPr="5004DAC8">
        <w:rPr>
          <w:rFonts w:ascii="Aptos" w:eastAsia="Aptos" w:hAnsi="Aptos" w:cs="Aptos"/>
        </w:rPr>
        <w:t>behalf.</w:t>
      </w:r>
      <w:r w:rsidR="66872836" w:rsidRPr="5004DAC8">
        <w:rPr>
          <w:rFonts w:ascii="Aptos" w:eastAsia="Aptos" w:hAnsi="Aptos" w:cs="Aptos"/>
        </w:rPr>
        <w:t xml:space="preserve"> </w:t>
      </w:r>
      <w:r w:rsidR="2FF98A7A" w:rsidRPr="5004DAC8">
        <w:rPr>
          <w:rFonts w:ascii="Aptos" w:eastAsia="Aptos" w:hAnsi="Aptos" w:cs="Aptos"/>
        </w:rPr>
        <w:t xml:space="preserve"> </w:t>
      </w:r>
      <w:r w:rsidR="66872836" w:rsidRPr="5004DAC8">
        <w:rPr>
          <w:rFonts w:ascii="Aptos" w:eastAsia="Aptos" w:hAnsi="Aptos" w:cs="Aptos"/>
        </w:rPr>
        <w:t xml:space="preserve">A summary of the public </w:t>
      </w:r>
      <w:proofErr w:type="gramStart"/>
      <w:r w:rsidR="66872836" w:rsidRPr="5004DAC8">
        <w:rPr>
          <w:rFonts w:ascii="Aptos" w:eastAsia="Aptos" w:hAnsi="Aptos" w:cs="Aptos"/>
        </w:rPr>
        <w:t>comment</w:t>
      </w:r>
      <w:proofErr w:type="gramEnd"/>
      <w:r w:rsidR="66872836" w:rsidRPr="5004DAC8">
        <w:rPr>
          <w:rFonts w:ascii="Aptos" w:eastAsia="Aptos" w:hAnsi="Aptos" w:cs="Aptos"/>
        </w:rPr>
        <w:t xml:space="preserve"> and the Department’s responses is enclosed.</w:t>
      </w:r>
    </w:p>
    <w:p w14:paraId="7634168D" w14:textId="450B7902" w:rsidR="4AFA4379" w:rsidRDefault="4AFA4379" w:rsidP="279796D9">
      <w:pPr>
        <w:rPr>
          <w:b/>
          <w:bCs/>
        </w:rPr>
      </w:pPr>
      <w:r w:rsidRPr="279796D9">
        <w:rPr>
          <w:b/>
          <w:bCs/>
        </w:rPr>
        <w:t>Response to Public Comment</w:t>
      </w:r>
    </w:p>
    <w:p w14:paraId="6B818136" w14:textId="4692ED07" w:rsidR="00814608" w:rsidRDefault="1AD817B5" w:rsidP="70C0BD02">
      <w:r>
        <w:t>Based on the public comment received, I am recommending the following additional changes to the regulations</w:t>
      </w:r>
      <w:r w:rsidR="1530BEAA">
        <w:t xml:space="preserve"> proposed at the March 10, </w:t>
      </w:r>
      <w:proofErr w:type="gramStart"/>
      <w:r w:rsidR="1530BEAA">
        <w:t>2025</w:t>
      </w:r>
      <w:proofErr w:type="gramEnd"/>
      <w:r w:rsidR="1530BEAA">
        <w:t xml:space="preserve"> Board meeting. </w:t>
      </w:r>
      <w:r>
        <w:t xml:space="preserve"> </w:t>
      </w:r>
    </w:p>
    <w:p w14:paraId="7E4368DB" w14:textId="3CB17C35" w:rsidR="00671DD2" w:rsidRDefault="004A4D08" w:rsidP="004A4D08">
      <w:pPr>
        <w:pStyle w:val="ListParagraph"/>
        <w:numPr>
          <w:ilvl w:val="0"/>
          <w:numId w:val="7"/>
        </w:numPr>
      </w:pPr>
      <w:r>
        <w:t>Student awareness and student interest</w:t>
      </w:r>
    </w:p>
    <w:p w14:paraId="49127733" w14:textId="43151EC1" w:rsidR="00460994" w:rsidRDefault="00223196" w:rsidP="00F53967">
      <w:r>
        <w:t xml:space="preserve">In response to public </w:t>
      </w:r>
      <w:r w:rsidR="00AB260A">
        <w:t>comments</w:t>
      </w:r>
      <w:r w:rsidR="008248DB">
        <w:t xml:space="preserve"> </w:t>
      </w:r>
      <w:r w:rsidR="00CD40D7">
        <w:t xml:space="preserve">that </w:t>
      </w:r>
      <w:r w:rsidR="00ED493F">
        <w:t xml:space="preserve">students </w:t>
      </w:r>
      <w:r w:rsidR="008372A2">
        <w:t>should be able t</w:t>
      </w:r>
      <w:r w:rsidR="00D81DA1">
        <w:t>o</w:t>
      </w:r>
      <w:r w:rsidR="008372A2">
        <w:t xml:space="preserve"> demonstrate </w:t>
      </w:r>
      <w:r w:rsidR="00D81DA1">
        <w:t xml:space="preserve">both </w:t>
      </w:r>
      <w:r w:rsidR="008372A2">
        <w:t xml:space="preserve">their awareness of career technical education </w:t>
      </w:r>
      <w:r w:rsidR="00D81DA1">
        <w:t xml:space="preserve">(CTE) </w:t>
      </w:r>
      <w:r w:rsidR="008372A2">
        <w:t>opportunities</w:t>
      </w:r>
      <w:r w:rsidR="008562FD">
        <w:t xml:space="preserve">, as well as </w:t>
      </w:r>
      <w:r w:rsidR="00D81DA1">
        <w:t>their interest in pursuing CTE</w:t>
      </w:r>
      <w:r w:rsidR="00460994">
        <w:t xml:space="preserve">, the Department </w:t>
      </w:r>
      <w:r w:rsidR="00FC4C92">
        <w:t xml:space="preserve">has </w:t>
      </w:r>
      <w:r w:rsidR="00320D0E">
        <w:t xml:space="preserve">distinguished </w:t>
      </w:r>
      <w:r w:rsidR="00B14CF8">
        <w:t xml:space="preserve">student </w:t>
      </w:r>
      <w:r w:rsidR="00320D0E">
        <w:t xml:space="preserve">awareness from </w:t>
      </w:r>
      <w:r w:rsidR="00B14CF8">
        <w:t xml:space="preserve">student </w:t>
      </w:r>
      <w:r w:rsidR="00320D0E">
        <w:t>interest in the amended proposed regulations.</w:t>
      </w:r>
      <w:r w:rsidR="00B14CF8">
        <w:t xml:space="preserve"> </w:t>
      </w:r>
      <w:r w:rsidR="00A81F9D">
        <w:t xml:space="preserve">The </w:t>
      </w:r>
      <w:r w:rsidR="008103CC">
        <w:t xml:space="preserve">amended </w:t>
      </w:r>
      <w:r w:rsidR="00A81F9D">
        <w:t xml:space="preserve">proposal retains the ability for </w:t>
      </w:r>
      <w:r w:rsidR="00B14CF8">
        <w:t>CTE schools and pro</w:t>
      </w:r>
      <w:r w:rsidR="00C62C5C">
        <w:t xml:space="preserve">grams offering at least </w:t>
      </w:r>
      <w:r w:rsidR="00417077">
        <w:t xml:space="preserve">two in-person and two virtual information sessions </w:t>
      </w:r>
      <w:r w:rsidR="00A81F9D">
        <w:t>to</w:t>
      </w:r>
      <w:r w:rsidR="004A384F">
        <w:t xml:space="preserve"> require students to</w:t>
      </w:r>
      <w:r w:rsidR="00A81F9D">
        <w:t xml:space="preserve"> demonstrate their awareness of CTE </w:t>
      </w:r>
      <w:r w:rsidR="003674CD">
        <w:t xml:space="preserve">by participating in any </w:t>
      </w:r>
      <w:r w:rsidR="00B2025D">
        <w:t xml:space="preserve">one of </w:t>
      </w:r>
      <w:proofErr w:type="gramStart"/>
      <w:r w:rsidR="00B2025D">
        <w:t>several</w:t>
      </w:r>
      <w:proofErr w:type="gramEnd"/>
      <w:r w:rsidR="00B2025D">
        <w:t xml:space="preserve"> listed events, </w:t>
      </w:r>
      <w:r w:rsidR="00AB260A">
        <w:t>such as</w:t>
      </w:r>
      <w:r w:rsidR="00B2025D">
        <w:t xml:space="preserve"> an information </w:t>
      </w:r>
      <w:r w:rsidR="00AB260A">
        <w:t xml:space="preserve">session </w:t>
      </w:r>
      <w:r w:rsidR="00B2025D">
        <w:t xml:space="preserve">or a tour. </w:t>
      </w:r>
      <w:r w:rsidR="00BE6FF5">
        <w:t xml:space="preserve">The proposal adds the ability for </w:t>
      </w:r>
      <w:r w:rsidR="006D414B">
        <w:t xml:space="preserve">students to </w:t>
      </w:r>
      <w:r w:rsidR="007E3B23">
        <w:t xml:space="preserve">gain </w:t>
      </w:r>
      <w:proofErr w:type="gramStart"/>
      <w:r w:rsidR="007E3B23">
        <w:t>an extra</w:t>
      </w:r>
      <w:proofErr w:type="gramEnd"/>
      <w:r w:rsidR="007E3B23">
        <w:t xml:space="preserve"> weight in </w:t>
      </w:r>
      <w:r w:rsidR="00BE4D7D">
        <w:t xml:space="preserve">an admissions lottery </w:t>
      </w:r>
      <w:r w:rsidR="006F214F">
        <w:t xml:space="preserve">by demonstrating their personal interest in pursuing CTE </w:t>
      </w:r>
      <w:r w:rsidR="006F09E9">
        <w:t xml:space="preserve">in any one of several listed ways, such as </w:t>
      </w:r>
      <w:r w:rsidR="00DA349A">
        <w:t>an interview or essay</w:t>
      </w:r>
      <w:r w:rsidR="00C00F20">
        <w:t>. These demonstrations of interest must be unscored</w:t>
      </w:r>
      <w:r w:rsidR="00B20725">
        <w:t xml:space="preserve">. </w:t>
      </w:r>
      <w:r w:rsidR="002B5B64">
        <w:t xml:space="preserve">This proposed change responds to hundreds of student letters sharing that </w:t>
      </w:r>
      <w:r w:rsidR="00086CA5">
        <w:t xml:space="preserve">the ability to demonstrate their </w:t>
      </w:r>
      <w:r w:rsidR="00086CA5">
        <w:lastRenderedPageBreak/>
        <w:t xml:space="preserve">interest in CTE </w:t>
      </w:r>
      <w:r w:rsidR="00AB1A6E">
        <w:t xml:space="preserve">was the most important part of their application process, and in many cases, </w:t>
      </w:r>
      <w:r w:rsidR="003E30B5">
        <w:t>helped</w:t>
      </w:r>
      <w:r w:rsidR="00E64801">
        <w:t xml:space="preserve"> students whose middle school attendance or discipline records </w:t>
      </w:r>
      <w:r w:rsidR="003E30B5">
        <w:t>did not reflect their ability to thrive</w:t>
      </w:r>
      <w:r w:rsidR="00807243">
        <w:t xml:space="preserve"> in an educational model like CTE. </w:t>
      </w:r>
      <w:r w:rsidR="003E30B5">
        <w:t xml:space="preserve"> </w:t>
      </w:r>
      <w:r w:rsidR="004A384F">
        <w:t xml:space="preserve"> </w:t>
      </w:r>
      <w:r w:rsidR="00320D0E">
        <w:t xml:space="preserve"> </w:t>
      </w:r>
      <w:r w:rsidR="00585954">
        <w:t xml:space="preserve"> </w:t>
      </w:r>
      <w:r w:rsidR="003D0ED7">
        <w:t xml:space="preserve"> </w:t>
      </w:r>
    </w:p>
    <w:p w14:paraId="03394643" w14:textId="717F6E60" w:rsidR="00F53967" w:rsidRDefault="00EF5AC3" w:rsidP="004A4D08">
      <w:pPr>
        <w:pStyle w:val="ListParagraph"/>
        <w:numPr>
          <w:ilvl w:val="0"/>
          <w:numId w:val="7"/>
        </w:numPr>
      </w:pPr>
      <w:r>
        <w:t xml:space="preserve">Student </w:t>
      </w:r>
      <w:proofErr w:type="gramStart"/>
      <w:r>
        <w:t>awareness activities</w:t>
      </w:r>
      <w:proofErr w:type="gramEnd"/>
    </w:p>
    <w:p w14:paraId="1DBB416A" w14:textId="6C782C0C" w:rsidR="006C498D" w:rsidRDefault="009C1FF9" w:rsidP="00EF5AC3">
      <w:r>
        <w:t xml:space="preserve">The Department’s original proposal required CTE schools and programs that </w:t>
      </w:r>
      <w:r w:rsidR="00305C5F">
        <w:t xml:space="preserve">require demonstrations of student awareness </w:t>
      </w:r>
      <w:r w:rsidR="00192839">
        <w:t xml:space="preserve">to offer at least two open houses and at least three virtual information sessions each school year. In response to concerns </w:t>
      </w:r>
      <w:r w:rsidR="005371C5">
        <w:t>regarding the financial impact on schools</w:t>
      </w:r>
      <w:r w:rsidR="0039249A">
        <w:t>’ abilit</w:t>
      </w:r>
      <w:r w:rsidR="00AB260A">
        <w:t>y</w:t>
      </w:r>
      <w:r w:rsidR="0039249A">
        <w:t xml:space="preserve"> to offer multiple, formal open houses, </w:t>
      </w:r>
      <w:r w:rsidR="008103CC">
        <w:t xml:space="preserve">and a desire for increased flexibility, the Department’s amended proposal </w:t>
      </w:r>
      <w:r w:rsidR="00B13516">
        <w:t xml:space="preserve">has changed this to two in-person and two virtual information sessions. </w:t>
      </w:r>
      <w:r w:rsidR="0079517F">
        <w:t xml:space="preserve">This language allows CTE schools and programs more flexibility in how they structure </w:t>
      </w:r>
      <w:r w:rsidR="00AA7C7D">
        <w:t>these</w:t>
      </w:r>
      <w:r w:rsidR="003304F7">
        <w:t xml:space="preserve"> </w:t>
      </w:r>
      <w:r w:rsidR="00B22EE5">
        <w:t>events.</w:t>
      </w:r>
    </w:p>
    <w:p w14:paraId="5095CF30" w14:textId="46AE876E" w:rsidR="00170FD2" w:rsidRDefault="005E4468" w:rsidP="00EF5AC3">
      <w:r>
        <w:t>The</w:t>
      </w:r>
      <w:r w:rsidR="00170FD2">
        <w:t xml:space="preserve"> Department has also </w:t>
      </w:r>
      <w:r w:rsidR="0041450F">
        <w:t xml:space="preserve">added a </w:t>
      </w:r>
      <w:r w:rsidR="00025A62">
        <w:t xml:space="preserve">new </w:t>
      </w:r>
      <w:r w:rsidR="0041450F">
        <w:t xml:space="preserve">way that students can </w:t>
      </w:r>
      <w:r w:rsidR="001D1C2E">
        <w:t>demonstrate their awareness of CTE</w:t>
      </w:r>
      <w:r w:rsidR="000A79F1">
        <w:t xml:space="preserve">: “completion of a video module created either by the school or program or by the Department regarding career technical education.” </w:t>
      </w:r>
    </w:p>
    <w:p w14:paraId="2C170017" w14:textId="57E949BC" w:rsidR="00AB3E7C" w:rsidRDefault="00AB3E7C" w:rsidP="00AB3E7C">
      <w:pPr>
        <w:pStyle w:val="ListParagraph"/>
        <w:numPr>
          <w:ilvl w:val="0"/>
          <w:numId w:val="7"/>
        </w:numPr>
      </w:pPr>
      <w:r>
        <w:t>Student discipline</w:t>
      </w:r>
    </w:p>
    <w:p w14:paraId="1824766D" w14:textId="08AA41CD" w:rsidR="00065350" w:rsidRDefault="005B1E1A" w:rsidP="00EF5AC3">
      <w:r>
        <w:t xml:space="preserve">In response to public comments regarding the </w:t>
      </w:r>
      <w:r w:rsidR="00B916DE">
        <w:t xml:space="preserve">scope of the discipline weight, the Department has proposed additional </w:t>
      </w:r>
      <w:proofErr w:type="gramStart"/>
      <w:r w:rsidR="00B916DE">
        <w:t xml:space="preserve">clarifying </w:t>
      </w:r>
      <w:r w:rsidR="00245FB8">
        <w:t>language</w:t>
      </w:r>
      <w:proofErr w:type="gramEnd"/>
      <w:r w:rsidR="005B58BF">
        <w:t xml:space="preserve">. The </w:t>
      </w:r>
      <w:r w:rsidR="00E175FB">
        <w:t>amended</w:t>
      </w:r>
      <w:r w:rsidR="005B58BF">
        <w:t xml:space="preserve"> proposal </w:t>
      </w:r>
      <w:r w:rsidR="009760FF">
        <w:t xml:space="preserve">gives a lottery weight to students who have not been suspended or expelled pursuant to </w:t>
      </w:r>
      <w:r w:rsidR="0001123E">
        <w:t xml:space="preserve">offenses </w:t>
      </w:r>
      <w:r w:rsidR="00E20EAB">
        <w:t>described in state law</w:t>
      </w:r>
      <w:r w:rsidR="000E034E">
        <w:t xml:space="preserve"> </w:t>
      </w:r>
      <w:r w:rsidR="001170F2">
        <w:t xml:space="preserve">relating to </w:t>
      </w:r>
      <w:r w:rsidR="001408AF">
        <w:t xml:space="preserve">assault and </w:t>
      </w:r>
      <w:r w:rsidR="00995425">
        <w:t>possession of dangerous weapons</w:t>
      </w:r>
      <w:r w:rsidR="00CF3577">
        <w:t xml:space="preserve">, and for which the </w:t>
      </w:r>
      <w:r w:rsidR="00A86955">
        <w:t xml:space="preserve">offenses have been </w:t>
      </w:r>
      <w:r w:rsidR="00C7006C">
        <w:t>adjudicated,</w:t>
      </w:r>
      <w:r w:rsidR="00A86955">
        <w:t xml:space="preserve"> </w:t>
      </w:r>
      <w:r w:rsidR="00761ABE">
        <w:t xml:space="preserve">or </w:t>
      </w:r>
      <w:r w:rsidR="00C7006C">
        <w:t>the student has admitted guilt in court</w:t>
      </w:r>
      <w:r w:rsidR="00995425">
        <w:t xml:space="preserve">. </w:t>
      </w:r>
      <w:r w:rsidR="00651017">
        <w:t xml:space="preserve">It </w:t>
      </w:r>
      <w:r w:rsidR="009A0592">
        <w:t xml:space="preserve">also removes </w:t>
      </w:r>
      <w:r w:rsidR="00C7006C">
        <w:t xml:space="preserve">from consideration </w:t>
      </w:r>
      <w:r w:rsidR="00C2112A">
        <w:t>suspensions and expulsions under a separate state law</w:t>
      </w:r>
      <w:r w:rsidR="00C7006C">
        <w:t xml:space="preserve"> </w:t>
      </w:r>
      <w:r w:rsidR="0002375F">
        <w:t xml:space="preserve">that </w:t>
      </w:r>
      <w:r w:rsidR="00B209C1">
        <w:t>is broader in scope</w:t>
      </w:r>
      <w:r w:rsidR="01D3A1AD">
        <w:t>.</w:t>
      </w:r>
      <w:r w:rsidR="6BEFAEAE">
        <w:t xml:space="preserve"> </w:t>
      </w:r>
      <w:r w:rsidR="00175F05">
        <w:t xml:space="preserve"> </w:t>
      </w:r>
    </w:p>
    <w:p w14:paraId="486B0295" w14:textId="2B76BCAA" w:rsidR="006C498D" w:rsidRDefault="00E3222F" w:rsidP="006C498D">
      <w:pPr>
        <w:pStyle w:val="ListParagraph"/>
        <w:numPr>
          <w:ilvl w:val="0"/>
          <w:numId w:val="7"/>
        </w:numPr>
      </w:pPr>
      <w:r>
        <w:t>Clarifying language</w:t>
      </w:r>
    </w:p>
    <w:p w14:paraId="35C37E1E" w14:textId="5F6B40CD" w:rsidR="00E3222F" w:rsidRDefault="00E3222F" w:rsidP="00E3222F">
      <w:r>
        <w:t>The Department has deleted “selective”</w:t>
      </w:r>
      <w:r w:rsidR="00E738AF">
        <w:t xml:space="preserve"> and “for students to enter the lottery process” </w:t>
      </w:r>
      <w:r w:rsidR="00395D51">
        <w:t>in its description</w:t>
      </w:r>
      <w:r w:rsidR="00D40A00">
        <w:t>s</w:t>
      </w:r>
      <w:r w:rsidR="00395D51">
        <w:t xml:space="preserve"> of the lottery process</w:t>
      </w:r>
      <w:r w:rsidR="00343DAA">
        <w:t xml:space="preserve"> to more clearly indicate that all students</w:t>
      </w:r>
      <w:r w:rsidR="0088138D">
        <w:t xml:space="preserve"> with completed applications may enter a CTE admissions lottery. </w:t>
      </w:r>
      <w:r w:rsidR="005418CF">
        <w:t>The criteria of attendance, discipline, and interest are</w:t>
      </w:r>
      <w:r w:rsidR="00087745">
        <w:t xml:space="preserve"> all weights that may increase a student’s chance of admission. None are a gate that prevents a student from entering the lottery. </w:t>
      </w:r>
    </w:p>
    <w:p w14:paraId="4847EB3C" w14:textId="6797D41F" w:rsidR="00D40A00" w:rsidRDefault="00474452" w:rsidP="00E3222F">
      <w:r>
        <w:t>Similarly, the Department has deleted language concerning the use of selective criteria and its effects on potential discrimination in the proposed regulations at 603 CMR 4.03(6)(</w:t>
      </w:r>
      <w:proofErr w:type="gramStart"/>
      <w:r>
        <w:t>d)-(</w:t>
      </w:r>
      <w:proofErr w:type="gramEnd"/>
      <w:r>
        <w:t>e) and (6)</w:t>
      </w:r>
      <w:r w:rsidR="00A32E8E">
        <w:t xml:space="preserve">. Because the proposed weighted lottery </w:t>
      </w:r>
      <w:r w:rsidR="00C22CBF">
        <w:t>does not</w:t>
      </w:r>
      <w:r w:rsidR="00A32E8E">
        <w:t xml:space="preserve"> use selective criteria </w:t>
      </w:r>
      <w:r w:rsidR="00155088">
        <w:t xml:space="preserve">to prohibit </w:t>
      </w:r>
      <w:r w:rsidR="00A23D28">
        <w:t xml:space="preserve">students from entering a lottery, </w:t>
      </w:r>
      <w:r w:rsidR="00C22CBF">
        <w:t xml:space="preserve">the Department proposes </w:t>
      </w:r>
      <w:r w:rsidR="00B60BA7">
        <w:t xml:space="preserve">deleting this section and incorporating </w:t>
      </w:r>
      <w:r w:rsidR="00C6618B">
        <w:t xml:space="preserve">federal and state requirements </w:t>
      </w:r>
      <w:r w:rsidR="00666CBC">
        <w:t xml:space="preserve">concerning discrimination into </w:t>
      </w:r>
      <w:r w:rsidR="0018159A">
        <w:t>the following section</w:t>
      </w:r>
      <w:r w:rsidR="00656661">
        <w:t>.</w:t>
      </w:r>
    </w:p>
    <w:p w14:paraId="7C17D2EF" w14:textId="3C7D79FD" w:rsidR="285D8573" w:rsidRDefault="285D8573">
      <w:r>
        <w:lastRenderedPageBreak/>
        <w:t xml:space="preserve">The Department also proposes </w:t>
      </w:r>
      <w:r w:rsidR="7745F519">
        <w:t xml:space="preserve">a minor clarification to the Middle School Pathway Exploration Policy, changing </w:t>
      </w:r>
      <w:r w:rsidR="31A741CD">
        <w:t>“</w:t>
      </w:r>
      <w:r w:rsidR="0965810F">
        <w:t xml:space="preserve">will attest to implementing said policy” to “will sign an </w:t>
      </w:r>
      <w:r w:rsidR="6ED33320">
        <w:t>attestation that the Middle School Pathway Exploration Policy is implemented.”</w:t>
      </w:r>
    </w:p>
    <w:p w14:paraId="006CD961" w14:textId="48F3E2DB" w:rsidR="4033789D" w:rsidRDefault="4033789D" w:rsidP="26E1A264">
      <w:pPr>
        <w:rPr>
          <w:b/>
          <w:bCs/>
        </w:rPr>
      </w:pPr>
      <w:r w:rsidRPr="26E1A264">
        <w:rPr>
          <w:b/>
          <w:bCs/>
        </w:rPr>
        <w:t>Additional Response to Public Comment (Non-Regulatory)</w:t>
      </w:r>
    </w:p>
    <w:p w14:paraId="3EE870F2" w14:textId="137FCBE6" w:rsidR="4033789D" w:rsidRDefault="4033789D" w:rsidP="26E1A264">
      <w:r>
        <w:t xml:space="preserve">In addition to the Department’s proposed changes to the regulations based on public </w:t>
      </w:r>
      <w:proofErr w:type="gramStart"/>
      <w:r>
        <w:t>comment</w:t>
      </w:r>
      <w:proofErr w:type="gramEnd"/>
      <w:r>
        <w:t xml:space="preserve">, we also have implemented </w:t>
      </w:r>
      <w:proofErr w:type="gramStart"/>
      <w:r>
        <w:t>or</w:t>
      </w:r>
      <w:proofErr w:type="gramEnd"/>
      <w:r>
        <w:t xml:space="preserve"> plan to implement the following non-regulatory items. </w:t>
      </w:r>
    </w:p>
    <w:p w14:paraId="030269B6" w14:textId="0E259683" w:rsidR="003053A9" w:rsidRPr="003053A9" w:rsidRDefault="008D2D51" w:rsidP="007570BE">
      <w:pPr>
        <w:pStyle w:val="ListParagraph"/>
        <w:numPr>
          <w:ilvl w:val="0"/>
          <w:numId w:val="5"/>
        </w:numPr>
        <w:rPr>
          <w:rStyle w:val="normaltextrun"/>
        </w:rPr>
      </w:pPr>
      <w:r>
        <w:rPr>
          <w:rStyle w:val="normaltextrun"/>
          <w:rFonts w:ascii="Aptos" w:hAnsi="Aptos"/>
          <w:color w:val="000000"/>
          <w:shd w:val="clear" w:color="auto" w:fill="FFFFFF"/>
        </w:rPr>
        <w:t xml:space="preserve">The Department has updated the </w:t>
      </w:r>
      <w:hyperlink r:id="rId17" w:tgtFrame="_blank" w:history="1">
        <w:r>
          <w:rPr>
            <w:rStyle w:val="normaltextrun"/>
            <w:rFonts w:ascii="Aptos" w:hAnsi="Aptos"/>
            <w:color w:val="0000FF"/>
            <w:u w:val="single"/>
            <w:shd w:val="clear" w:color="auto" w:fill="FFFFFF"/>
          </w:rPr>
          <w:t>CTE Admissions - College, Career and Technical Education</w:t>
        </w:r>
      </w:hyperlink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webpage to </w:t>
      </w:r>
      <w:r w:rsidRPr="008D2D51">
        <w:rPr>
          <w:rStyle w:val="normaltextrun"/>
          <w:rFonts w:ascii="Aptos" w:hAnsi="Aptos"/>
          <w:shd w:val="clear" w:color="auto" w:fill="FFFFFF"/>
        </w:rPr>
        <w:t>include a description of the process it uses to implement the U.S. Department of Education’s Office for Civil Rights Methods of</w:t>
      </w:r>
      <w:r w:rsidR="003053A9">
        <w:rPr>
          <w:rStyle w:val="normaltextrun"/>
          <w:rFonts w:ascii="Aptos" w:hAnsi="Aptos"/>
          <w:shd w:val="clear" w:color="auto" w:fill="FFFFFF"/>
        </w:rPr>
        <w:t xml:space="preserve"> </w:t>
      </w:r>
      <w:r w:rsidRPr="008D2D51">
        <w:rPr>
          <w:rStyle w:val="normaltextrun"/>
          <w:rFonts w:ascii="Aptos" w:hAnsi="Aptos"/>
          <w:shd w:val="clear" w:color="auto" w:fill="FFFFFF"/>
        </w:rPr>
        <w:t xml:space="preserve">Administration requirements </w:t>
      </w:r>
      <w:r w:rsidR="00956EE1">
        <w:rPr>
          <w:rStyle w:val="normaltextrun"/>
          <w:rFonts w:ascii="Aptos" w:hAnsi="Aptos"/>
          <w:shd w:val="clear" w:color="auto" w:fill="FFFFFF"/>
        </w:rPr>
        <w:t>for</w:t>
      </w:r>
      <w:r w:rsidRPr="008D2D51">
        <w:rPr>
          <w:rStyle w:val="normaltextrun"/>
          <w:rFonts w:ascii="Aptos" w:hAnsi="Aptos"/>
          <w:shd w:val="clear" w:color="auto" w:fill="FFFFFF"/>
        </w:rPr>
        <w:t xml:space="preserve"> </w:t>
      </w:r>
      <w:r w:rsidR="00F940F5">
        <w:rPr>
          <w:rStyle w:val="normaltextrun"/>
          <w:rFonts w:ascii="Aptos" w:hAnsi="Aptos"/>
          <w:shd w:val="clear" w:color="auto" w:fill="FFFFFF"/>
        </w:rPr>
        <w:t>civil rights reviews</w:t>
      </w:r>
      <w:r>
        <w:rPr>
          <w:rStyle w:val="normaltextrun"/>
          <w:rFonts w:ascii="Aptos" w:hAnsi="Aptos"/>
          <w:color w:val="000000"/>
          <w:shd w:val="clear" w:color="auto" w:fill="FFFFFF"/>
        </w:rPr>
        <w:t>.</w:t>
      </w:r>
    </w:p>
    <w:p w14:paraId="164ABC33" w14:textId="46DF63BF" w:rsidR="007570BE" w:rsidRDefault="005C7D34" w:rsidP="007570BE">
      <w:pPr>
        <w:pStyle w:val="ListParagraph"/>
        <w:numPr>
          <w:ilvl w:val="0"/>
          <w:numId w:val="5"/>
        </w:numPr>
      </w:pPr>
      <w:r>
        <w:t>The Department will</w:t>
      </w:r>
      <w:r>
        <w:rPr>
          <w:rFonts w:eastAsia="Times New Roman"/>
        </w:rPr>
        <w:t xml:space="preserve"> be integrating a review period into future releases of </w:t>
      </w:r>
      <w:proofErr w:type="gramStart"/>
      <w:r>
        <w:rPr>
          <w:rFonts w:eastAsia="Times New Roman"/>
        </w:rPr>
        <w:t>CTE</w:t>
      </w:r>
      <w:proofErr w:type="gramEnd"/>
      <w:r>
        <w:rPr>
          <w:rFonts w:eastAsia="Times New Roman"/>
        </w:rPr>
        <w:t xml:space="preserve"> Population Trends report for CTE Schools and Admission and Waitlist Reports for all districts reporting a waitlist for CTE</w:t>
      </w:r>
      <w:r w:rsidR="00506F86">
        <w:rPr>
          <w:rFonts w:eastAsia="Times New Roman"/>
        </w:rPr>
        <w:t xml:space="preserve">. Included in this, </w:t>
      </w:r>
      <w:r w:rsidR="00506F86">
        <w:t>the Department will explore additional or alternative ways to present data needs based on the supplemental collection of admissions data.</w:t>
      </w:r>
    </w:p>
    <w:p w14:paraId="7B65B83B" w14:textId="71E26BB4" w:rsidR="0060298E" w:rsidRPr="007570BE" w:rsidRDefault="0060298E" w:rsidP="05291AA9">
      <w:pPr>
        <w:pStyle w:val="ListParagraph"/>
        <w:numPr>
          <w:ilvl w:val="0"/>
          <w:numId w:val="5"/>
        </w:numPr>
        <w:spacing w:after="0"/>
      </w:pPr>
      <w:r w:rsidRPr="05291AA9">
        <w:rPr>
          <w:rFonts w:eastAsia="Times New Roman"/>
        </w:rPr>
        <w:t>The Department will develop guidance, resources, and grant funding (if available) for the Middle School Pathway policies.</w:t>
      </w:r>
    </w:p>
    <w:p w14:paraId="08599710" w14:textId="222B5A97" w:rsidR="0060298E" w:rsidRDefault="0060298E" w:rsidP="05291AA9">
      <w:pPr>
        <w:pStyle w:val="xmsolistparagraph"/>
        <w:numPr>
          <w:ilvl w:val="0"/>
          <w:numId w:val="5"/>
        </w:numPr>
        <w:rPr>
          <w:rFonts w:eastAsia="Times New Roman"/>
        </w:rPr>
      </w:pPr>
      <w:r w:rsidRPr="05291AA9">
        <w:rPr>
          <w:rFonts w:eastAsia="Times New Roman"/>
        </w:rPr>
        <w:t>The Department will develop guidance, technical assistance, and grant funding (if available) for implementing</w:t>
      </w:r>
      <w:r w:rsidR="007570BE" w:rsidRPr="05291AA9">
        <w:rPr>
          <w:rFonts w:eastAsia="Times New Roman"/>
        </w:rPr>
        <w:t xml:space="preserve"> the proposed</w:t>
      </w:r>
      <w:r w:rsidRPr="05291AA9">
        <w:rPr>
          <w:rFonts w:eastAsia="Times New Roman"/>
        </w:rPr>
        <w:t xml:space="preserve"> weighted lottery.</w:t>
      </w:r>
    </w:p>
    <w:p w14:paraId="276F202C" w14:textId="590531F7" w:rsidR="00657564" w:rsidRDefault="00657564" w:rsidP="05291AA9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The Department </w:t>
      </w:r>
      <w:r w:rsidR="00897B66">
        <w:rPr>
          <w:rFonts w:eastAsia="Times New Roman"/>
        </w:rPr>
        <w:t xml:space="preserve">will convene </w:t>
      </w:r>
      <w:r w:rsidR="00BB76C9">
        <w:rPr>
          <w:rFonts w:eastAsia="Times New Roman"/>
        </w:rPr>
        <w:t>a</w:t>
      </w:r>
      <w:r w:rsidR="00897B66">
        <w:rPr>
          <w:rFonts w:eastAsia="Times New Roman"/>
        </w:rPr>
        <w:t xml:space="preserve"> subcommittee of the VTE/CTE Advisory Council to review data</w:t>
      </w:r>
      <w:r w:rsidR="00261DDF">
        <w:rPr>
          <w:rFonts w:eastAsia="Times New Roman"/>
        </w:rPr>
        <w:t>.</w:t>
      </w:r>
    </w:p>
    <w:p w14:paraId="769BCA0F" w14:textId="3BDF4F69" w:rsidR="1B83618E" w:rsidRDefault="0CAA9E28" w:rsidP="1B83618E">
      <w:pPr>
        <w:pStyle w:val="xmsolistparagraph"/>
        <w:numPr>
          <w:ilvl w:val="0"/>
          <w:numId w:val="5"/>
        </w:numPr>
        <w:rPr>
          <w:rFonts w:eastAsia="Times New Roman"/>
        </w:rPr>
      </w:pPr>
      <w:r w:rsidRPr="278735B9">
        <w:rPr>
          <w:rFonts w:eastAsia="Times New Roman"/>
        </w:rPr>
        <w:t xml:space="preserve">The Department will collaborate with the Executive Office of Education to form a </w:t>
      </w:r>
      <w:proofErr w:type="gramStart"/>
      <w:r w:rsidRPr="7F999163">
        <w:rPr>
          <w:rFonts w:eastAsia="Times New Roman"/>
        </w:rPr>
        <w:t>workgroup</w:t>
      </w:r>
      <w:proofErr w:type="gramEnd"/>
      <w:r w:rsidRPr="7F999163">
        <w:rPr>
          <w:rFonts w:eastAsia="Times New Roman"/>
        </w:rPr>
        <w:t xml:space="preserve"> to </w:t>
      </w:r>
      <w:r w:rsidRPr="73363D4D">
        <w:rPr>
          <w:rFonts w:eastAsia="Times New Roman"/>
        </w:rPr>
        <w:t xml:space="preserve">review </w:t>
      </w:r>
      <w:r w:rsidRPr="0BD4DE87">
        <w:rPr>
          <w:rFonts w:eastAsia="Times New Roman"/>
        </w:rPr>
        <w:t xml:space="preserve">Capital </w:t>
      </w:r>
      <w:r w:rsidRPr="2152AF81">
        <w:rPr>
          <w:rFonts w:eastAsia="Times New Roman"/>
        </w:rPr>
        <w:t xml:space="preserve">Project </w:t>
      </w:r>
      <w:r w:rsidRPr="30889F38">
        <w:rPr>
          <w:rFonts w:eastAsia="Times New Roman"/>
        </w:rPr>
        <w:t xml:space="preserve">Funding to support </w:t>
      </w:r>
      <w:r w:rsidRPr="37C8C60B">
        <w:rPr>
          <w:rFonts w:eastAsia="Times New Roman"/>
        </w:rPr>
        <w:t xml:space="preserve">expanding </w:t>
      </w:r>
      <w:r w:rsidRPr="154ED4CE">
        <w:rPr>
          <w:rFonts w:eastAsia="Times New Roman"/>
        </w:rPr>
        <w:t>seat ca</w:t>
      </w:r>
      <w:r w:rsidR="005AE51F" w:rsidRPr="154ED4CE">
        <w:rPr>
          <w:rFonts w:eastAsia="Times New Roman"/>
        </w:rPr>
        <w:t>pacity.</w:t>
      </w:r>
    </w:p>
    <w:p w14:paraId="787F0C8D" w14:textId="6F4F726F" w:rsidR="00814608" w:rsidRDefault="00814608" w:rsidP="127A0B06">
      <w:pPr>
        <w:ind w:left="360"/>
      </w:pPr>
    </w:p>
    <w:p w14:paraId="06BFA62F" w14:textId="1FEE891C" w:rsidR="7DD497D8" w:rsidRDefault="7DD497D8" w:rsidP="70C0BD02">
      <w:r>
        <w:t xml:space="preserve">At the May 20, </w:t>
      </w:r>
      <w:proofErr w:type="gramStart"/>
      <w:r>
        <w:t>2025</w:t>
      </w:r>
      <w:proofErr w:type="gramEnd"/>
      <w:r>
        <w:t xml:space="preserve"> Board meeting</w:t>
      </w:r>
      <w:r w:rsidR="00814608">
        <w:t xml:space="preserve">, </w:t>
      </w:r>
      <w:r w:rsidR="00756D52" w:rsidRPr="00756D52">
        <w:t>Rob Curtin, Chief Officer for Data, Assessment, and Accountability and Liz Bennett, Associate Commissioner of College, Career, and Technical Education</w:t>
      </w:r>
      <w:r>
        <w:t>, will present a summary of the public comment received as well as proposed changes to the regulations.</w:t>
      </w:r>
    </w:p>
    <w:p w14:paraId="332BB591" w14:textId="339D0ECA" w:rsidR="0EF05EC1" w:rsidRDefault="0EF05EC1" w:rsidP="70C0BD02">
      <w:r>
        <w:t xml:space="preserve">Attached are </w:t>
      </w:r>
      <w:r w:rsidR="63578A3D">
        <w:t>four</w:t>
      </w:r>
      <w:r w:rsidR="50A9B8BB">
        <w:t xml:space="preserve"> </w:t>
      </w:r>
      <w:r>
        <w:t>documents</w:t>
      </w:r>
      <w:r w:rsidR="3091CB18">
        <w:t>:</w:t>
      </w:r>
      <w:r>
        <w:t xml:space="preserve"> the </w:t>
      </w:r>
      <w:r w:rsidR="00814608">
        <w:t>March</w:t>
      </w:r>
      <w:r>
        <w:t xml:space="preserve"> </w:t>
      </w:r>
      <w:r w:rsidR="4F477164">
        <w:t>7,</w:t>
      </w:r>
      <w:r>
        <w:t xml:space="preserve"> </w:t>
      </w:r>
      <w:proofErr w:type="gramStart"/>
      <w:r>
        <w:t>2025</w:t>
      </w:r>
      <w:proofErr w:type="gramEnd"/>
      <w:r>
        <w:t xml:space="preserve"> memorandum </w:t>
      </w:r>
      <w:r w:rsidR="4704D81B">
        <w:t xml:space="preserve">from Acting Commissioner Johnston </w:t>
      </w:r>
      <w:r>
        <w:t xml:space="preserve">outlining proposed revisions to 603 CMR </w:t>
      </w:r>
      <w:r w:rsidR="00814608">
        <w:t>4</w:t>
      </w:r>
      <w:r>
        <w:t xml:space="preserve">.00; a summary of public comment received and </w:t>
      </w:r>
      <w:r w:rsidR="462A7BD7">
        <w:t xml:space="preserve">the </w:t>
      </w:r>
      <w:r w:rsidR="2774054A">
        <w:t>Department’s response</w:t>
      </w:r>
      <w:r>
        <w:t xml:space="preserve">; </w:t>
      </w:r>
      <w:r w:rsidR="53D40213">
        <w:t xml:space="preserve">the </w:t>
      </w:r>
      <w:r w:rsidR="462A7BD7">
        <w:t>proposed final regulations</w:t>
      </w:r>
      <w:r w:rsidR="0BA72E30">
        <w:t>; and a motion to adopt the regulations</w:t>
      </w:r>
      <w:r w:rsidR="462A7BD7">
        <w:t xml:space="preserve">. </w:t>
      </w:r>
      <w:r w:rsidR="616AA2B6" w:rsidRPr="6C0357A7">
        <w:rPr>
          <w:rFonts w:ascii="Aptos" w:eastAsia="Aptos" w:hAnsi="Aptos" w:cs="Aptos"/>
        </w:rPr>
        <w:t>All comments, with personal data redacted as required, are available upon request.</w:t>
      </w:r>
    </w:p>
    <w:p w14:paraId="16D7BC49" w14:textId="31E23385" w:rsidR="0EF05EC1" w:rsidRDefault="0EF05EC1" w:rsidP="70C0BD02">
      <w:r>
        <w:t>Attachments:</w:t>
      </w:r>
    </w:p>
    <w:p w14:paraId="3B3F0139" w14:textId="619BC62E" w:rsidR="71E02AE2" w:rsidRDefault="00814608" w:rsidP="70C0BD02">
      <w:pPr>
        <w:pStyle w:val="ListParagraph"/>
        <w:numPr>
          <w:ilvl w:val="0"/>
          <w:numId w:val="2"/>
        </w:numPr>
      </w:pPr>
      <w:r>
        <w:lastRenderedPageBreak/>
        <w:t xml:space="preserve">March </w:t>
      </w:r>
      <w:r w:rsidR="6F5767E4">
        <w:t>7</w:t>
      </w:r>
      <w:r w:rsidR="71E02AE2">
        <w:t xml:space="preserve">, </w:t>
      </w:r>
      <w:proofErr w:type="gramStart"/>
      <w:r w:rsidR="71E02AE2">
        <w:t>2025</w:t>
      </w:r>
      <w:proofErr w:type="gramEnd"/>
      <w:r w:rsidR="71E02AE2">
        <w:t xml:space="preserve"> memorandum</w:t>
      </w:r>
    </w:p>
    <w:p w14:paraId="6FA804E0" w14:textId="38313E8A" w:rsidR="71E02AE2" w:rsidRDefault="71E02AE2" w:rsidP="70C0BD02">
      <w:pPr>
        <w:pStyle w:val="ListParagraph"/>
        <w:numPr>
          <w:ilvl w:val="0"/>
          <w:numId w:val="2"/>
        </w:numPr>
      </w:pPr>
      <w:r w:rsidRPr="70C0BD02">
        <w:t>Summary of Public Comment</w:t>
      </w:r>
    </w:p>
    <w:p w14:paraId="4C8E4C17" w14:textId="2354564B" w:rsidR="71E02AE2" w:rsidRDefault="71E02AE2" w:rsidP="70C0BD02">
      <w:pPr>
        <w:pStyle w:val="ListParagraph"/>
        <w:numPr>
          <w:ilvl w:val="0"/>
          <w:numId w:val="2"/>
        </w:numPr>
      </w:pPr>
      <w:r w:rsidRPr="70C0BD02">
        <w:t>Proposed Final Regulations</w:t>
      </w:r>
    </w:p>
    <w:p w14:paraId="129B27E7" w14:textId="1B7112E9" w:rsidR="71E02AE2" w:rsidRDefault="71E02AE2" w:rsidP="70C0BD02">
      <w:pPr>
        <w:pStyle w:val="ListParagraph"/>
        <w:numPr>
          <w:ilvl w:val="0"/>
          <w:numId w:val="2"/>
        </w:numPr>
      </w:pPr>
      <w:r w:rsidRPr="70C0BD02">
        <w:t xml:space="preserve">Motion </w:t>
      </w:r>
      <w:r w:rsidR="002E1ACF">
        <w:t>603 CMR 4.00</w:t>
      </w:r>
    </w:p>
    <w:sectPr w:rsidR="71E02AE2" w:rsidSect="00725BB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DDE30" w14:textId="77777777" w:rsidR="00633A92" w:rsidRDefault="00633A92" w:rsidP="00C84EE3">
      <w:pPr>
        <w:spacing w:after="0" w:line="240" w:lineRule="auto"/>
      </w:pPr>
      <w:r>
        <w:separator/>
      </w:r>
    </w:p>
  </w:endnote>
  <w:endnote w:type="continuationSeparator" w:id="0">
    <w:p w14:paraId="301D8871" w14:textId="77777777" w:rsidR="00633A92" w:rsidRDefault="00633A92" w:rsidP="00C84EE3">
      <w:pPr>
        <w:spacing w:after="0" w:line="240" w:lineRule="auto"/>
      </w:pPr>
      <w:r>
        <w:continuationSeparator/>
      </w:r>
    </w:p>
  </w:endnote>
  <w:endnote w:type="continuationNotice" w:id="1">
    <w:p w14:paraId="6C2339B0" w14:textId="77777777" w:rsidR="00633A92" w:rsidRDefault="00633A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9C1F" w14:textId="77777777" w:rsidR="001B3D3D" w:rsidRDefault="001B3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1762" w14:textId="3898DAF7" w:rsidR="00725BB6" w:rsidRDefault="004C46FB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B14F5DE" wp14:editId="6D3E89A3">
          <wp:simplePos x="0" y="0"/>
          <wp:positionH relativeFrom="margin">
            <wp:align>center</wp:align>
          </wp:positionH>
          <wp:positionV relativeFrom="paragraph">
            <wp:posOffset>-22225</wp:posOffset>
          </wp:positionV>
          <wp:extent cx="7472567" cy="495510"/>
          <wp:effectExtent l="0" t="0" r="0" b="0"/>
          <wp:wrapNone/>
          <wp:docPr id="97760463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60463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567" cy="49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8361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2D277" w14:textId="6F5E0238" w:rsidR="004C46FB" w:rsidRDefault="00E63E19">
        <w:pPr>
          <w:pStyle w:val="Footer"/>
          <w:jc w:val="right"/>
        </w:pPr>
        <w:r>
          <w:rPr>
            <w:noProof/>
            <w:color w:val="2B579A"/>
            <w:shd w:val="clear" w:color="auto" w:fill="E6E6E6"/>
          </w:rPr>
          <w:drawing>
            <wp:anchor distT="0" distB="0" distL="114300" distR="114300" simplePos="0" relativeHeight="251658242" behindDoc="1" locked="0" layoutInCell="1" allowOverlap="1" wp14:anchorId="291FC6C5" wp14:editId="2F6F992D">
              <wp:simplePos x="0" y="0"/>
              <wp:positionH relativeFrom="margin">
                <wp:align>center</wp:align>
              </wp:positionH>
              <wp:positionV relativeFrom="paragraph">
                <wp:posOffset>198755</wp:posOffset>
              </wp:positionV>
              <wp:extent cx="7472567" cy="495510"/>
              <wp:effectExtent l="0" t="0" r="0" b="0"/>
              <wp:wrapNone/>
              <wp:docPr id="172510376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510376" name="Pictur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72567" cy="495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F86CD6C" w14:textId="65256FE2" w:rsidR="00C84EE3" w:rsidRDefault="00C84E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4847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821F5" w14:textId="0D681FA1" w:rsidR="001B3D3D" w:rsidRDefault="001B3D3D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43A119B2" w14:textId="2A560FD0" w:rsidR="00BE0EFA" w:rsidRDefault="00BE0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8BEEB" w14:textId="77777777" w:rsidR="00633A92" w:rsidRDefault="00633A92" w:rsidP="00C84EE3">
      <w:pPr>
        <w:spacing w:after="0" w:line="240" w:lineRule="auto"/>
      </w:pPr>
      <w:r>
        <w:separator/>
      </w:r>
    </w:p>
  </w:footnote>
  <w:footnote w:type="continuationSeparator" w:id="0">
    <w:p w14:paraId="38F7E2C1" w14:textId="77777777" w:rsidR="00633A92" w:rsidRDefault="00633A92" w:rsidP="00C84EE3">
      <w:pPr>
        <w:spacing w:after="0" w:line="240" w:lineRule="auto"/>
      </w:pPr>
      <w:r>
        <w:continuationSeparator/>
      </w:r>
    </w:p>
  </w:footnote>
  <w:footnote w:type="continuationNotice" w:id="1">
    <w:p w14:paraId="065B8DB9" w14:textId="77777777" w:rsidR="00633A92" w:rsidRDefault="00633A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E629" w14:textId="77777777" w:rsidR="001B3D3D" w:rsidRDefault="001B3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8504" w14:textId="77777777" w:rsidR="001B3D3D" w:rsidRDefault="001B3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665A" w14:textId="3CBE194E" w:rsidR="00C84EE3" w:rsidRDefault="00C84EE3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63DD894B" wp14:editId="2E1C44E1">
          <wp:simplePos x="0" y="0"/>
          <wp:positionH relativeFrom="column">
            <wp:posOffset>-927735</wp:posOffset>
          </wp:positionH>
          <wp:positionV relativeFrom="paragraph">
            <wp:posOffset>-685915</wp:posOffset>
          </wp:positionV>
          <wp:extent cx="7798435" cy="1541847"/>
          <wp:effectExtent l="0" t="0" r="0" b="0"/>
          <wp:wrapNone/>
          <wp:docPr id="67152885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52885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435" cy="154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6A74"/>
    <w:multiLevelType w:val="hybridMultilevel"/>
    <w:tmpl w:val="FFFFFFFF"/>
    <w:lvl w:ilvl="0" w:tplc="E800D1A4">
      <w:start w:val="1"/>
      <w:numFmt w:val="decimal"/>
      <w:lvlText w:val="%1."/>
      <w:lvlJc w:val="left"/>
      <w:pPr>
        <w:ind w:left="720" w:hanging="360"/>
      </w:pPr>
    </w:lvl>
    <w:lvl w:ilvl="1" w:tplc="FC56F9F4">
      <w:start w:val="1"/>
      <w:numFmt w:val="lowerLetter"/>
      <w:lvlText w:val="%2."/>
      <w:lvlJc w:val="left"/>
      <w:pPr>
        <w:ind w:left="1440" w:hanging="360"/>
      </w:pPr>
    </w:lvl>
    <w:lvl w:ilvl="2" w:tplc="8752EB6C">
      <w:start w:val="1"/>
      <w:numFmt w:val="lowerRoman"/>
      <w:lvlText w:val="%3."/>
      <w:lvlJc w:val="right"/>
      <w:pPr>
        <w:ind w:left="2160" w:hanging="180"/>
      </w:pPr>
    </w:lvl>
    <w:lvl w:ilvl="3" w:tplc="1D8CF042">
      <w:start w:val="1"/>
      <w:numFmt w:val="decimal"/>
      <w:lvlText w:val="%4."/>
      <w:lvlJc w:val="left"/>
      <w:pPr>
        <w:ind w:left="2880" w:hanging="360"/>
      </w:pPr>
    </w:lvl>
    <w:lvl w:ilvl="4" w:tplc="B3A07636">
      <w:start w:val="1"/>
      <w:numFmt w:val="lowerLetter"/>
      <w:lvlText w:val="%5."/>
      <w:lvlJc w:val="left"/>
      <w:pPr>
        <w:ind w:left="3600" w:hanging="360"/>
      </w:pPr>
    </w:lvl>
    <w:lvl w:ilvl="5" w:tplc="6EC87B70">
      <w:start w:val="1"/>
      <w:numFmt w:val="lowerRoman"/>
      <w:lvlText w:val="%6."/>
      <w:lvlJc w:val="right"/>
      <w:pPr>
        <w:ind w:left="4320" w:hanging="180"/>
      </w:pPr>
    </w:lvl>
    <w:lvl w:ilvl="6" w:tplc="14E847FC">
      <w:start w:val="1"/>
      <w:numFmt w:val="decimal"/>
      <w:lvlText w:val="%7."/>
      <w:lvlJc w:val="left"/>
      <w:pPr>
        <w:ind w:left="5040" w:hanging="360"/>
      </w:pPr>
    </w:lvl>
    <w:lvl w:ilvl="7" w:tplc="E03CF354">
      <w:start w:val="1"/>
      <w:numFmt w:val="lowerLetter"/>
      <w:lvlText w:val="%8."/>
      <w:lvlJc w:val="left"/>
      <w:pPr>
        <w:ind w:left="5760" w:hanging="360"/>
      </w:pPr>
    </w:lvl>
    <w:lvl w:ilvl="8" w:tplc="682011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E2366"/>
    <w:multiLevelType w:val="hybridMultilevel"/>
    <w:tmpl w:val="FFFFFFFF"/>
    <w:lvl w:ilvl="0" w:tplc="638693CE">
      <w:start w:val="1"/>
      <w:numFmt w:val="decimal"/>
      <w:lvlText w:val="%1."/>
      <w:lvlJc w:val="left"/>
      <w:pPr>
        <w:ind w:left="720" w:hanging="360"/>
      </w:pPr>
    </w:lvl>
    <w:lvl w:ilvl="1" w:tplc="D52A391C">
      <w:start w:val="1"/>
      <w:numFmt w:val="lowerLetter"/>
      <w:lvlText w:val="%2."/>
      <w:lvlJc w:val="left"/>
      <w:pPr>
        <w:ind w:left="1440" w:hanging="360"/>
      </w:pPr>
    </w:lvl>
    <w:lvl w:ilvl="2" w:tplc="3F52A78A">
      <w:start w:val="1"/>
      <w:numFmt w:val="lowerRoman"/>
      <w:lvlText w:val="%3."/>
      <w:lvlJc w:val="right"/>
      <w:pPr>
        <w:ind w:left="2160" w:hanging="180"/>
      </w:pPr>
    </w:lvl>
    <w:lvl w:ilvl="3" w:tplc="F36AC272">
      <w:start w:val="1"/>
      <w:numFmt w:val="decimal"/>
      <w:lvlText w:val="%4."/>
      <w:lvlJc w:val="left"/>
      <w:pPr>
        <w:ind w:left="2880" w:hanging="360"/>
      </w:pPr>
    </w:lvl>
    <w:lvl w:ilvl="4" w:tplc="04EC3766">
      <w:start w:val="1"/>
      <w:numFmt w:val="lowerLetter"/>
      <w:lvlText w:val="%5."/>
      <w:lvlJc w:val="left"/>
      <w:pPr>
        <w:ind w:left="3600" w:hanging="360"/>
      </w:pPr>
    </w:lvl>
    <w:lvl w:ilvl="5" w:tplc="BC801AEC">
      <w:start w:val="1"/>
      <w:numFmt w:val="lowerRoman"/>
      <w:lvlText w:val="%6."/>
      <w:lvlJc w:val="right"/>
      <w:pPr>
        <w:ind w:left="4320" w:hanging="180"/>
      </w:pPr>
    </w:lvl>
    <w:lvl w:ilvl="6" w:tplc="25323F20">
      <w:start w:val="1"/>
      <w:numFmt w:val="decimal"/>
      <w:lvlText w:val="%7."/>
      <w:lvlJc w:val="left"/>
      <w:pPr>
        <w:ind w:left="5040" w:hanging="360"/>
      </w:pPr>
    </w:lvl>
    <w:lvl w:ilvl="7" w:tplc="32462FEA">
      <w:start w:val="1"/>
      <w:numFmt w:val="lowerLetter"/>
      <w:lvlText w:val="%8."/>
      <w:lvlJc w:val="left"/>
      <w:pPr>
        <w:ind w:left="5760" w:hanging="360"/>
      </w:pPr>
    </w:lvl>
    <w:lvl w:ilvl="8" w:tplc="792E730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6587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AC42F"/>
    <w:multiLevelType w:val="hybridMultilevel"/>
    <w:tmpl w:val="B8BEEA2E"/>
    <w:lvl w:ilvl="0" w:tplc="955A1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6E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84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88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E9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064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45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E9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63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20198"/>
    <w:multiLevelType w:val="hybridMultilevel"/>
    <w:tmpl w:val="70DE78A4"/>
    <w:lvl w:ilvl="0" w:tplc="A8485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E2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D43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21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24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C3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E6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0B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ED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F7A5C"/>
    <w:multiLevelType w:val="hybridMultilevel"/>
    <w:tmpl w:val="D690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1238E"/>
    <w:multiLevelType w:val="hybridMultilevel"/>
    <w:tmpl w:val="F0F0BA06"/>
    <w:lvl w:ilvl="0" w:tplc="922C4DD2">
      <w:start w:val="1"/>
      <w:numFmt w:val="bullet"/>
      <w:lvlText w:val="-"/>
      <w:lvlJc w:val="left"/>
      <w:pPr>
        <w:ind w:left="720" w:hanging="360"/>
      </w:pPr>
      <w:rPr>
        <w:rFonts w:ascii="Aptos" w:eastAsia="Times New Roman" w:hAnsi="Aptos" w:cs="Apto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083382">
    <w:abstractNumId w:val="3"/>
  </w:num>
  <w:num w:numId="2" w16cid:durableId="495000323">
    <w:abstractNumId w:val="4"/>
  </w:num>
  <w:num w:numId="3" w16cid:durableId="1540774988">
    <w:abstractNumId w:val="0"/>
  </w:num>
  <w:num w:numId="4" w16cid:durableId="545990817">
    <w:abstractNumId w:val="1"/>
  </w:num>
  <w:num w:numId="5" w16cid:durableId="1062023448">
    <w:abstractNumId w:val="5"/>
  </w:num>
  <w:num w:numId="6" w16cid:durableId="72315153">
    <w:abstractNumId w:val="6"/>
  </w:num>
  <w:num w:numId="7" w16cid:durableId="788090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E3"/>
    <w:rsid w:val="00000CCE"/>
    <w:rsid w:val="0001123E"/>
    <w:rsid w:val="000134E3"/>
    <w:rsid w:val="00016F85"/>
    <w:rsid w:val="00022450"/>
    <w:rsid w:val="0002375F"/>
    <w:rsid w:val="00023A8C"/>
    <w:rsid w:val="00025A62"/>
    <w:rsid w:val="00032C6B"/>
    <w:rsid w:val="000360B2"/>
    <w:rsid w:val="00063CAD"/>
    <w:rsid w:val="00065350"/>
    <w:rsid w:val="000765F4"/>
    <w:rsid w:val="00086CA5"/>
    <w:rsid w:val="0008740A"/>
    <w:rsid w:val="00087745"/>
    <w:rsid w:val="00092806"/>
    <w:rsid w:val="00094426"/>
    <w:rsid w:val="000949D2"/>
    <w:rsid w:val="00097B5E"/>
    <w:rsid w:val="000A79F1"/>
    <w:rsid w:val="000D4073"/>
    <w:rsid w:val="000E034E"/>
    <w:rsid w:val="000E637F"/>
    <w:rsid w:val="000E7D7B"/>
    <w:rsid w:val="000F11A7"/>
    <w:rsid w:val="00100C44"/>
    <w:rsid w:val="0010238D"/>
    <w:rsid w:val="0010380B"/>
    <w:rsid w:val="0011332C"/>
    <w:rsid w:val="001170F2"/>
    <w:rsid w:val="001262BB"/>
    <w:rsid w:val="001323A9"/>
    <w:rsid w:val="0013263E"/>
    <w:rsid w:val="0013793D"/>
    <w:rsid w:val="001408AF"/>
    <w:rsid w:val="00155088"/>
    <w:rsid w:val="00170FD2"/>
    <w:rsid w:val="0017186A"/>
    <w:rsid w:val="00175F05"/>
    <w:rsid w:val="00175F71"/>
    <w:rsid w:val="00177192"/>
    <w:rsid w:val="0018159A"/>
    <w:rsid w:val="00181D51"/>
    <w:rsid w:val="00192839"/>
    <w:rsid w:val="001A3F41"/>
    <w:rsid w:val="001B05A5"/>
    <w:rsid w:val="001B3D3D"/>
    <w:rsid w:val="001B770F"/>
    <w:rsid w:val="001D1C2E"/>
    <w:rsid w:val="001E0B44"/>
    <w:rsid w:val="001E322F"/>
    <w:rsid w:val="001F3F98"/>
    <w:rsid w:val="00207E78"/>
    <w:rsid w:val="00215AAA"/>
    <w:rsid w:val="002178F9"/>
    <w:rsid w:val="00223196"/>
    <w:rsid w:val="00223207"/>
    <w:rsid w:val="002316BA"/>
    <w:rsid w:val="00240AE5"/>
    <w:rsid w:val="00245FB8"/>
    <w:rsid w:val="00247C2A"/>
    <w:rsid w:val="00250E36"/>
    <w:rsid w:val="0025450C"/>
    <w:rsid w:val="00254BCF"/>
    <w:rsid w:val="00261DDF"/>
    <w:rsid w:val="002639C7"/>
    <w:rsid w:val="00267AF4"/>
    <w:rsid w:val="0027178B"/>
    <w:rsid w:val="00277D96"/>
    <w:rsid w:val="002A2B26"/>
    <w:rsid w:val="002B4359"/>
    <w:rsid w:val="002B5B64"/>
    <w:rsid w:val="002C0C43"/>
    <w:rsid w:val="002C2109"/>
    <w:rsid w:val="002C2248"/>
    <w:rsid w:val="002D2C46"/>
    <w:rsid w:val="002E0789"/>
    <w:rsid w:val="002E1ACF"/>
    <w:rsid w:val="002E4BDE"/>
    <w:rsid w:val="002F442A"/>
    <w:rsid w:val="002F523E"/>
    <w:rsid w:val="00301CB2"/>
    <w:rsid w:val="003053A9"/>
    <w:rsid w:val="00305C5F"/>
    <w:rsid w:val="00311FE9"/>
    <w:rsid w:val="00320D0E"/>
    <w:rsid w:val="0032423D"/>
    <w:rsid w:val="003304F7"/>
    <w:rsid w:val="00331876"/>
    <w:rsid w:val="00342EB3"/>
    <w:rsid w:val="00343DAA"/>
    <w:rsid w:val="00350140"/>
    <w:rsid w:val="003514D1"/>
    <w:rsid w:val="0036738A"/>
    <w:rsid w:val="003674CD"/>
    <w:rsid w:val="00387C3E"/>
    <w:rsid w:val="0039029A"/>
    <w:rsid w:val="0039249A"/>
    <w:rsid w:val="00395D51"/>
    <w:rsid w:val="003B0EC4"/>
    <w:rsid w:val="003B21B7"/>
    <w:rsid w:val="003B322B"/>
    <w:rsid w:val="003B6ED9"/>
    <w:rsid w:val="003C1B43"/>
    <w:rsid w:val="003C5D9F"/>
    <w:rsid w:val="003C7057"/>
    <w:rsid w:val="003D0ED7"/>
    <w:rsid w:val="003D3923"/>
    <w:rsid w:val="003D6373"/>
    <w:rsid w:val="003E1A34"/>
    <w:rsid w:val="003E30B5"/>
    <w:rsid w:val="00403252"/>
    <w:rsid w:val="00413319"/>
    <w:rsid w:val="0041450F"/>
    <w:rsid w:val="00417077"/>
    <w:rsid w:val="00420B93"/>
    <w:rsid w:val="00460994"/>
    <w:rsid w:val="00460C9F"/>
    <w:rsid w:val="00474452"/>
    <w:rsid w:val="004A024B"/>
    <w:rsid w:val="004A384F"/>
    <w:rsid w:val="004A4D08"/>
    <w:rsid w:val="004B1B85"/>
    <w:rsid w:val="004C42F6"/>
    <w:rsid w:val="004C46FB"/>
    <w:rsid w:val="004E3F6A"/>
    <w:rsid w:val="004F7B85"/>
    <w:rsid w:val="00506F86"/>
    <w:rsid w:val="005138DE"/>
    <w:rsid w:val="00517471"/>
    <w:rsid w:val="00517AA4"/>
    <w:rsid w:val="00522D13"/>
    <w:rsid w:val="00530225"/>
    <w:rsid w:val="00530BB8"/>
    <w:rsid w:val="00535045"/>
    <w:rsid w:val="005371C5"/>
    <w:rsid w:val="005418CF"/>
    <w:rsid w:val="005425DF"/>
    <w:rsid w:val="00543075"/>
    <w:rsid w:val="005519E7"/>
    <w:rsid w:val="0056324C"/>
    <w:rsid w:val="00567D35"/>
    <w:rsid w:val="005808C5"/>
    <w:rsid w:val="00584C0B"/>
    <w:rsid w:val="00585954"/>
    <w:rsid w:val="00591D4F"/>
    <w:rsid w:val="00592560"/>
    <w:rsid w:val="005A3DB6"/>
    <w:rsid w:val="005AE51F"/>
    <w:rsid w:val="005B1E1A"/>
    <w:rsid w:val="005B58BF"/>
    <w:rsid w:val="005C4162"/>
    <w:rsid w:val="005C7D34"/>
    <w:rsid w:val="005D66FA"/>
    <w:rsid w:val="005D7170"/>
    <w:rsid w:val="005E4468"/>
    <w:rsid w:val="005F2089"/>
    <w:rsid w:val="005F5465"/>
    <w:rsid w:val="0060298E"/>
    <w:rsid w:val="006066AF"/>
    <w:rsid w:val="0061462D"/>
    <w:rsid w:val="00614EF1"/>
    <w:rsid w:val="0061567E"/>
    <w:rsid w:val="006200FA"/>
    <w:rsid w:val="00623609"/>
    <w:rsid w:val="00633A92"/>
    <w:rsid w:val="006407C2"/>
    <w:rsid w:val="00640CFC"/>
    <w:rsid w:val="00644BAE"/>
    <w:rsid w:val="00651017"/>
    <w:rsid w:val="00656661"/>
    <w:rsid w:val="00657564"/>
    <w:rsid w:val="00666CBC"/>
    <w:rsid w:val="00671DD2"/>
    <w:rsid w:val="00672450"/>
    <w:rsid w:val="0068107B"/>
    <w:rsid w:val="00690B7A"/>
    <w:rsid w:val="006A6AF6"/>
    <w:rsid w:val="006C498D"/>
    <w:rsid w:val="006D2DBA"/>
    <w:rsid w:val="006D414B"/>
    <w:rsid w:val="006E304E"/>
    <w:rsid w:val="006F09E9"/>
    <w:rsid w:val="006F0C7A"/>
    <w:rsid w:val="006F214F"/>
    <w:rsid w:val="006F440A"/>
    <w:rsid w:val="006F4EBD"/>
    <w:rsid w:val="006F7C85"/>
    <w:rsid w:val="00711BE0"/>
    <w:rsid w:val="007177AB"/>
    <w:rsid w:val="0072271A"/>
    <w:rsid w:val="00725BB6"/>
    <w:rsid w:val="00740711"/>
    <w:rsid w:val="007415A4"/>
    <w:rsid w:val="00746E84"/>
    <w:rsid w:val="00756D52"/>
    <w:rsid w:val="007570BE"/>
    <w:rsid w:val="00761ABE"/>
    <w:rsid w:val="007647E2"/>
    <w:rsid w:val="0077430B"/>
    <w:rsid w:val="007907AE"/>
    <w:rsid w:val="0079517F"/>
    <w:rsid w:val="0079691B"/>
    <w:rsid w:val="007A7A98"/>
    <w:rsid w:val="007B10B0"/>
    <w:rsid w:val="007B3EB9"/>
    <w:rsid w:val="007D20B5"/>
    <w:rsid w:val="007E3B23"/>
    <w:rsid w:val="00807243"/>
    <w:rsid w:val="008103CC"/>
    <w:rsid w:val="00814608"/>
    <w:rsid w:val="00817FE5"/>
    <w:rsid w:val="00822B5B"/>
    <w:rsid w:val="00822FAE"/>
    <w:rsid w:val="008248DB"/>
    <w:rsid w:val="00834658"/>
    <w:rsid w:val="008372A2"/>
    <w:rsid w:val="008562FD"/>
    <w:rsid w:val="008611AF"/>
    <w:rsid w:val="00862906"/>
    <w:rsid w:val="00866196"/>
    <w:rsid w:val="00870055"/>
    <w:rsid w:val="00872472"/>
    <w:rsid w:val="00872781"/>
    <w:rsid w:val="00875300"/>
    <w:rsid w:val="0088138D"/>
    <w:rsid w:val="0088414D"/>
    <w:rsid w:val="00892A36"/>
    <w:rsid w:val="00897B66"/>
    <w:rsid w:val="00897CAA"/>
    <w:rsid w:val="008A271E"/>
    <w:rsid w:val="008A3AA9"/>
    <w:rsid w:val="008B113A"/>
    <w:rsid w:val="008C52BE"/>
    <w:rsid w:val="008D2D51"/>
    <w:rsid w:val="008D7875"/>
    <w:rsid w:val="008F33A6"/>
    <w:rsid w:val="008F7E1E"/>
    <w:rsid w:val="00900CB9"/>
    <w:rsid w:val="00903D49"/>
    <w:rsid w:val="00907F4D"/>
    <w:rsid w:val="009126BC"/>
    <w:rsid w:val="00922FD3"/>
    <w:rsid w:val="009239B5"/>
    <w:rsid w:val="00931A60"/>
    <w:rsid w:val="0094508E"/>
    <w:rsid w:val="00946055"/>
    <w:rsid w:val="00956EE1"/>
    <w:rsid w:val="00960B09"/>
    <w:rsid w:val="00961696"/>
    <w:rsid w:val="00961BBA"/>
    <w:rsid w:val="009760FF"/>
    <w:rsid w:val="00984921"/>
    <w:rsid w:val="00986FE5"/>
    <w:rsid w:val="009878A4"/>
    <w:rsid w:val="00990135"/>
    <w:rsid w:val="009905BC"/>
    <w:rsid w:val="0099444E"/>
    <w:rsid w:val="00995425"/>
    <w:rsid w:val="009A0592"/>
    <w:rsid w:val="009A28ED"/>
    <w:rsid w:val="009A3169"/>
    <w:rsid w:val="009B549B"/>
    <w:rsid w:val="009C1FF9"/>
    <w:rsid w:val="009C46E7"/>
    <w:rsid w:val="009D6FF9"/>
    <w:rsid w:val="009E3752"/>
    <w:rsid w:val="009E56C8"/>
    <w:rsid w:val="009E7D52"/>
    <w:rsid w:val="00A06C29"/>
    <w:rsid w:val="00A23D28"/>
    <w:rsid w:val="00A24E82"/>
    <w:rsid w:val="00A32E8E"/>
    <w:rsid w:val="00A409E6"/>
    <w:rsid w:val="00A41208"/>
    <w:rsid w:val="00A47614"/>
    <w:rsid w:val="00A665FB"/>
    <w:rsid w:val="00A761E6"/>
    <w:rsid w:val="00A81F9D"/>
    <w:rsid w:val="00A86955"/>
    <w:rsid w:val="00AA7C7D"/>
    <w:rsid w:val="00AB1A6E"/>
    <w:rsid w:val="00AB260A"/>
    <w:rsid w:val="00AB3E7C"/>
    <w:rsid w:val="00AB547A"/>
    <w:rsid w:val="00AC3F12"/>
    <w:rsid w:val="00AD32ED"/>
    <w:rsid w:val="00AD3B61"/>
    <w:rsid w:val="00B12F81"/>
    <w:rsid w:val="00B13516"/>
    <w:rsid w:val="00B14CF8"/>
    <w:rsid w:val="00B150A1"/>
    <w:rsid w:val="00B17525"/>
    <w:rsid w:val="00B2025D"/>
    <w:rsid w:val="00B20725"/>
    <w:rsid w:val="00B209C1"/>
    <w:rsid w:val="00B22EE5"/>
    <w:rsid w:val="00B308BE"/>
    <w:rsid w:val="00B430F0"/>
    <w:rsid w:val="00B4480F"/>
    <w:rsid w:val="00B55844"/>
    <w:rsid w:val="00B57AFF"/>
    <w:rsid w:val="00B60BA7"/>
    <w:rsid w:val="00B727FA"/>
    <w:rsid w:val="00B73EC6"/>
    <w:rsid w:val="00B916DE"/>
    <w:rsid w:val="00B948DB"/>
    <w:rsid w:val="00BB0008"/>
    <w:rsid w:val="00BB5A00"/>
    <w:rsid w:val="00BB76C9"/>
    <w:rsid w:val="00BD03F6"/>
    <w:rsid w:val="00BE0EFA"/>
    <w:rsid w:val="00BE4D7D"/>
    <w:rsid w:val="00BE6FF5"/>
    <w:rsid w:val="00BE7CED"/>
    <w:rsid w:val="00C00F20"/>
    <w:rsid w:val="00C2112A"/>
    <w:rsid w:val="00C22CBF"/>
    <w:rsid w:val="00C3665B"/>
    <w:rsid w:val="00C43937"/>
    <w:rsid w:val="00C513D6"/>
    <w:rsid w:val="00C547B4"/>
    <w:rsid w:val="00C62187"/>
    <w:rsid w:val="00C62C5C"/>
    <w:rsid w:val="00C6618B"/>
    <w:rsid w:val="00C679A0"/>
    <w:rsid w:val="00C7006C"/>
    <w:rsid w:val="00C824D2"/>
    <w:rsid w:val="00C828B1"/>
    <w:rsid w:val="00C8336F"/>
    <w:rsid w:val="00C84945"/>
    <w:rsid w:val="00C84EE3"/>
    <w:rsid w:val="00CB3346"/>
    <w:rsid w:val="00CB7EB2"/>
    <w:rsid w:val="00CC30D2"/>
    <w:rsid w:val="00CD225F"/>
    <w:rsid w:val="00CD3DA4"/>
    <w:rsid w:val="00CD40D7"/>
    <w:rsid w:val="00CF3577"/>
    <w:rsid w:val="00D031F5"/>
    <w:rsid w:val="00D1451D"/>
    <w:rsid w:val="00D14F21"/>
    <w:rsid w:val="00D1598C"/>
    <w:rsid w:val="00D40A00"/>
    <w:rsid w:val="00D41025"/>
    <w:rsid w:val="00D448D4"/>
    <w:rsid w:val="00D53382"/>
    <w:rsid w:val="00D617B2"/>
    <w:rsid w:val="00D74806"/>
    <w:rsid w:val="00D81DA1"/>
    <w:rsid w:val="00D907E0"/>
    <w:rsid w:val="00D95089"/>
    <w:rsid w:val="00D953BF"/>
    <w:rsid w:val="00D95D2F"/>
    <w:rsid w:val="00DA021B"/>
    <w:rsid w:val="00DA2E94"/>
    <w:rsid w:val="00DA349A"/>
    <w:rsid w:val="00DA6E8D"/>
    <w:rsid w:val="00DA7A26"/>
    <w:rsid w:val="00DC1FCC"/>
    <w:rsid w:val="00DC6199"/>
    <w:rsid w:val="00DC6291"/>
    <w:rsid w:val="00DC741C"/>
    <w:rsid w:val="00DE2CA9"/>
    <w:rsid w:val="00DE3D71"/>
    <w:rsid w:val="00DF5D6D"/>
    <w:rsid w:val="00E04B6E"/>
    <w:rsid w:val="00E0707D"/>
    <w:rsid w:val="00E175FB"/>
    <w:rsid w:val="00E17F2E"/>
    <w:rsid w:val="00E20EAB"/>
    <w:rsid w:val="00E3222F"/>
    <w:rsid w:val="00E339F8"/>
    <w:rsid w:val="00E35890"/>
    <w:rsid w:val="00E51691"/>
    <w:rsid w:val="00E63E19"/>
    <w:rsid w:val="00E64801"/>
    <w:rsid w:val="00E66B6B"/>
    <w:rsid w:val="00E712AA"/>
    <w:rsid w:val="00E7335A"/>
    <w:rsid w:val="00E738AF"/>
    <w:rsid w:val="00E74709"/>
    <w:rsid w:val="00E94585"/>
    <w:rsid w:val="00E94F05"/>
    <w:rsid w:val="00EA311D"/>
    <w:rsid w:val="00EA66ED"/>
    <w:rsid w:val="00EA6AEE"/>
    <w:rsid w:val="00EB6E82"/>
    <w:rsid w:val="00ED2EA6"/>
    <w:rsid w:val="00ED493F"/>
    <w:rsid w:val="00ED6ABD"/>
    <w:rsid w:val="00EE0108"/>
    <w:rsid w:val="00EE5FB9"/>
    <w:rsid w:val="00EE6D37"/>
    <w:rsid w:val="00EF570B"/>
    <w:rsid w:val="00EF5AC3"/>
    <w:rsid w:val="00F00022"/>
    <w:rsid w:val="00F23559"/>
    <w:rsid w:val="00F24E91"/>
    <w:rsid w:val="00F317D0"/>
    <w:rsid w:val="00F533A0"/>
    <w:rsid w:val="00F53967"/>
    <w:rsid w:val="00F558A1"/>
    <w:rsid w:val="00F575FC"/>
    <w:rsid w:val="00F65920"/>
    <w:rsid w:val="00F723B9"/>
    <w:rsid w:val="00F74FC6"/>
    <w:rsid w:val="00F940F5"/>
    <w:rsid w:val="00FA16C1"/>
    <w:rsid w:val="00FC4C92"/>
    <w:rsid w:val="00FC6D63"/>
    <w:rsid w:val="00FD46AA"/>
    <w:rsid w:val="00FD4847"/>
    <w:rsid w:val="00FD6BC1"/>
    <w:rsid w:val="00FD74A3"/>
    <w:rsid w:val="00FF1E69"/>
    <w:rsid w:val="01D3A1AD"/>
    <w:rsid w:val="02BFB7F2"/>
    <w:rsid w:val="031BC55E"/>
    <w:rsid w:val="04423E00"/>
    <w:rsid w:val="05291AA9"/>
    <w:rsid w:val="05ED9A7C"/>
    <w:rsid w:val="05EFF1D5"/>
    <w:rsid w:val="0664F3E2"/>
    <w:rsid w:val="067A37F9"/>
    <w:rsid w:val="07B93B3C"/>
    <w:rsid w:val="0965810F"/>
    <w:rsid w:val="0A23CCAB"/>
    <w:rsid w:val="0A6B4997"/>
    <w:rsid w:val="0BA72E30"/>
    <w:rsid w:val="0BCBDC4A"/>
    <w:rsid w:val="0BD4DE87"/>
    <w:rsid w:val="0C59621A"/>
    <w:rsid w:val="0C695AD3"/>
    <w:rsid w:val="0CAA9E28"/>
    <w:rsid w:val="0CB4BEC3"/>
    <w:rsid w:val="0CE3BDED"/>
    <w:rsid w:val="0DC9505A"/>
    <w:rsid w:val="0EBB1F87"/>
    <w:rsid w:val="0ED2F034"/>
    <w:rsid w:val="0EF05EC1"/>
    <w:rsid w:val="0F11E811"/>
    <w:rsid w:val="0F4CD6AE"/>
    <w:rsid w:val="0FA57F8C"/>
    <w:rsid w:val="11BEB9CB"/>
    <w:rsid w:val="1272B17E"/>
    <w:rsid w:val="127A0B06"/>
    <w:rsid w:val="1294E313"/>
    <w:rsid w:val="12EFE97A"/>
    <w:rsid w:val="132C5282"/>
    <w:rsid w:val="13FA7B28"/>
    <w:rsid w:val="14484210"/>
    <w:rsid w:val="1497D774"/>
    <w:rsid w:val="1530BEAA"/>
    <w:rsid w:val="154ED4CE"/>
    <w:rsid w:val="15AEE807"/>
    <w:rsid w:val="1747B220"/>
    <w:rsid w:val="1853834F"/>
    <w:rsid w:val="18D3230F"/>
    <w:rsid w:val="19B9BC4E"/>
    <w:rsid w:val="1A672463"/>
    <w:rsid w:val="1ABAB399"/>
    <w:rsid w:val="1AD817B5"/>
    <w:rsid w:val="1AD957B7"/>
    <w:rsid w:val="1B83618E"/>
    <w:rsid w:val="1C63F001"/>
    <w:rsid w:val="1C960FBB"/>
    <w:rsid w:val="1D9E918C"/>
    <w:rsid w:val="1EBDC12B"/>
    <w:rsid w:val="1F364A65"/>
    <w:rsid w:val="2104F66B"/>
    <w:rsid w:val="2152AF81"/>
    <w:rsid w:val="21718C76"/>
    <w:rsid w:val="22B9183F"/>
    <w:rsid w:val="2371CDA8"/>
    <w:rsid w:val="2557B62F"/>
    <w:rsid w:val="25984346"/>
    <w:rsid w:val="25CEBE6C"/>
    <w:rsid w:val="25CFC8A1"/>
    <w:rsid w:val="26E1A264"/>
    <w:rsid w:val="2774054A"/>
    <w:rsid w:val="278735B9"/>
    <w:rsid w:val="278F9520"/>
    <w:rsid w:val="279796D9"/>
    <w:rsid w:val="285D8573"/>
    <w:rsid w:val="289CEAFB"/>
    <w:rsid w:val="2A544EB8"/>
    <w:rsid w:val="2A774B3D"/>
    <w:rsid w:val="2B1154ED"/>
    <w:rsid w:val="2BD55302"/>
    <w:rsid w:val="2BE80C36"/>
    <w:rsid w:val="2D5A0E51"/>
    <w:rsid w:val="2D5EF4F1"/>
    <w:rsid w:val="2DBF08E4"/>
    <w:rsid w:val="2E220AD2"/>
    <w:rsid w:val="2E80A997"/>
    <w:rsid w:val="2EFC5006"/>
    <w:rsid w:val="2F52E0E7"/>
    <w:rsid w:val="2FF98A7A"/>
    <w:rsid w:val="30889F38"/>
    <w:rsid w:val="3091CB18"/>
    <w:rsid w:val="31A741CD"/>
    <w:rsid w:val="31EF904E"/>
    <w:rsid w:val="31EFB600"/>
    <w:rsid w:val="32C5F9A5"/>
    <w:rsid w:val="32D5F8E6"/>
    <w:rsid w:val="3698AF5A"/>
    <w:rsid w:val="37C8C60B"/>
    <w:rsid w:val="37F5F677"/>
    <w:rsid w:val="37F74243"/>
    <w:rsid w:val="382EE43C"/>
    <w:rsid w:val="3C131D23"/>
    <w:rsid w:val="3D97D586"/>
    <w:rsid w:val="3E729D32"/>
    <w:rsid w:val="3F374AC1"/>
    <w:rsid w:val="3F3D2B79"/>
    <w:rsid w:val="3F9D8832"/>
    <w:rsid w:val="3FABEFF5"/>
    <w:rsid w:val="3FD2F27F"/>
    <w:rsid w:val="4007F933"/>
    <w:rsid w:val="401A0534"/>
    <w:rsid w:val="4033789D"/>
    <w:rsid w:val="40CA0FF0"/>
    <w:rsid w:val="41255489"/>
    <w:rsid w:val="419FCBBE"/>
    <w:rsid w:val="41C0B0D0"/>
    <w:rsid w:val="41D546F0"/>
    <w:rsid w:val="422C4F9A"/>
    <w:rsid w:val="4261BD7F"/>
    <w:rsid w:val="437ED5DD"/>
    <w:rsid w:val="444108C4"/>
    <w:rsid w:val="45297A15"/>
    <w:rsid w:val="45B6809C"/>
    <w:rsid w:val="46155679"/>
    <w:rsid w:val="462A7BD7"/>
    <w:rsid w:val="46CEAAE9"/>
    <w:rsid w:val="4704D81B"/>
    <w:rsid w:val="47EEFEA8"/>
    <w:rsid w:val="4826A6C3"/>
    <w:rsid w:val="49D51E1F"/>
    <w:rsid w:val="4A099BBF"/>
    <w:rsid w:val="4A1F8FBF"/>
    <w:rsid w:val="4AFA4379"/>
    <w:rsid w:val="4B250DC1"/>
    <w:rsid w:val="4BD13A05"/>
    <w:rsid w:val="4C182CC0"/>
    <w:rsid w:val="4C68DF0D"/>
    <w:rsid w:val="4CA71B70"/>
    <w:rsid w:val="4CE37561"/>
    <w:rsid w:val="4E513B1E"/>
    <w:rsid w:val="4F10A17F"/>
    <w:rsid w:val="4F477164"/>
    <w:rsid w:val="4F863EC2"/>
    <w:rsid w:val="5004DAC8"/>
    <w:rsid w:val="50A9B8BB"/>
    <w:rsid w:val="51394E11"/>
    <w:rsid w:val="51F677C9"/>
    <w:rsid w:val="536F7792"/>
    <w:rsid w:val="53D40213"/>
    <w:rsid w:val="54526D7B"/>
    <w:rsid w:val="568D49AD"/>
    <w:rsid w:val="56A23E06"/>
    <w:rsid w:val="58B5D9AB"/>
    <w:rsid w:val="5972245D"/>
    <w:rsid w:val="5A9BF028"/>
    <w:rsid w:val="5AB9662E"/>
    <w:rsid w:val="5ADF30F2"/>
    <w:rsid w:val="5B2A5C4A"/>
    <w:rsid w:val="5CFD4C41"/>
    <w:rsid w:val="5D1BD6EB"/>
    <w:rsid w:val="5F9B9181"/>
    <w:rsid w:val="601DE4B1"/>
    <w:rsid w:val="602D6C6D"/>
    <w:rsid w:val="60C37A0D"/>
    <w:rsid w:val="60F403B1"/>
    <w:rsid w:val="616AA2B6"/>
    <w:rsid w:val="618CEE35"/>
    <w:rsid w:val="626DEB64"/>
    <w:rsid w:val="62F928FD"/>
    <w:rsid w:val="63578A3D"/>
    <w:rsid w:val="65BF4A86"/>
    <w:rsid w:val="65C578EB"/>
    <w:rsid w:val="66872836"/>
    <w:rsid w:val="66ED7952"/>
    <w:rsid w:val="68820A08"/>
    <w:rsid w:val="691C5AD5"/>
    <w:rsid w:val="6948C7D6"/>
    <w:rsid w:val="696CC582"/>
    <w:rsid w:val="69B7EB91"/>
    <w:rsid w:val="69E1F809"/>
    <w:rsid w:val="6A0E4756"/>
    <w:rsid w:val="6B3CABAD"/>
    <w:rsid w:val="6BEFAEAE"/>
    <w:rsid w:val="6C0357A7"/>
    <w:rsid w:val="6C26C0F7"/>
    <w:rsid w:val="6C458DA9"/>
    <w:rsid w:val="6C9EC2AC"/>
    <w:rsid w:val="6D82B248"/>
    <w:rsid w:val="6D88BB47"/>
    <w:rsid w:val="6ED33320"/>
    <w:rsid w:val="6F5767E4"/>
    <w:rsid w:val="70C0BD02"/>
    <w:rsid w:val="717ADD94"/>
    <w:rsid w:val="71C09737"/>
    <w:rsid w:val="71E02AE2"/>
    <w:rsid w:val="725B7B27"/>
    <w:rsid w:val="7280D2D2"/>
    <w:rsid w:val="73164E4C"/>
    <w:rsid w:val="73363D4D"/>
    <w:rsid w:val="7371D6FC"/>
    <w:rsid w:val="74DABB78"/>
    <w:rsid w:val="74FF6544"/>
    <w:rsid w:val="758779A8"/>
    <w:rsid w:val="75CBAAFE"/>
    <w:rsid w:val="76077B66"/>
    <w:rsid w:val="7745F519"/>
    <w:rsid w:val="77FD1356"/>
    <w:rsid w:val="79865005"/>
    <w:rsid w:val="79F26684"/>
    <w:rsid w:val="7A8DFCA3"/>
    <w:rsid w:val="7B316856"/>
    <w:rsid w:val="7C0AD942"/>
    <w:rsid w:val="7CC92BEC"/>
    <w:rsid w:val="7D906436"/>
    <w:rsid w:val="7DD497D8"/>
    <w:rsid w:val="7E827F72"/>
    <w:rsid w:val="7EC3CE78"/>
    <w:rsid w:val="7F999163"/>
    <w:rsid w:val="7FB1B9E6"/>
    <w:rsid w:val="7FD112BB"/>
    <w:rsid w:val="7FE9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CAF56"/>
  <w15:chartTrackingRefBased/>
  <w15:docId w15:val="{A591157F-C9F8-4495-B788-C973418C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E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E3"/>
  </w:style>
  <w:style w:type="paragraph" w:styleId="Footer">
    <w:name w:val="footer"/>
    <w:basedOn w:val="Normal"/>
    <w:link w:val="FooterChar"/>
    <w:uiPriority w:val="99"/>
    <w:unhideWhenUsed/>
    <w:rsid w:val="00C8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E3"/>
  </w:style>
  <w:style w:type="character" w:styleId="Hyperlink">
    <w:name w:val="Hyperlink"/>
    <w:basedOn w:val="DefaultParagraphFont"/>
    <w:uiPriority w:val="99"/>
    <w:unhideWhenUsed/>
    <w:rsid w:val="00BD03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3F6"/>
    <w:rPr>
      <w:color w:val="605E5C"/>
      <w:shd w:val="clear" w:color="auto" w:fill="E1DFDD"/>
    </w:rPr>
  </w:style>
  <w:style w:type="character" w:customStyle="1" w:styleId="eop">
    <w:name w:val="eop"/>
    <w:basedOn w:val="DefaultParagraphFont"/>
    <w:uiPriority w:val="1"/>
    <w:rsid w:val="70C0BD02"/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9E56C8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9E56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6C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56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50C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60298E"/>
    <w:pPr>
      <w:spacing w:after="0" w:line="240" w:lineRule="auto"/>
      <w:ind w:left="720"/>
    </w:pPr>
    <w:rPr>
      <w:rFonts w:ascii="Aptos" w:eastAsiaTheme="minorEastAsia" w:hAnsi="Aptos" w:cs="Aptos"/>
      <w:kern w:val="0"/>
      <w:lang w:eastAsia="zh-CN" w:bidi="th-TH"/>
      <w14:ligatures w14:val="none"/>
    </w:rPr>
  </w:style>
  <w:style w:type="character" w:customStyle="1" w:styleId="normaltextrun">
    <w:name w:val="normaltextrun"/>
    <w:basedOn w:val="DefaultParagraphFont"/>
    <w:rsid w:val="008D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doe.mass.edu/ccte/policies/admissions/default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13C92-6C9A-453A-9BC0-B00C66274D14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78782DF4-49BE-4D3A-A96E-00B3464CB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09C69-426A-48BB-8573-DFDC24665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May 20, 2025 Regular Meeting Item 2: Career Technical Education: Amendments to Regulations on Vocational Technical Education, 603 CMR 4.00 (Recruitment and Admissions)</vt:lpstr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May 20, 2025 Regular Meeting Item 2: Career Technical Education: Amendments to Regulations on Vocational Technical Education, 603 CMR 4.00 (Recruitment and Admissions)</dc:title>
  <dc:subject/>
  <dc:creator>DESE</dc:creator>
  <cp:keywords/>
  <dc:description/>
  <cp:lastModifiedBy>Zou, Dong (EOE)</cp:lastModifiedBy>
  <cp:revision>59</cp:revision>
  <dcterms:created xsi:type="dcterms:W3CDTF">2025-04-28T04:08:00Z</dcterms:created>
  <dcterms:modified xsi:type="dcterms:W3CDTF">2025-05-14T13:33:00Z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14 2025 12:00AM</vt:lpwstr>
  </property>
</Properties>
</file>