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1E0" w:firstRow="1" w:lastRow="1" w:firstColumn="1" w:lastColumn="1" w:noHBand="0" w:noVBand="0"/>
      </w:tblPr>
      <w:tblGrid>
        <w:gridCol w:w="1184"/>
        <w:gridCol w:w="8176"/>
      </w:tblGrid>
      <w:tr w:rsidR="00C3665B" w:rsidRPr="00C3665B" w14:paraId="30B0F129" w14:textId="77777777" w:rsidTr="51D3B527">
        <w:trPr>
          <w:trHeight w:val="345"/>
        </w:trPr>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77777777" w:rsidR="00C3665B" w:rsidRDefault="002C2248" w:rsidP="51D3B527">
            <w:pPr>
              <w:widowControl w:val="0"/>
              <w:tabs>
                <w:tab w:val="center" w:pos="4680"/>
                <w:tab w:val="right" w:pos="9360"/>
              </w:tabs>
              <w:spacing w:after="240" w:line="240" w:lineRule="auto"/>
            </w:pPr>
            <w:r w:rsidRPr="51D3B527">
              <w:rPr>
                <w:snapToGrid w:val="0"/>
              </w:rPr>
              <w:t>Members of the Board of Elementary and Secondary Education </w:t>
            </w:r>
          </w:p>
        </w:tc>
      </w:tr>
      <w:tr w:rsidR="00C3665B" w:rsidRPr="00C3665B" w14:paraId="014ADFC2" w14:textId="77777777" w:rsidTr="51D3B527">
        <w:tc>
          <w:tcPr>
            <w:tcW w:w="1184" w:type="dxa"/>
          </w:tcPr>
          <w:p w14:paraId="0F209268" w14:textId="77777777" w:rsidR="00C3665B" w:rsidRPr="00C3665B" w:rsidRDefault="00C3665B" w:rsidP="00C3665B">
            <w:pPr>
              <w:spacing w:after="0" w:line="240" w:lineRule="auto"/>
              <w:rPr>
                <w:b/>
              </w:rPr>
            </w:pPr>
            <w:r w:rsidRPr="00C3665B">
              <w:rPr>
                <w:b/>
              </w:rPr>
              <w:t>From:</w:t>
            </w:r>
            <w:r w:rsidRPr="00C3665B">
              <w:tab/>
            </w:r>
          </w:p>
        </w:tc>
        <w:tc>
          <w:tcPr>
            <w:tcW w:w="8176" w:type="dxa"/>
          </w:tcPr>
          <w:p w14:paraId="6F9D5175" w14:textId="57D63A14" w:rsidR="00C3665B" w:rsidRDefault="00E0707D" w:rsidP="51D3B527">
            <w:pPr>
              <w:widowControl w:val="0"/>
              <w:tabs>
                <w:tab w:val="center" w:pos="4680"/>
                <w:tab w:val="right" w:pos="9360"/>
              </w:tabs>
              <w:spacing w:after="240" w:line="240" w:lineRule="auto"/>
              <w:rPr>
                <w:snapToGrid w:val="0"/>
              </w:rPr>
            </w:pPr>
            <w:r w:rsidRPr="51D3B527">
              <w:rPr>
                <w:snapToGrid w:val="0"/>
              </w:rPr>
              <w:t>Patrick Tutwiler</w:t>
            </w:r>
            <w:r w:rsidR="00C3665B" w:rsidRPr="00C3665B">
              <w:rPr>
                <w:bCs/>
                <w:snapToGrid w:val="0"/>
              </w:rPr>
              <w:t xml:space="preserve">, </w:t>
            </w:r>
            <w:r w:rsidRPr="51D3B527">
              <w:rPr>
                <w:snapToGrid w:val="0"/>
              </w:rPr>
              <w:t>Interim</w:t>
            </w:r>
            <w:r w:rsidR="00C3665B" w:rsidRPr="51D3B527">
              <w:rPr>
                <w:snapToGrid w:val="0"/>
              </w:rPr>
              <w:t xml:space="preserve"> Commission</w:t>
            </w:r>
            <w:r w:rsidR="43BE2454" w:rsidRPr="51D3B527">
              <w:rPr>
                <w:snapToGrid w:val="0"/>
              </w:rPr>
              <w:t>er</w:t>
            </w:r>
          </w:p>
        </w:tc>
      </w:tr>
      <w:tr w:rsidR="00C3665B" w:rsidRPr="00C3665B" w14:paraId="02FD8403" w14:textId="77777777" w:rsidTr="51D3B527">
        <w:tc>
          <w:tcPr>
            <w:tcW w:w="1184" w:type="dxa"/>
          </w:tcPr>
          <w:p w14:paraId="3076B878" w14:textId="77777777" w:rsidR="00C3665B" w:rsidRPr="00C3665B" w:rsidRDefault="00C3665B" w:rsidP="00C3665B">
            <w:pPr>
              <w:spacing w:after="0" w:line="240" w:lineRule="auto"/>
              <w:rPr>
                <w:b/>
              </w:rPr>
            </w:pPr>
            <w:r w:rsidRPr="00C3665B">
              <w:rPr>
                <w:b/>
              </w:rPr>
              <w:t>Date:</w:t>
            </w:r>
            <w:r w:rsidRPr="00C3665B">
              <w:tab/>
            </w:r>
          </w:p>
        </w:tc>
        <w:tc>
          <w:tcPr>
            <w:tcW w:w="8176" w:type="dxa"/>
          </w:tcPr>
          <w:p w14:paraId="558FA6C4" w14:textId="04676334" w:rsidR="00560CEC" w:rsidRPr="00C3665B" w:rsidRDefault="3C131D23" w:rsidP="51D3B527">
            <w:pPr>
              <w:widowControl w:val="0"/>
              <w:tabs>
                <w:tab w:val="center" w:pos="4680"/>
                <w:tab w:val="right" w:pos="9360"/>
              </w:tabs>
              <w:spacing w:after="240" w:line="240" w:lineRule="auto"/>
            </w:pPr>
            <w:r>
              <w:t xml:space="preserve">May </w:t>
            </w:r>
            <w:r w:rsidR="00560CEC">
              <w:t>13</w:t>
            </w:r>
            <w:r w:rsidR="00C3665B">
              <w:t>, 202</w:t>
            </w:r>
            <w:r w:rsidR="00E0707D">
              <w:t>5</w:t>
            </w:r>
          </w:p>
        </w:tc>
      </w:tr>
      <w:tr w:rsidR="00C3665B" w:rsidRPr="00C3665B" w14:paraId="3A43128D" w14:textId="77777777" w:rsidTr="51D3B527">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5E62408C" w:rsidR="00C3665B" w:rsidRPr="00C3665B" w:rsidRDefault="12EFE97A" w:rsidP="00C3665B">
            <w:pPr>
              <w:widowControl w:val="0"/>
              <w:tabs>
                <w:tab w:val="center" w:pos="4680"/>
                <w:tab w:val="right" w:pos="9360"/>
              </w:tabs>
              <w:spacing w:after="0" w:line="240" w:lineRule="auto"/>
              <w:rPr>
                <w:snapToGrid w:val="0"/>
              </w:rPr>
            </w:pPr>
            <w:r>
              <w:t>Competency Determination: Amendments to Regulations on MCAS and Competency Determination, 603 CMR 30.00 (Addressing Changes in Statute)</w:t>
            </w:r>
            <w:r w:rsidR="21718C76">
              <w:t>, for Final Adoption</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Pr="00BD03F6" w:rsidRDefault="00B150A1" w:rsidP="00BD03F6">
      <w:pPr>
        <w:spacing w:after="0"/>
      </w:pPr>
    </w:p>
    <w:p w14:paraId="454239BF" w14:textId="77777777" w:rsidR="002E4BDE" w:rsidRPr="00BD03F6" w:rsidRDefault="002E4BDE" w:rsidP="00BD03F6">
      <w:pPr>
        <w:spacing w:after="0"/>
        <w:sectPr w:rsidR="002E4BDE" w:rsidRPr="00BD03F6" w:rsidSect="00725BB6">
          <w:footerReference w:type="default" r:id="rId16"/>
          <w:type w:val="continuous"/>
          <w:pgSz w:w="12240" w:h="15840"/>
          <w:pgMar w:top="1440" w:right="1440" w:bottom="1440" w:left="1440" w:header="720" w:footer="720" w:gutter="0"/>
          <w:cols w:space="720"/>
          <w:docGrid w:linePitch="360"/>
        </w:sectPr>
      </w:pPr>
    </w:p>
    <w:p w14:paraId="574C8802" w14:textId="54F99978" w:rsidR="618CEE35" w:rsidRDefault="618CEE35" w:rsidP="70C0BD02">
      <w:r>
        <w:t>In February 2025, the Board of Elementary and Secondary Education (Board) voted to solicit public comments on proposed amendments to the Regulations on MCAS and Competency Determination</w:t>
      </w:r>
      <w:r w:rsidR="006D160B">
        <w:t xml:space="preserve"> (603 CMR 30.00)</w:t>
      </w:r>
      <w:r>
        <w:t xml:space="preserve">. </w:t>
      </w:r>
      <w:r w:rsidR="7C53FBBA">
        <w:t xml:space="preserve">The Department of Elementary and Secondary Education (Department) invited public </w:t>
      </w:r>
      <w:proofErr w:type="gramStart"/>
      <w:r w:rsidR="004569BB">
        <w:t>comment</w:t>
      </w:r>
      <w:proofErr w:type="gramEnd"/>
      <w:r w:rsidR="004569BB">
        <w:t xml:space="preserve"> </w:t>
      </w:r>
      <w:r w:rsidR="7C53FBBA">
        <w:t xml:space="preserve">on </w:t>
      </w:r>
      <w:r w:rsidR="004569BB">
        <w:t xml:space="preserve">the </w:t>
      </w:r>
      <w:r w:rsidR="7C53FBBA">
        <w:t xml:space="preserve">proposed </w:t>
      </w:r>
      <w:r w:rsidR="004569BB">
        <w:t>regulatory</w:t>
      </w:r>
      <w:r w:rsidR="7C53FBBA">
        <w:t xml:space="preserve"> changes </w:t>
      </w:r>
      <w:r w:rsidR="0055013A">
        <w:t xml:space="preserve">from </w:t>
      </w:r>
      <w:r w:rsidR="7C53FBBA">
        <w:t>February 26 t</w:t>
      </w:r>
      <w:r w:rsidR="002B1972">
        <w:t>hrough</w:t>
      </w:r>
      <w:r w:rsidR="7C53FBBA">
        <w:t xml:space="preserve"> April 4, 2025.  As discussed below, b</w:t>
      </w:r>
      <w:r w:rsidR="75CBAAFE">
        <w:t xml:space="preserve">ased upon the comments received, I am recommending </w:t>
      </w:r>
      <w:r w:rsidR="2DD8E6CD">
        <w:t xml:space="preserve">two </w:t>
      </w:r>
      <w:r w:rsidR="75CBAAFE">
        <w:t xml:space="preserve">additional changes to the regulations. </w:t>
      </w:r>
      <w:r w:rsidR="626DEB64">
        <w:t>Enclosed</w:t>
      </w:r>
      <w:r w:rsidR="75CBAAFE">
        <w:t xml:space="preserve"> with this memorandum are the amended regulations, 603 CMR 30.00</w:t>
      </w:r>
      <w:r w:rsidR="1AD957B7">
        <w:t xml:space="preserve">, for final adoption. </w:t>
      </w:r>
    </w:p>
    <w:p w14:paraId="69D569A9" w14:textId="418F7FDA" w:rsidR="781189B4" w:rsidRDefault="781189B4" w:rsidP="781189B4"/>
    <w:p w14:paraId="5F10F226" w14:textId="4D143D57" w:rsidR="312DBBAB" w:rsidRDefault="312DBBAB" w:rsidP="781189B4">
      <w:pPr>
        <w:rPr>
          <w:b/>
          <w:bCs/>
        </w:rPr>
      </w:pPr>
      <w:r w:rsidRPr="73186849">
        <w:rPr>
          <w:b/>
        </w:rPr>
        <w:t>Background</w:t>
      </w:r>
    </w:p>
    <w:p w14:paraId="26458D8B" w14:textId="196361E3" w:rsidR="312DBBAB" w:rsidRDefault="312DBBAB" w:rsidP="73186849">
      <w:pPr>
        <w:spacing w:after="0"/>
        <w:rPr>
          <w:rFonts w:ascii="Aptos" w:eastAsia="Aptos" w:hAnsi="Aptos" w:cs="Aptos"/>
        </w:rPr>
      </w:pPr>
      <w:proofErr w:type="gramStart"/>
      <w:r w:rsidRPr="781189B4">
        <w:rPr>
          <w:rFonts w:ascii="Aptos" w:eastAsia="Aptos" w:hAnsi="Aptos" w:cs="Aptos"/>
        </w:rPr>
        <w:t xml:space="preserve">The </w:t>
      </w:r>
      <w:r w:rsidR="00810FCC">
        <w:rPr>
          <w:rFonts w:ascii="Aptos" w:eastAsia="Aptos" w:hAnsi="Aptos" w:cs="Aptos"/>
        </w:rPr>
        <w:t>February</w:t>
      </w:r>
      <w:proofErr w:type="gramEnd"/>
      <w:r w:rsidR="00A850E9">
        <w:rPr>
          <w:rFonts w:ascii="Aptos" w:eastAsia="Aptos" w:hAnsi="Aptos" w:cs="Aptos"/>
        </w:rPr>
        <w:t xml:space="preserve"> 25, </w:t>
      </w:r>
      <w:proofErr w:type="gramStart"/>
      <w:r w:rsidR="00A850E9">
        <w:rPr>
          <w:rFonts w:ascii="Aptos" w:eastAsia="Aptos" w:hAnsi="Aptos" w:cs="Aptos"/>
        </w:rPr>
        <w:t>2025</w:t>
      </w:r>
      <w:proofErr w:type="gramEnd"/>
      <w:r w:rsidR="00A850E9">
        <w:rPr>
          <w:rFonts w:ascii="Aptos" w:eastAsia="Aptos" w:hAnsi="Aptos" w:cs="Aptos"/>
        </w:rPr>
        <w:t xml:space="preserve"> </w:t>
      </w:r>
      <w:r w:rsidRPr="781189B4">
        <w:rPr>
          <w:rFonts w:ascii="Aptos" w:eastAsia="Aptos" w:hAnsi="Aptos" w:cs="Aptos"/>
        </w:rPr>
        <w:t xml:space="preserve">proposed amendments to the regulations </w:t>
      </w:r>
      <w:r w:rsidR="003D2900">
        <w:rPr>
          <w:rFonts w:ascii="Aptos" w:eastAsia="Aptos" w:hAnsi="Aptos" w:cs="Aptos"/>
        </w:rPr>
        <w:t xml:space="preserve">address changes in the </w:t>
      </w:r>
      <w:r w:rsidR="0087615A">
        <w:rPr>
          <w:rFonts w:ascii="Aptos" w:eastAsia="Aptos" w:hAnsi="Aptos" w:cs="Aptos"/>
        </w:rPr>
        <w:t xml:space="preserve">competency determination statute and </w:t>
      </w:r>
      <w:r w:rsidRPr="781189B4">
        <w:rPr>
          <w:rFonts w:ascii="Aptos" w:eastAsia="Aptos" w:hAnsi="Aptos" w:cs="Aptos"/>
        </w:rPr>
        <w:t>are designed to focus on student learning and promote academic equity for all students. Key provisions in the proposed amendments</w:t>
      </w:r>
      <w:r w:rsidR="00A850E9">
        <w:rPr>
          <w:rFonts w:ascii="Aptos" w:eastAsia="Aptos" w:hAnsi="Aptos" w:cs="Aptos"/>
        </w:rPr>
        <w:t xml:space="preserve"> that went out for public comment</w:t>
      </w:r>
      <w:r w:rsidRPr="781189B4">
        <w:rPr>
          <w:rFonts w:ascii="Aptos" w:eastAsia="Aptos" w:hAnsi="Aptos" w:cs="Aptos"/>
        </w:rPr>
        <w:t xml:space="preserve"> include the following: </w:t>
      </w:r>
    </w:p>
    <w:p w14:paraId="12F6774D" w14:textId="6AB07DDE" w:rsidR="312DBBAB" w:rsidRDefault="312DBBAB" w:rsidP="73186849">
      <w:pPr>
        <w:spacing w:after="0"/>
        <w:rPr>
          <w:rFonts w:ascii="Aptos" w:eastAsia="Aptos" w:hAnsi="Aptos" w:cs="Aptos"/>
        </w:rPr>
      </w:pPr>
      <w:r w:rsidRPr="781189B4">
        <w:rPr>
          <w:rFonts w:ascii="Aptos" w:eastAsia="Aptos" w:hAnsi="Aptos" w:cs="Aptos"/>
        </w:rPr>
        <w:t xml:space="preserve"> </w:t>
      </w:r>
    </w:p>
    <w:p w14:paraId="0FC78F41" w14:textId="6E542408" w:rsidR="312DBBAB" w:rsidRDefault="312DBBAB">
      <w:pPr>
        <w:pStyle w:val="ListParagraph"/>
        <w:numPr>
          <w:ilvl w:val="0"/>
          <w:numId w:val="3"/>
        </w:numPr>
        <w:spacing w:after="0"/>
        <w:ind w:left="1080"/>
        <w:rPr>
          <w:rFonts w:ascii="Aptos" w:eastAsia="Aptos" w:hAnsi="Aptos" w:cs="Aptos"/>
        </w:rPr>
      </w:pPr>
      <w:r w:rsidRPr="781189B4">
        <w:rPr>
          <w:rFonts w:ascii="Aptos" w:eastAsia="Aptos" w:hAnsi="Aptos" w:cs="Aptos"/>
        </w:rPr>
        <w:t>Align the regulations to the new statutory language.</w:t>
      </w:r>
    </w:p>
    <w:p w14:paraId="52D64688" w14:textId="77777777" w:rsidR="00D941B3" w:rsidRDefault="00D941B3" w:rsidP="73186849">
      <w:pPr>
        <w:pStyle w:val="ListParagraph"/>
        <w:spacing w:after="0"/>
        <w:ind w:left="1080"/>
        <w:rPr>
          <w:rFonts w:ascii="Aptos" w:eastAsia="Aptos" w:hAnsi="Aptos" w:cs="Aptos"/>
        </w:rPr>
      </w:pPr>
    </w:p>
    <w:p w14:paraId="7C90292A" w14:textId="7AC05F00" w:rsidR="312DBBAB" w:rsidRDefault="312DBBAB" w:rsidP="73186849">
      <w:pPr>
        <w:spacing w:after="0"/>
        <w:ind w:left="1080"/>
        <w:rPr>
          <w:rFonts w:ascii="Aptos" w:eastAsia="Aptos" w:hAnsi="Aptos" w:cs="Aptos"/>
        </w:rPr>
      </w:pPr>
      <w:r w:rsidRPr="781189B4">
        <w:rPr>
          <w:rFonts w:ascii="Aptos" w:eastAsia="Aptos" w:hAnsi="Aptos" w:cs="Aptos"/>
        </w:rPr>
        <w:t xml:space="preserve">Under the current regulations, a student earns </w:t>
      </w:r>
      <w:proofErr w:type="gramStart"/>
      <w:r w:rsidRPr="781189B4">
        <w:rPr>
          <w:rFonts w:ascii="Aptos" w:eastAsia="Aptos" w:hAnsi="Aptos" w:cs="Aptos"/>
        </w:rPr>
        <w:t>the competency</w:t>
      </w:r>
      <w:proofErr w:type="gramEnd"/>
      <w:r w:rsidRPr="781189B4">
        <w:rPr>
          <w:rFonts w:ascii="Aptos" w:eastAsia="Aptos" w:hAnsi="Aptos" w:cs="Aptos"/>
        </w:rPr>
        <w:t xml:space="preserve"> determination by achieving a qualifying score on MCAS assessments.  In the amended regulations, these obsolete provisions are deleted.</w:t>
      </w:r>
    </w:p>
    <w:p w14:paraId="3F9B607E" w14:textId="59DC36D5" w:rsidR="312DBBAB" w:rsidRDefault="312DBBAB" w:rsidP="73186849">
      <w:pPr>
        <w:spacing w:after="0"/>
        <w:ind w:left="720"/>
        <w:rPr>
          <w:rFonts w:ascii="Aptos" w:eastAsia="Aptos" w:hAnsi="Aptos" w:cs="Aptos"/>
        </w:rPr>
      </w:pPr>
      <w:r w:rsidRPr="781189B4">
        <w:rPr>
          <w:rFonts w:ascii="Aptos" w:eastAsia="Aptos" w:hAnsi="Aptos" w:cs="Aptos"/>
        </w:rPr>
        <w:t xml:space="preserve"> </w:t>
      </w:r>
    </w:p>
    <w:p w14:paraId="35796FED" w14:textId="3912C889" w:rsidR="312DBBAB" w:rsidRDefault="312DBBAB" w:rsidP="73186849">
      <w:pPr>
        <w:pStyle w:val="ListParagraph"/>
        <w:numPr>
          <w:ilvl w:val="0"/>
          <w:numId w:val="3"/>
        </w:numPr>
        <w:spacing w:after="0"/>
        <w:ind w:left="1080"/>
        <w:rPr>
          <w:rFonts w:ascii="Aptos" w:eastAsia="Aptos" w:hAnsi="Aptos" w:cs="Aptos"/>
        </w:rPr>
      </w:pPr>
      <w:r w:rsidRPr="781189B4">
        <w:rPr>
          <w:rFonts w:ascii="Aptos" w:eastAsia="Aptos" w:hAnsi="Aptos" w:cs="Aptos"/>
        </w:rPr>
        <w:lastRenderedPageBreak/>
        <w:t>Define terms to provide clarity.</w:t>
      </w:r>
    </w:p>
    <w:p w14:paraId="6211AFD0" w14:textId="77777777" w:rsidR="312DBBAB" w:rsidRDefault="312DBBAB" w:rsidP="00D94B66">
      <w:pPr>
        <w:spacing w:after="0"/>
        <w:rPr>
          <w:rFonts w:ascii="Aptos" w:eastAsia="Aptos" w:hAnsi="Aptos" w:cs="Aptos"/>
        </w:rPr>
      </w:pPr>
    </w:p>
    <w:p w14:paraId="04620067" w14:textId="0E40149E" w:rsidR="312DBBAB" w:rsidRDefault="312DBBAB" w:rsidP="00D94B66">
      <w:pPr>
        <w:spacing w:after="0"/>
        <w:ind w:left="1080"/>
        <w:rPr>
          <w:rFonts w:ascii="Aptos" w:eastAsia="Aptos" w:hAnsi="Aptos" w:cs="Aptos"/>
        </w:rPr>
      </w:pPr>
      <w:r w:rsidRPr="781189B4">
        <w:rPr>
          <w:rFonts w:ascii="Aptos" w:eastAsia="Aptos" w:hAnsi="Aptos" w:cs="Aptos"/>
        </w:rPr>
        <w:t>The new law introduces terms such as “showing mastery” and “satisfactorily completing coursework.”  The amended regulations define these terms and others for clarity and consistency.</w:t>
      </w:r>
    </w:p>
    <w:p w14:paraId="49BE8B47" w14:textId="77777777" w:rsidR="312DBBAB" w:rsidRDefault="312DBBAB" w:rsidP="00D94B66">
      <w:pPr>
        <w:spacing w:after="0"/>
        <w:ind w:left="1080"/>
        <w:rPr>
          <w:rFonts w:ascii="Aptos" w:eastAsia="Aptos" w:hAnsi="Aptos" w:cs="Aptos"/>
        </w:rPr>
      </w:pPr>
    </w:p>
    <w:p w14:paraId="6B0D5A6B" w14:textId="52AF1D1F" w:rsidR="312DBBAB" w:rsidRDefault="312DBBAB" w:rsidP="73186849">
      <w:pPr>
        <w:pStyle w:val="ListParagraph"/>
        <w:numPr>
          <w:ilvl w:val="0"/>
          <w:numId w:val="3"/>
        </w:numPr>
        <w:spacing w:after="0"/>
        <w:ind w:left="1080"/>
        <w:rPr>
          <w:rFonts w:ascii="Aptos" w:eastAsia="Aptos" w:hAnsi="Aptos" w:cs="Aptos"/>
        </w:rPr>
      </w:pPr>
      <w:r w:rsidRPr="781189B4">
        <w:rPr>
          <w:rFonts w:ascii="Aptos" w:eastAsia="Aptos" w:hAnsi="Aptos" w:cs="Aptos"/>
        </w:rPr>
        <w:t xml:space="preserve">Specify minimum requirements to earn </w:t>
      </w:r>
      <w:proofErr w:type="gramStart"/>
      <w:r w:rsidRPr="781189B4">
        <w:rPr>
          <w:rFonts w:ascii="Aptos" w:eastAsia="Aptos" w:hAnsi="Aptos" w:cs="Aptos"/>
        </w:rPr>
        <w:t>the competency</w:t>
      </w:r>
      <w:proofErr w:type="gramEnd"/>
      <w:r w:rsidRPr="781189B4">
        <w:rPr>
          <w:rFonts w:ascii="Aptos" w:eastAsia="Aptos" w:hAnsi="Aptos" w:cs="Aptos"/>
        </w:rPr>
        <w:t xml:space="preserve"> determination. </w:t>
      </w:r>
    </w:p>
    <w:p w14:paraId="0AAFD3C5" w14:textId="60A88DB7" w:rsidR="312DBBAB" w:rsidRDefault="312DBBAB" w:rsidP="00D94B66">
      <w:pPr>
        <w:spacing w:after="0"/>
        <w:ind w:left="1080"/>
        <w:rPr>
          <w:rFonts w:ascii="Aptos" w:eastAsia="Aptos" w:hAnsi="Aptos" w:cs="Aptos"/>
        </w:rPr>
      </w:pPr>
      <w:r w:rsidRPr="781189B4">
        <w:rPr>
          <w:rFonts w:ascii="Aptos" w:eastAsia="Aptos" w:hAnsi="Aptos" w:cs="Aptos"/>
        </w:rPr>
        <w:t xml:space="preserve"> </w:t>
      </w:r>
    </w:p>
    <w:p w14:paraId="54D59F1D" w14:textId="44543F93" w:rsidR="312DBBAB" w:rsidRDefault="312DBBAB" w:rsidP="73186849">
      <w:pPr>
        <w:spacing w:after="0"/>
        <w:ind w:left="1080"/>
        <w:rPr>
          <w:rFonts w:ascii="Aptos" w:eastAsia="Aptos" w:hAnsi="Aptos" w:cs="Aptos"/>
        </w:rPr>
      </w:pPr>
      <w:r w:rsidRPr="781189B4">
        <w:rPr>
          <w:rFonts w:ascii="Aptos" w:eastAsia="Aptos" w:hAnsi="Aptos" w:cs="Aptos"/>
        </w:rPr>
        <w:t xml:space="preserve">The amended regulations incorporate the requirement in the new law that students show mastery of a common core of skills, competencies and knowledge in certain areas </w:t>
      </w:r>
      <w:proofErr w:type="gramStart"/>
      <w:r w:rsidRPr="781189B4">
        <w:rPr>
          <w:rFonts w:ascii="Aptos" w:eastAsia="Aptos" w:hAnsi="Aptos" w:cs="Aptos"/>
          <w:b/>
          <w:bCs/>
        </w:rPr>
        <w:t>and</w:t>
      </w:r>
      <w:r w:rsidRPr="781189B4">
        <w:rPr>
          <w:rFonts w:ascii="Aptos" w:eastAsia="Aptos" w:hAnsi="Aptos" w:cs="Aptos"/>
        </w:rPr>
        <w:t xml:space="preserve"> also</w:t>
      </w:r>
      <w:proofErr w:type="gramEnd"/>
      <w:r w:rsidRPr="781189B4">
        <w:rPr>
          <w:rFonts w:ascii="Aptos" w:eastAsia="Aptos" w:hAnsi="Aptos" w:cs="Aptos"/>
        </w:rPr>
        <w:t xml:space="preserve"> satisfactorily complete coursework in certain areas.  Additionally, the amended regulations specify how students meet the requirement to satisfactorily complete coursework, as follows:</w:t>
      </w:r>
    </w:p>
    <w:p w14:paraId="587BFCB9" w14:textId="6F4CA087" w:rsidR="312DBBAB" w:rsidRDefault="312DBBAB" w:rsidP="73186849">
      <w:pPr>
        <w:spacing w:after="0"/>
        <w:ind w:left="1440"/>
        <w:rPr>
          <w:rFonts w:ascii="Aptos" w:eastAsia="Aptos" w:hAnsi="Aptos" w:cs="Aptos"/>
        </w:rPr>
      </w:pPr>
      <w:r w:rsidRPr="781189B4">
        <w:rPr>
          <w:rFonts w:ascii="Aptos" w:eastAsia="Aptos" w:hAnsi="Aptos" w:cs="Aptos"/>
        </w:rPr>
        <w:t xml:space="preserve"> </w:t>
      </w:r>
    </w:p>
    <w:p w14:paraId="783FEECF" w14:textId="00B8B954" w:rsidR="312DBBAB" w:rsidRDefault="312DBBAB" w:rsidP="73186849">
      <w:pPr>
        <w:spacing w:line="257" w:lineRule="auto"/>
        <w:ind w:left="1800"/>
        <w:rPr>
          <w:rFonts w:ascii="Aptos" w:eastAsia="Aptos" w:hAnsi="Aptos" w:cs="Aptos"/>
        </w:rPr>
      </w:pPr>
      <w:r w:rsidRPr="781189B4">
        <w:rPr>
          <w:rFonts w:ascii="Aptos" w:eastAsia="Aptos" w:hAnsi="Aptos" w:cs="Aptos"/>
        </w:rPr>
        <w:t xml:space="preserve">For English language arts, the student must: (i) satisfactorily complete coursework in the equivalent of two years of high school English language arts courses.  </w:t>
      </w:r>
    </w:p>
    <w:p w14:paraId="326D5579" w14:textId="4DE3331B" w:rsidR="312DBBAB" w:rsidRDefault="312DBBAB" w:rsidP="73186849">
      <w:pPr>
        <w:spacing w:after="0"/>
        <w:ind w:left="1440"/>
        <w:rPr>
          <w:rFonts w:ascii="Aptos" w:eastAsia="Aptos" w:hAnsi="Aptos" w:cs="Aptos"/>
        </w:rPr>
      </w:pPr>
      <w:r w:rsidRPr="781189B4">
        <w:rPr>
          <w:rFonts w:ascii="Aptos" w:eastAsia="Aptos" w:hAnsi="Aptos" w:cs="Aptos"/>
        </w:rPr>
        <w:t xml:space="preserve"> </w:t>
      </w:r>
    </w:p>
    <w:p w14:paraId="1DFF3B92" w14:textId="1566F30D" w:rsidR="312DBBAB" w:rsidRDefault="312DBBAB" w:rsidP="73186849">
      <w:pPr>
        <w:spacing w:line="257" w:lineRule="auto"/>
        <w:ind w:left="1800"/>
        <w:rPr>
          <w:rFonts w:ascii="Aptos" w:eastAsia="Aptos" w:hAnsi="Aptos" w:cs="Aptos"/>
        </w:rPr>
      </w:pPr>
      <w:r w:rsidRPr="781189B4">
        <w:rPr>
          <w:rFonts w:ascii="Aptos" w:eastAsia="Aptos" w:hAnsi="Aptos" w:cs="Aptos"/>
        </w:rPr>
        <w:t>For mathematics, the student must: (i) satisfactorily complete coursework in Algebra I and Geometry courses; or (ii) satisfactorily complete coursework in Integrated Math I and Integrated Math II courses.</w:t>
      </w:r>
    </w:p>
    <w:p w14:paraId="20CAEE1B" w14:textId="27331E5E" w:rsidR="312DBBAB" w:rsidRDefault="312DBBAB" w:rsidP="73186849">
      <w:pPr>
        <w:spacing w:after="0"/>
        <w:ind w:left="720"/>
        <w:rPr>
          <w:rFonts w:ascii="Aptos" w:eastAsia="Aptos" w:hAnsi="Aptos" w:cs="Aptos"/>
        </w:rPr>
      </w:pPr>
      <w:r w:rsidRPr="781189B4">
        <w:rPr>
          <w:rFonts w:ascii="Aptos" w:eastAsia="Aptos" w:hAnsi="Aptos" w:cs="Aptos"/>
        </w:rPr>
        <w:t xml:space="preserve"> </w:t>
      </w:r>
    </w:p>
    <w:p w14:paraId="0A97CF98" w14:textId="11413AB0" w:rsidR="312DBBAB" w:rsidRDefault="312DBBAB" w:rsidP="73186849">
      <w:pPr>
        <w:spacing w:line="257" w:lineRule="auto"/>
        <w:ind w:left="1800"/>
        <w:rPr>
          <w:rFonts w:ascii="Aptos" w:eastAsia="Aptos" w:hAnsi="Aptos" w:cs="Aptos"/>
        </w:rPr>
      </w:pPr>
      <w:r w:rsidRPr="781189B4">
        <w:rPr>
          <w:rFonts w:ascii="Aptos" w:eastAsia="Aptos" w:hAnsi="Aptos" w:cs="Aptos"/>
        </w:rPr>
        <w:t>For science, the student must: (i) satisfactorily complete coursework in one year of Biology; or (ii) satisfactorily complete coursework in one year of Physics; or (iii) satisfactorily complete coursework in one year of Chemistry; or (iv) satisfactorily complete coursework in one year of a Technology or Engineering course.</w:t>
      </w:r>
    </w:p>
    <w:p w14:paraId="5AD59579" w14:textId="4BE79676" w:rsidR="312DBBAB" w:rsidRDefault="312DBBAB" w:rsidP="73186849">
      <w:pPr>
        <w:spacing w:line="257" w:lineRule="auto"/>
        <w:ind w:left="1800"/>
        <w:rPr>
          <w:rFonts w:ascii="Aptos" w:eastAsia="Aptos" w:hAnsi="Aptos" w:cs="Aptos"/>
        </w:rPr>
      </w:pPr>
      <w:r w:rsidRPr="781189B4">
        <w:rPr>
          <w:rFonts w:ascii="Aptos" w:eastAsia="Aptos" w:hAnsi="Aptos" w:cs="Aptos"/>
        </w:rPr>
        <w:t xml:space="preserve"> </w:t>
      </w:r>
    </w:p>
    <w:p w14:paraId="396BB799" w14:textId="3937857D" w:rsidR="312DBBAB" w:rsidRDefault="312DBBAB" w:rsidP="73186849">
      <w:pPr>
        <w:pStyle w:val="ListParagraph"/>
        <w:numPr>
          <w:ilvl w:val="0"/>
          <w:numId w:val="3"/>
        </w:numPr>
        <w:spacing w:after="0"/>
        <w:ind w:left="1080"/>
        <w:rPr>
          <w:rFonts w:ascii="Aptos" w:eastAsia="Aptos" w:hAnsi="Aptos" w:cs="Aptos"/>
        </w:rPr>
      </w:pPr>
      <w:r w:rsidRPr="781189B4">
        <w:rPr>
          <w:rFonts w:ascii="Aptos" w:eastAsia="Aptos" w:hAnsi="Aptos" w:cs="Aptos"/>
        </w:rPr>
        <w:t>Add “an additional area determined by the Board”</w:t>
      </w:r>
    </w:p>
    <w:p w14:paraId="2C1E66D3" w14:textId="40E77D7D" w:rsidR="312DBBAB" w:rsidRDefault="312DBBAB" w:rsidP="73186849">
      <w:pPr>
        <w:spacing w:after="0"/>
        <w:rPr>
          <w:rFonts w:ascii="Aptos" w:eastAsia="Aptos" w:hAnsi="Aptos" w:cs="Aptos"/>
        </w:rPr>
      </w:pPr>
      <w:r w:rsidRPr="781189B4">
        <w:rPr>
          <w:rFonts w:ascii="Aptos" w:eastAsia="Aptos" w:hAnsi="Aptos" w:cs="Aptos"/>
        </w:rPr>
        <w:t xml:space="preserve"> </w:t>
      </w:r>
    </w:p>
    <w:p w14:paraId="031B06BF" w14:textId="51B52164" w:rsidR="312DBBAB" w:rsidRDefault="312DBBAB" w:rsidP="73186849">
      <w:pPr>
        <w:spacing w:after="0"/>
        <w:ind w:left="1080"/>
        <w:rPr>
          <w:rFonts w:ascii="Aptos" w:eastAsia="Aptos" w:hAnsi="Aptos" w:cs="Aptos"/>
        </w:rPr>
      </w:pPr>
      <w:r w:rsidRPr="781189B4">
        <w:rPr>
          <w:rFonts w:ascii="Aptos" w:eastAsia="Aptos" w:hAnsi="Aptos" w:cs="Aptos"/>
        </w:rPr>
        <w:t>The new law authorizes the Board to add areas to the competency determination, including history/social science and world languages.  The amended regulations add United States history to the areas included in the competency determination, beginning with the graduating class of 2027.</w:t>
      </w:r>
    </w:p>
    <w:p w14:paraId="3148326B" w14:textId="33852637" w:rsidR="312DBBAB" w:rsidRDefault="312DBBAB" w:rsidP="73186849">
      <w:pPr>
        <w:spacing w:after="0"/>
        <w:rPr>
          <w:rFonts w:ascii="Aptos" w:eastAsia="Aptos" w:hAnsi="Aptos" w:cs="Aptos"/>
        </w:rPr>
      </w:pPr>
      <w:r w:rsidRPr="781189B4">
        <w:rPr>
          <w:rFonts w:ascii="Aptos" w:eastAsia="Aptos" w:hAnsi="Aptos" w:cs="Aptos"/>
        </w:rPr>
        <w:t xml:space="preserve"> </w:t>
      </w:r>
    </w:p>
    <w:p w14:paraId="2B37AE3C" w14:textId="45B5DFAA" w:rsidR="312DBBAB" w:rsidRDefault="312DBBAB" w:rsidP="73186849">
      <w:pPr>
        <w:pStyle w:val="ListParagraph"/>
        <w:numPr>
          <w:ilvl w:val="0"/>
          <w:numId w:val="3"/>
        </w:numPr>
        <w:spacing w:after="0"/>
        <w:ind w:left="1080"/>
        <w:rPr>
          <w:rFonts w:ascii="Aptos" w:eastAsia="Aptos" w:hAnsi="Aptos" w:cs="Aptos"/>
        </w:rPr>
      </w:pPr>
      <w:r w:rsidRPr="781189B4">
        <w:rPr>
          <w:rFonts w:ascii="Aptos" w:eastAsia="Aptos" w:hAnsi="Aptos" w:cs="Aptos"/>
        </w:rPr>
        <w:t xml:space="preserve">Offer options to address students’ needs </w:t>
      </w:r>
    </w:p>
    <w:p w14:paraId="27F2CF5C" w14:textId="11E9BCC3" w:rsidR="312DBBAB" w:rsidRDefault="312DBBAB" w:rsidP="73186849">
      <w:pPr>
        <w:spacing w:after="0"/>
        <w:rPr>
          <w:rFonts w:ascii="Aptos" w:eastAsia="Aptos" w:hAnsi="Aptos" w:cs="Aptos"/>
        </w:rPr>
      </w:pPr>
      <w:r w:rsidRPr="781189B4">
        <w:rPr>
          <w:rFonts w:ascii="Aptos" w:eastAsia="Aptos" w:hAnsi="Aptos" w:cs="Aptos"/>
        </w:rPr>
        <w:t xml:space="preserve"> </w:t>
      </w:r>
    </w:p>
    <w:p w14:paraId="718576BB" w14:textId="5E3F2999" w:rsidR="312DBBAB" w:rsidRDefault="312DBBAB" w:rsidP="73186849">
      <w:pPr>
        <w:spacing w:line="257" w:lineRule="auto"/>
        <w:ind w:left="1080"/>
        <w:rPr>
          <w:rFonts w:ascii="Aptos" w:eastAsia="Aptos" w:hAnsi="Aptos" w:cs="Aptos"/>
        </w:rPr>
      </w:pPr>
      <w:r w:rsidRPr="781189B4">
        <w:rPr>
          <w:rFonts w:ascii="Aptos" w:eastAsia="Aptos" w:hAnsi="Aptos" w:cs="Aptos"/>
        </w:rPr>
        <w:lastRenderedPageBreak/>
        <w:t>Some students who enroll in high school may not have a traditional transcript of their prior courses and grades. For example, some students may have been previously homeschooled or may have arrived from another state or country.  The amended regulations provide that in these limited circumstances, where a district</w:t>
      </w:r>
      <w:r w:rsidR="4A4873C2" w:rsidRPr="781189B4">
        <w:rPr>
          <w:rFonts w:ascii="Aptos" w:eastAsia="Aptos" w:hAnsi="Aptos" w:cs="Aptos"/>
        </w:rPr>
        <w:t xml:space="preserve"> </w:t>
      </w:r>
      <w:r w:rsidRPr="781189B4">
        <w:rPr>
          <w:rFonts w:ascii="Aptos" w:eastAsia="Aptos" w:hAnsi="Aptos" w:cs="Aptos"/>
        </w:rPr>
        <w:t xml:space="preserve">is unable to document a student’s prior coursework, the student may earn the competency determination by attaining a qualifying score of at least “Meeting Expectations” or “Exceeding Expectations” achievement levels on the relevant high school MCAS assessment.  The student may also earn the competency determination by meeting the standard for a substituted equivalent that the district certifies satisfies the same academic standards.  The amended regulations also include a provision that allows the Commissioner to waive a provision of the regulations for good cause, upon a written request from a district. </w:t>
      </w:r>
    </w:p>
    <w:p w14:paraId="4EBE4CCD" w14:textId="37D5356B" w:rsidR="781189B4" w:rsidRDefault="781189B4" w:rsidP="781189B4">
      <w:pPr>
        <w:spacing w:line="257" w:lineRule="auto"/>
        <w:ind w:left="1080"/>
        <w:rPr>
          <w:rFonts w:ascii="Aptos" w:eastAsia="Aptos" w:hAnsi="Aptos" w:cs="Aptos"/>
        </w:rPr>
      </w:pPr>
    </w:p>
    <w:p w14:paraId="5667E594" w14:textId="25996C7C" w:rsidR="312DBBAB" w:rsidRDefault="312DBBAB" w:rsidP="73186849">
      <w:pPr>
        <w:pStyle w:val="ListParagraph"/>
        <w:numPr>
          <w:ilvl w:val="0"/>
          <w:numId w:val="3"/>
        </w:numPr>
        <w:spacing w:after="0"/>
        <w:ind w:left="1080"/>
        <w:rPr>
          <w:rFonts w:ascii="Aptos" w:eastAsia="Aptos" w:hAnsi="Aptos" w:cs="Aptos"/>
        </w:rPr>
      </w:pPr>
      <w:r w:rsidRPr="781189B4">
        <w:rPr>
          <w:rFonts w:ascii="Aptos" w:eastAsia="Aptos" w:hAnsi="Aptos" w:cs="Aptos"/>
        </w:rPr>
        <w:t>Provide oversight</w:t>
      </w:r>
    </w:p>
    <w:p w14:paraId="5763DC16" w14:textId="68605A74" w:rsidR="312DBBAB" w:rsidRDefault="312DBBAB" w:rsidP="73186849">
      <w:pPr>
        <w:spacing w:after="0"/>
        <w:ind w:left="720"/>
        <w:rPr>
          <w:rFonts w:ascii="Aptos" w:eastAsia="Aptos" w:hAnsi="Aptos" w:cs="Aptos"/>
        </w:rPr>
      </w:pPr>
      <w:r w:rsidRPr="781189B4">
        <w:rPr>
          <w:rFonts w:ascii="Aptos" w:eastAsia="Aptos" w:hAnsi="Aptos" w:cs="Aptos"/>
        </w:rPr>
        <w:t xml:space="preserve"> </w:t>
      </w:r>
    </w:p>
    <w:p w14:paraId="67D00A42" w14:textId="3E269621" w:rsidR="312DBBAB" w:rsidRDefault="312DBBAB" w:rsidP="73186849">
      <w:pPr>
        <w:spacing w:after="0"/>
        <w:ind w:left="1080"/>
        <w:rPr>
          <w:rFonts w:ascii="Aptos" w:eastAsia="Aptos" w:hAnsi="Aptos" w:cs="Aptos"/>
        </w:rPr>
      </w:pPr>
      <w:r w:rsidRPr="781189B4">
        <w:rPr>
          <w:rFonts w:ascii="Aptos" w:eastAsia="Aptos" w:hAnsi="Aptos" w:cs="Aptos"/>
        </w:rPr>
        <w:t xml:space="preserve">The amended regulations specify that districts must adopt a competency determination policy, which must be approved by the district’s governing body.  Additionally, districts must post the policies on their websites and submit the policies, as well as their local graduation requirements, to the Department.  Districts are required to certify to the Department that they have complied with these provisions.  The amended regulations also specify that the Department will audit the quality of districts’ competency determination policies. </w:t>
      </w:r>
    </w:p>
    <w:p w14:paraId="7F81D4B5" w14:textId="2E5D27E0" w:rsidR="781189B4" w:rsidRDefault="781189B4" w:rsidP="73186849">
      <w:pPr>
        <w:spacing w:after="0"/>
      </w:pPr>
    </w:p>
    <w:p w14:paraId="11A0F7D1" w14:textId="129D47AA" w:rsidR="781189B4" w:rsidRDefault="781189B4" w:rsidP="73186849">
      <w:pPr>
        <w:spacing w:after="0"/>
      </w:pPr>
    </w:p>
    <w:p w14:paraId="3CD77283" w14:textId="5768770C" w:rsidR="401A0534" w:rsidRDefault="401A0534" w:rsidP="70C0BD02">
      <w:pPr>
        <w:rPr>
          <w:b/>
          <w:bCs/>
        </w:rPr>
      </w:pPr>
      <w:r w:rsidRPr="70C0BD02">
        <w:rPr>
          <w:b/>
          <w:bCs/>
        </w:rPr>
        <w:t>Summary of Public Comment</w:t>
      </w:r>
    </w:p>
    <w:p w14:paraId="19C324ED" w14:textId="63327477" w:rsidR="70C0BD02" w:rsidRDefault="7FE923F7" w:rsidP="70C0BD02">
      <w:r>
        <w:t xml:space="preserve">During </w:t>
      </w:r>
      <w:r w:rsidR="23B7BC5F">
        <w:t>the public comment</w:t>
      </w:r>
      <w:r>
        <w:t xml:space="preserve"> period, the Department received a total of 26 comments via email and 146 comments through a dedicated public comment survey tool.  </w:t>
      </w:r>
    </w:p>
    <w:p w14:paraId="5D5FDFCD" w14:textId="60226CE5" w:rsidR="70C0BD02" w:rsidRDefault="7FE923F7" w:rsidP="79DCC4C7">
      <w:r>
        <w:t>Among the 146 comments submitted through the survey tool, 26 came from individuals representing their school, district, or organization, while 120 were submitted by individuals on their own behalf.</w:t>
      </w:r>
      <w:r w:rsidR="2045D2D3">
        <w:t xml:space="preserve">  A summary of the public </w:t>
      </w:r>
      <w:proofErr w:type="gramStart"/>
      <w:r w:rsidR="2045D2D3">
        <w:t>comment</w:t>
      </w:r>
      <w:proofErr w:type="gramEnd"/>
      <w:r w:rsidR="2045D2D3">
        <w:t xml:space="preserve"> </w:t>
      </w:r>
      <w:r w:rsidR="280E1DCB">
        <w:t xml:space="preserve">and the Department’s responses </w:t>
      </w:r>
      <w:r w:rsidR="2045D2D3">
        <w:t xml:space="preserve">is </w:t>
      </w:r>
      <w:r w:rsidR="232D014A">
        <w:t>enclosed</w:t>
      </w:r>
      <w:r w:rsidR="062AFF7E">
        <w:t>.</w:t>
      </w:r>
    </w:p>
    <w:p w14:paraId="50EE73CE" w14:textId="20A59AAF" w:rsidR="401A0534" w:rsidRDefault="71441861" w:rsidP="70C0BD02">
      <w:pPr>
        <w:rPr>
          <w:b/>
          <w:bCs/>
        </w:rPr>
      </w:pPr>
      <w:r w:rsidRPr="73186849">
        <w:rPr>
          <w:b/>
          <w:bCs/>
        </w:rPr>
        <w:t>Response</w:t>
      </w:r>
      <w:r w:rsidR="401A0534" w:rsidRPr="73186849">
        <w:rPr>
          <w:b/>
          <w:bCs/>
        </w:rPr>
        <w:t xml:space="preserve"> to </w:t>
      </w:r>
      <w:r w:rsidR="005E5227" w:rsidRPr="73186849">
        <w:rPr>
          <w:b/>
          <w:bCs/>
        </w:rPr>
        <w:t>Public Comment</w:t>
      </w:r>
    </w:p>
    <w:p w14:paraId="5ED4EF83" w14:textId="11525432" w:rsidR="781189B4" w:rsidRDefault="1AD817B5" w:rsidP="781189B4">
      <w:r>
        <w:t xml:space="preserve">Based on the public comment received, I am recommending </w:t>
      </w:r>
      <w:r w:rsidR="4BFD0C4D">
        <w:t xml:space="preserve">two </w:t>
      </w:r>
      <w:r>
        <w:t>additional changes to the regulations</w:t>
      </w:r>
      <w:r w:rsidR="4D20F039">
        <w:t xml:space="preserve"> proposed at the February </w:t>
      </w:r>
      <w:r w:rsidR="00965DF5">
        <w:t xml:space="preserve">25, </w:t>
      </w:r>
      <w:proofErr w:type="gramStart"/>
      <w:r w:rsidR="00965DF5">
        <w:t>2025</w:t>
      </w:r>
      <w:proofErr w:type="gramEnd"/>
      <w:r w:rsidR="00965DF5">
        <w:t xml:space="preserve"> </w:t>
      </w:r>
      <w:r w:rsidR="4D20F039">
        <w:t>Board meeting</w:t>
      </w:r>
      <w:r w:rsidR="78213341">
        <w:t>.</w:t>
      </w:r>
      <w:r>
        <w:t xml:space="preserve"> </w:t>
      </w:r>
    </w:p>
    <w:p w14:paraId="2390BCB6" w14:textId="1A948C5B" w:rsidR="089E5A93" w:rsidRDefault="089E5A93" w:rsidP="781189B4">
      <w:r>
        <w:lastRenderedPageBreak/>
        <w:t xml:space="preserve">First, </w:t>
      </w:r>
      <w:r w:rsidR="1D625CEF">
        <w:t xml:space="preserve">the proposed </w:t>
      </w:r>
      <w:r w:rsidR="003B0991">
        <w:t xml:space="preserve">regulation, </w:t>
      </w:r>
      <w:r w:rsidR="1D625CEF">
        <w:t>603 CMR 30.03</w:t>
      </w:r>
      <w:r w:rsidR="003B0991">
        <w:t>, stated</w:t>
      </w:r>
      <w:r w:rsidR="1D625CEF">
        <w:t xml:space="preserve"> that students must satisfactorily complete </w:t>
      </w:r>
      <w:r w:rsidR="64DA9D24">
        <w:t xml:space="preserve">coursework in </w:t>
      </w:r>
      <w:r w:rsidR="77FB23E6">
        <w:t xml:space="preserve">certain courses </w:t>
      </w:r>
      <w:r w:rsidR="64DA9D24">
        <w:t>in one year</w:t>
      </w:r>
      <w:r w:rsidR="003B0991">
        <w:t>. To address the concern</w:t>
      </w:r>
      <w:r w:rsidR="001D6C4E">
        <w:t xml:space="preserve"> that </w:t>
      </w:r>
      <w:r w:rsidR="6564F34A">
        <w:t>some courses may cover the required material over a longer period</w:t>
      </w:r>
      <w:r w:rsidR="001D6C4E">
        <w:t xml:space="preserve">, </w:t>
      </w:r>
      <w:r w:rsidR="6564F34A">
        <w:t>we</w:t>
      </w:r>
      <w:r w:rsidR="70C691B4">
        <w:t xml:space="preserve"> </w:t>
      </w:r>
      <w:r w:rsidR="001D6C4E">
        <w:t xml:space="preserve">have </w:t>
      </w:r>
      <w:r w:rsidR="70C691B4">
        <w:t>clarified that students must satisfactorily complete coursewor</w:t>
      </w:r>
      <w:r w:rsidR="315FF92A">
        <w:t xml:space="preserve">k </w:t>
      </w:r>
      <w:r w:rsidR="76952BD7">
        <w:t xml:space="preserve">in </w:t>
      </w:r>
      <w:r w:rsidR="001D6C4E">
        <w:t>“</w:t>
      </w:r>
      <w:r w:rsidR="76952BD7">
        <w:t>the equivalent of one year</w:t>
      </w:r>
      <w:r w:rsidR="001D6C4E">
        <w:t>”</w:t>
      </w:r>
      <w:r w:rsidR="76952BD7">
        <w:t xml:space="preserve"> of the required course. </w:t>
      </w:r>
    </w:p>
    <w:p w14:paraId="5085DDE6" w14:textId="13B028B3" w:rsidR="08A8F893" w:rsidRDefault="08A8F893" w:rsidP="781189B4">
      <w:pPr>
        <w:rPr>
          <w:rFonts w:ascii="Aptos" w:eastAsia="Aptos" w:hAnsi="Aptos" w:cs="Aptos"/>
          <w:color w:val="000000" w:themeColor="text1"/>
        </w:rPr>
      </w:pPr>
      <w:r>
        <w:t>Second, we received comment noting that</w:t>
      </w:r>
      <w:r w:rsidRPr="55075BB3">
        <w:rPr>
          <w:rFonts w:ascii="Aptos" w:eastAsia="Aptos" w:hAnsi="Aptos" w:cs="Aptos"/>
          <w:color w:val="000000" w:themeColor="text1"/>
          <w:sz w:val="22"/>
          <w:szCs w:val="22"/>
        </w:rPr>
        <w:t xml:space="preserve"> </w:t>
      </w:r>
      <w:r w:rsidR="19D865D3" w:rsidRPr="55075BB3">
        <w:rPr>
          <w:rFonts w:ascii="Aptos" w:eastAsia="Aptos" w:hAnsi="Aptos" w:cs="Aptos"/>
          <w:color w:val="000000" w:themeColor="text1"/>
          <w:sz w:val="22"/>
          <w:szCs w:val="22"/>
        </w:rPr>
        <w:t>t</w:t>
      </w:r>
      <w:r w:rsidRPr="55075BB3">
        <w:rPr>
          <w:rFonts w:ascii="Aptos" w:eastAsia="Aptos" w:hAnsi="Aptos" w:cs="Aptos"/>
          <w:color w:val="000000" w:themeColor="text1"/>
        </w:rPr>
        <w:t>he regulations currently include a section (30.07) on the rights of students with disabilities</w:t>
      </w:r>
      <w:r w:rsidR="332DC22B" w:rsidRPr="781189B4">
        <w:rPr>
          <w:rFonts w:ascii="Aptos" w:eastAsia="Aptos" w:hAnsi="Aptos" w:cs="Aptos"/>
          <w:color w:val="000000" w:themeColor="text1"/>
        </w:rPr>
        <w:t xml:space="preserve"> and requesting that we ad</w:t>
      </w:r>
      <w:r w:rsidR="53E1A829" w:rsidRPr="781189B4">
        <w:rPr>
          <w:rFonts w:ascii="Aptos" w:eastAsia="Aptos" w:hAnsi="Aptos" w:cs="Aptos"/>
          <w:color w:val="000000" w:themeColor="text1"/>
        </w:rPr>
        <w:t xml:space="preserve">d a similar provision relating to </w:t>
      </w:r>
      <w:r w:rsidRPr="55075BB3">
        <w:rPr>
          <w:rFonts w:ascii="Aptos" w:eastAsia="Aptos" w:hAnsi="Aptos" w:cs="Aptos"/>
          <w:color w:val="000000" w:themeColor="text1"/>
        </w:rPr>
        <w:t>English learners.</w:t>
      </w:r>
      <w:r w:rsidR="3EC64B97" w:rsidRPr="781189B4">
        <w:rPr>
          <w:rFonts w:ascii="Aptos" w:eastAsia="Aptos" w:hAnsi="Aptos" w:cs="Aptos"/>
          <w:color w:val="000000" w:themeColor="text1"/>
        </w:rPr>
        <w:t xml:space="preserve">  To address that concern, we </w:t>
      </w:r>
      <w:r w:rsidR="00933A0F">
        <w:rPr>
          <w:rFonts w:ascii="Aptos" w:eastAsia="Aptos" w:hAnsi="Aptos" w:cs="Aptos"/>
          <w:color w:val="000000" w:themeColor="text1"/>
        </w:rPr>
        <w:t xml:space="preserve">have </w:t>
      </w:r>
      <w:r w:rsidR="3EC64B97" w:rsidRPr="781189B4">
        <w:rPr>
          <w:rFonts w:ascii="Aptos" w:eastAsia="Aptos" w:hAnsi="Aptos" w:cs="Aptos"/>
          <w:color w:val="000000" w:themeColor="text1"/>
        </w:rPr>
        <w:t xml:space="preserve">added parallel language </w:t>
      </w:r>
      <w:r w:rsidR="5B5ECF38" w:rsidRPr="781189B4">
        <w:rPr>
          <w:rFonts w:ascii="Aptos" w:eastAsia="Aptos" w:hAnsi="Aptos" w:cs="Aptos"/>
          <w:color w:val="000000" w:themeColor="text1"/>
        </w:rPr>
        <w:t xml:space="preserve">to </w:t>
      </w:r>
      <w:r w:rsidR="000855D2">
        <w:rPr>
          <w:rFonts w:ascii="Aptos" w:eastAsia="Aptos" w:hAnsi="Aptos" w:cs="Aptos"/>
          <w:color w:val="000000" w:themeColor="text1"/>
        </w:rPr>
        <w:t xml:space="preserve">section </w:t>
      </w:r>
      <w:r w:rsidR="5B5ECF38" w:rsidRPr="781189B4">
        <w:rPr>
          <w:rFonts w:ascii="Aptos" w:eastAsia="Aptos" w:hAnsi="Aptos" w:cs="Aptos"/>
          <w:color w:val="000000" w:themeColor="text1"/>
        </w:rPr>
        <w:t xml:space="preserve">30.07 </w:t>
      </w:r>
      <w:r w:rsidR="3EC64B97" w:rsidRPr="781189B4">
        <w:rPr>
          <w:rFonts w:ascii="Aptos" w:eastAsia="Aptos" w:hAnsi="Aptos" w:cs="Aptos"/>
          <w:color w:val="000000" w:themeColor="text1"/>
        </w:rPr>
        <w:t>for English learners.</w:t>
      </w:r>
    </w:p>
    <w:p w14:paraId="6A9DCD8A" w14:textId="1D94554C" w:rsidR="7DD497D8" w:rsidRDefault="34024B8E" w:rsidP="55075BB3">
      <w:pPr>
        <w:rPr>
          <w:rFonts w:ascii="Segoe UI" w:eastAsia="Segoe UI" w:hAnsi="Segoe UI" w:cs="Segoe UI"/>
          <w:color w:val="212529"/>
        </w:rPr>
      </w:pPr>
      <w:r w:rsidRPr="55075BB3">
        <w:rPr>
          <w:rFonts w:ascii="Aptos" w:eastAsia="Aptos" w:hAnsi="Aptos" w:cs="Aptos"/>
          <w:color w:val="000000" w:themeColor="text1"/>
        </w:rPr>
        <w:t xml:space="preserve">In addition to requesting public </w:t>
      </w:r>
      <w:proofErr w:type="gramStart"/>
      <w:r w:rsidRPr="55075BB3">
        <w:rPr>
          <w:rFonts w:ascii="Aptos" w:eastAsia="Aptos" w:hAnsi="Aptos" w:cs="Aptos"/>
          <w:color w:val="000000" w:themeColor="text1"/>
        </w:rPr>
        <w:t>comment</w:t>
      </w:r>
      <w:proofErr w:type="gramEnd"/>
      <w:r w:rsidRPr="55075BB3">
        <w:rPr>
          <w:rFonts w:ascii="Aptos" w:eastAsia="Aptos" w:hAnsi="Aptos" w:cs="Aptos"/>
          <w:color w:val="000000" w:themeColor="text1"/>
        </w:rPr>
        <w:t xml:space="preserve"> on the proposed changes to the regulations, we also invited public </w:t>
      </w:r>
      <w:proofErr w:type="gramStart"/>
      <w:r w:rsidRPr="55075BB3">
        <w:rPr>
          <w:rFonts w:ascii="Aptos" w:eastAsia="Aptos" w:hAnsi="Aptos" w:cs="Aptos"/>
          <w:color w:val="000000" w:themeColor="text1"/>
        </w:rPr>
        <w:t>comment</w:t>
      </w:r>
      <w:proofErr w:type="gramEnd"/>
      <w:r w:rsidRPr="55075BB3">
        <w:rPr>
          <w:rFonts w:ascii="Aptos" w:eastAsia="Aptos" w:hAnsi="Aptos" w:cs="Aptos"/>
          <w:color w:val="000000" w:themeColor="text1"/>
        </w:rPr>
        <w:t xml:space="preserve"> on the following question:  </w:t>
      </w:r>
    </w:p>
    <w:p w14:paraId="4A5616DB" w14:textId="52FF9D2A" w:rsidR="7DD497D8" w:rsidRDefault="132D6AB7" w:rsidP="024D746A">
      <w:pPr>
        <w:ind w:left="720"/>
        <w:rPr>
          <w:rFonts w:eastAsiaTheme="minorEastAsia"/>
        </w:rPr>
      </w:pPr>
      <w:r w:rsidRPr="024D746A">
        <w:rPr>
          <w:rFonts w:eastAsiaTheme="minorEastAsia"/>
        </w:rPr>
        <w:t xml:space="preserve">In addition to the pathway proposed in the amendments to the regulations, the Department of Elementary and Secondary Education is seeking public comment on the question of whether to include a second, alternate pathway for earning </w:t>
      </w:r>
      <w:proofErr w:type="gramStart"/>
      <w:r w:rsidRPr="024D746A">
        <w:rPr>
          <w:rFonts w:eastAsiaTheme="minorEastAsia"/>
        </w:rPr>
        <w:t>the competency</w:t>
      </w:r>
      <w:proofErr w:type="gramEnd"/>
      <w:r w:rsidRPr="024D746A">
        <w:rPr>
          <w:rFonts w:eastAsiaTheme="minorEastAsia"/>
        </w:rPr>
        <w:t xml:space="preserve"> determination. The second pathway would be an additional route available to all students. It would be based on earning a qualifying score on the relevant high school MCAS assessment, which high school students are required to take.</w:t>
      </w:r>
    </w:p>
    <w:p w14:paraId="3A9CA1CC" w14:textId="5A76FFCC" w:rsidR="7DD497D8" w:rsidRDefault="0F0C1E21" w:rsidP="55075BB3">
      <w:pPr>
        <w:rPr>
          <w:rFonts w:ascii="Aptos" w:eastAsia="Aptos" w:hAnsi="Aptos" w:cs="Aptos"/>
          <w:color w:val="000000" w:themeColor="text1"/>
        </w:rPr>
      </w:pPr>
      <w:r w:rsidRPr="55075BB3">
        <w:rPr>
          <w:rFonts w:eastAsiaTheme="minorEastAsia"/>
          <w:color w:val="000000" w:themeColor="text1"/>
        </w:rPr>
        <w:t xml:space="preserve">We are not recommending any further changes to the regulations based on the response to this question because a </w:t>
      </w:r>
      <w:r w:rsidRPr="55075BB3">
        <w:rPr>
          <w:rFonts w:ascii="Aptos" w:eastAsia="Aptos" w:hAnsi="Aptos" w:cs="Aptos"/>
          <w:color w:val="000000" w:themeColor="text1"/>
        </w:rPr>
        <w:t xml:space="preserve">broad and comprehensive use of MCAS as a pathway to earning the </w:t>
      </w:r>
      <w:r w:rsidR="57B757DC" w:rsidRPr="55075BB3">
        <w:rPr>
          <w:rFonts w:ascii="Aptos" w:eastAsia="Aptos" w:hAnsi="Aptos" w:cs="Aptos"/>
          <w:color w:val="000000" w:themeColor="text1"/>
        </w:rPr>
        <w:t>c</w:t>
      </w:r>
      <w:r w:rsidRPr="55075BB3">
        <w:rPr>
          <w:rFonts w:ascii="Aptos" w:eastAsia="Aptos" w:hAnsi="Aptos" w:cs="Aptos"/>
          <w:color w:val="000000" w:themeColor="text1"/>
        </w:rPr>
        <w:t xml:space="preserve">ompetency </w:t>
      </w:r>
      <w:r w:rsidR="4D403A02" w:rsidRPr="55075BB3">
        <w:rPr>
          <w:rFonts w:ascii="Aptos" w:eastAsia="Aptos" w:hAnsi="Aptos" w:cs="Aptos"/>
          <w:color w:val="000000" w:themeColor="text1"/>
        </w:rPr>
        <w:t>d</w:t>
      </w:r>
      <w:r w:rsidRPr="55075BB3">
        <w:rPr>
          <w:rFonts w:ascii="Aptos" w:eastAsia="Aptos" w:hAnsi="Aptos" w:cs="Aptos"/>
          <w:color w:val="000000" w:themeColor="text1"/>
        </w:rPr>
        <w:t>etermination is less consistent with the intent of the new statutory language</w:t>
      </w:r>
      <w:r w:rsidR="2061407F" w:rsidRPr="55075BB3">
        <w:rPr>
          <w:rFonts w:ascii="Aptos" w:eastAsia="Aptos" w:hAnsi="Aptos" w:cs="Aptos"/>
          <w:color w:val="000000" w:themeColor="text1"/>
        </w:rPr>
        <w:t xml:space="preserve"> than the approach in the proposed regulations.</w:t>
      </w:r>
    </w:p>
    <w:p w14:paraId="06BFA62F" w14:textId="13423419" w:rsidR="7DD497D8" w:rsidRDefault="7DD497D8" w:rsidP="70C0BD02">
      <w:pPr>
        <w:rPr>
          <w:i/>
        </w:rPr>
      </w:pPr>
      <w:r>
        <w:t xml:space="preserve">At the May 20, </w:t>
      </w:r>
      <w:proofErr w:type="gramStart"/>
      <w:r>
        <w:t>2025</w:t>
      </w:r>
      <w:proofErr w:type="gramEnd"/>
      <w:r>
        <w:t xml:space="preserve"> Board meeting, </w:t>
      </w:r>
      <w:r w:rsidR="34DE58DC">
        <w:t xml:space="preserve">Rob </w:t>
      </w:r>
      <w:r>
        <w:t xml:space="preserve">Curtin, Chief Officer for Data, Assessment, and Accountability, will present a summary of the public comment </w:t>
      </w:r>
      <w:r w:rsidR="34DE58DC">
        <w:t xml:space="preserve">as </w:t>
      </w:r>
      <w:r>
        <w:t>well as</w:t>
      </w:r>
      <w:r w:rsidR="5DCA37D7">
        <w:t xml:space="preserve"> </w:t>
      </w:r>
      <w:r w:rsidR="369D0DA2">
        <w:t xml:space="preserve">the </w:t>
      </w:r>
      <w:r w:rsidR="5DCA37D7">
        <w:t>additional</w:t>
      </w:r>
      <w:r>
        <w:t xml:space="preserve"> proposed changes to the regulations.</w:t>
      </w:r>
    </w:p>
    <w:p w14:paraId="2CFF3C2E" w14:textId="27A19C9C" w:rsidR="024D746A" w:rsidRPr="00340EAB" w:rsidRDefault="12148FCC" w:rsidP="024D746A">
      <w:pPr>
        <w:rPr>
          <w:rFonts w:ascii="Aptos" w:eastAsia="Aptos" w:hAnsi="Aptos" w:cs="Aptos"/>
        </w:rPr>
      </w:pPr>
      <w:r>
        <w:t xml:space="preserve">Attached are </w:t>
      </w:r>
      <w:r w:rsidR="51E4F220">
        <w:t xml:space="preserve">four </w:t>
      </w:r>
      <w:r>
        <w:t xml:space="preserve">documents: </w:t>
      </w:r>
      <w:r w:rsidR="28E1890B">
        <w:t>the</w:t>
      </w:r>
      <w:r>
        <w:t xml:space="preserve"> February </w:t>
      </w:r>
      <w:r w:rsidR="4AEA4740">
        <w:t>19</w:t>
      </w:r>
      <w:r>
        <w:t xml:space="preserve">, </w:t>
      </w:r>
      <w:proofErr w:type="gramStart"/>
      <w:r>
        <w:t>2025</w:t>
      </w:r>
      <w:proofErr w:type="gramEnd"/>
      <w:r>
        <w:t xml:space="preserve"> memorandum </w:t>
      </w:r>
      <w:r w:rsidR="71213FD6">
        <w:t xml:space="preserve">from Acting Commissioner Johnston </w:t>
      </w:r>
      <w:r>
        <w:t xml:space="preserve">outlining </w:t>
      </w:r>
      <w:r w:rsidR="34D55C5A">
        <w:t xml:space="preserve">the </w:t>
      </w:r>
      <w:r>
        <w:t>proposed revisions to 603 CMR 30.00; a summary of public comment received</w:t>
      </w:r>
      <w:r w:rsidR="1DF2982E">
        <w:t xml:space="preserve"> and the Department’s response</w:t>
      </w:r>
      <w:r w:rsidR="4EDB2606">
        <w:t xml:space="preserve">; </w:t>
      </w:r>
      <w:r w:rsidR="627BB9C7">
        <w:t xml:space="preserve">the proposed final regulations; and </w:t>
      </w:r>
      <w:r w:rsidR="340A4BA9">
        <w:t>a motion to adopt the regulations</w:t>
      </w:r>
      <w:r w:rsidR="2BEBC36F">
        <w:t>.</w:t>
      </w:r>
      <w:r w:rsidR="343F939A">
        <w:t xml:space="preserve"> </w:t>
      </w:r>
      <w:r w:rsidR="166D44E6" w:rsidRPr="024D746A">
        <w:rPr>
          <w:rFonts w:ascii="Aptos" w:eastAsia="Aptos" w:hAnsi="Aptos" w:cs="Aptos"/>
          <w:color w:val="000000" w:themeColor="text1"/>
        </w:rPr>
        <w:t>All comments, with personal data redacted as required, are available upon request.</w:t>
      </w:r>
    </w:p>
    <w:p w14:paraId="16D7BC49" w14:textId="31E23385" w:rsidR="0EF05EC1" w:rsidRDefault="0EF05EC1" w:rsidP="70C0BD02">
      <w:r>
        <w:t>Attachments:</w:t>
      </w:r>
    </w:p>
    <w:p w14:paraId="3B3F0139" w14:textId="7CD5CC02" w:rsidR="71E02AE2" w:rsidRDefault="71E02AE2" w:rsidP="70C0BD02">
      <w:pPr>
        <w:pStyle w:val="ListParagraph"/>
        <w:numPr>
          <w:ilvl w:val="0"/>
          <w:numId w:val="2"/>
        </w:numPr>
      </w:pPr>
      <w:r w:rsidRPr="70C0BD02">
        <w:t xml:space="preserve">February </w:t>
      </w:r>
      <w:r w:rsidR="1A0F35AF">
        <w:t>19</w:t>
      </w:r>
      <w:r w:rsidRPr="70C0BD02">
        <w:t xml:space="preserve">, </w:t>
      </w:r>
      <w:proofErr w:type="gramStart"/>
      <w:r w:rsidRPr="70C0BD02">
        <w:t>2025</w:t>
      </w:r>
      <w:proofErr w:type="gramEnd"/>
      <w:r w:rsidRPr="70C0BD02">
        <w:t xml:space="preserve"> memorandum</w:t>
      </w:r>
    </w:p>
    <w:p w14:paraId="6FA804E0" w14:textId="38313E8A" w:rsidR="71E02AE2" w:rsidRDefault="65EEF8D1" w:rsidP="70C0BD02">
      <w:pPr>
        <w:pStyle w:val="ListParagraph"/>
        <w:numPr>
          <w:ilvl w:val="0"/>
          <w:numId w:val="2"/>
        </w:numPr>
      </w:pPr>
      <w:r>
        <w:t>Summary of Public Comment</w:t>
      </w:r>
    </w:p>
    <w:p w14:paraId="4C8E4C17" w14:textId="2354564B" w:rsidR="71E02AE2" w:rsidRDefault="71E02AE2" w:rsidP="70C0BD02">
      <w:pPr>
        <w:pStyle w:val="ListParagraph"/>
        <w:numPr>
          <w:ilvl w:val="0"/>
          <w:numId w:val="2"/>
        </w:numPr>
      </w:pPr>
      <w:r w:rsidRPr="70C0BD02">
        <w:t>Proposed Final Regulations</w:t>
      </w:r>
    </w:p>
    <w:p w14:paraId="129B27E7" w14:textId="7DCD587C" w:rsidR="71E02AE2" w:rsidRDefault="71E02AE2" w:rsidP="70C0BD02">
      <w:pPr>
        <w:pStyle w:val="ListParagraph"/>
        <w:numPr>
          <w:ilvl w:val="0"/>
          <w:numId w:val="2"/>
        </w:numPr>
      </w:pPr>
      <w:r w:rsidRPr="70C0BD02">
        <w:lastRenderedPageBreak/>
        <w:t xml:space="preserve">Motion </w:t>
      </w:r>
      <w:r w:rsidR="00560CEC">
        <w:t>603 CMR 30.00</w:t>
      </w:r>
    </w:p>
    <w:sectPr w:rsidR="71E02AE2"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29AF" w14:textId="77777777" w:rsidR="00E372FF" w:rsidRDefault="00E372FF" w:rsidP="00C84EE3">
      <w:pPr>
        <w:spacing w:after="0" w:line="240" w:lineRule="auto"/>
      </w:pPr>
      <w:r>
        <w:separator/>
      </w:r>
    </w:p>
  </w:endnote>
  <w:endnote w:type="continuationSeparator" w:id="0">
    <w:p w14:paraId="5049CC2E" w14:textId="77777777" w:rsidR="00E372FF" w:rsidRDefault="00E372FF" w:rsidP="00C84EE3">
      <w:pPr>
        <w:spacing w:after="0" w:line="240" w:lineRule="auto"/>
      </w:pPr>
      <w:r>
        <w:continuationSeparator/>
      </w:r>
    </w:p>
  </w:endnote>
  <w:endnote w:type="continuationNotice" w:id="1">
    <w:p w14:paraId="18FDE5AC" w14:textId="77777777" w:rsidR="00E372FF" w:rsidRDefault="00E37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color w:val="2B579A"/>
        <w:shd w:val="clear" w:color="auto" w:fill="E6E6E6"/>
      </w:rPr>
      <w:drawing>
        <wp:anchor distT="0" distB="0" distL="114300" distR="114300" simplePos="0" relativeHeight="251658241" behindDoc="1" locked="0" layoutInCell="1" allowOverlap="1" wp14:anchorId="5B14F5DE" wp14:editId="4267768F">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color w:val="2B579A"/>
            <w:shd w:val="clear" w:color="auto" w:fill="E6E6E6"/>
          </w:rPr>
          <w:drawing>
            <wp:anchor distT="0" distB="0" distL="114300" distR="114300" simplePos="0" relativeHeight="251658242" behindDoc="1" locked="0" layoutInCell="1" allowOverlap="1" wp14:anchorId="291FC6C5" wp14:editId="700FE8FC">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48DFA" w14:textId="77777777" w:rsidR="00E372FF" w:rsidRDefault="00E372FF" w:rsidP="00C84EE3">
      <w:pPr>
        <w:spacing w:after="0" w:line="240" w:lineRule="auto"/>
      </w:pPr>
      <w:r>
        <w:separator/>
      </w:r>
    </w:p>
  </w:footnote>
  <w:footnote w:type="continuationSeparator" w:id="0">
    <w:p w14:paraId="12645913" w14:textId="77777777" w:rsidR="00E372FF" w:rsidRDefault="00E372FF" w:rsidP="00C84EE3">
      <w:pPr>
        <w:spacing w:after="0" w:line="240" w:lineRule="auto"/>
      </w:pPr>
      <w:r>
        <w:continuationSeparator/>
      </w:r>
    </w:p>
  </w:footnote>
  <w:footnote w:type="continuationNotice" w:id="1">
    <w:p w14:paraId="2BFC986E" w14:textId="77777777" w:rsidR="00E372FF" w:rsidRDefault="00E37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color w:val="2B579A"/>
        <w:shd w:val="clear" w:color="auto" w:fill="E6E6E6"/>
      </w:rPr>
      <w:drawing>
        <wp:anchor distT="0" distB="0" distL="114300" distR="114300" simplePos="0" relativeHeight="251658240" behindDoc="1" locked="0" layoutInCell="1" allowOverlap="1" wp14:anchorId="63DD894B" wp14:editId="1E4E735D">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964E"/>
    <w:multiLevelType w:val="hybridMultilevel"/>
    <w:tmpl w:val="FFFFFFFF"/>
    <w:lvl w:ilvl="0" w:tplc="7B40B2A8">
      <w:start w:val="1"/>
      <w:numFmt w:val="decimal"/>
      <w:lvlText w:val="%1."/>
      <w:lvlJc w:val="left"/>
      <w:pPr>
        <w:ind w:left="720" w:hanging="360"/>
      </w:pPr>
    </w:lvl>
    <w:lvl w:ilvl="1" w:tplc="54CEB454">
      <w:start w:val="1"/>
      <w:numFmt w:val="lowerLetter"/>
      <w:lvlText w:val="%2."/>
      <w:lvlJc w:val="left"/>
      <w:pPr>
        <w:ind w:left="1440" w:hanging="360"/>
      </w:pPr>
    </w:lvl>
    <w:lvl w:ilvl="2" w:tplc="844838A0">
      <w:start w:val="1"/>
      <w:numFmt w:val="lowerRoman"/>
      <w:lvlText w:val="%3."/>
      <w:lvlJc w:val="right"/>
      <w:pPr>
        <w:ind w:left="2160" w:hanging="180"/>
      </w:pPr>
    </w:lvl>
    <w:lvl w:ilvl="3" w:tplc="AFD03110">
      <w:start w:val="1"/>
      <w:numFmt w:val="decimal"/>
      <w:lvlText w:val="%4."/>
      <w:lvlJc w:val="left"/>
      <w:pPr>
        <w:ind w:left="2880" w:hanging="360"/>
      </w:pPr>
    </w:lvl>
    <w:lvl w:ilvl="4" w:tplc="901ABCFA">
      <w:start w:val="1"/>
      <w:numFmt w:val="lowerLetter"/>
      <w:lvlText w:val="%5."/>
      <w:lvlJc w:val="left"/>
      <w:pPr>
        <w:ind w:left="3600" w:hanging="360"/>
      </w:pPr>
    </w:lvl>
    <w:lvl w:ilvl="5" w:tplc="37540D6A">
      <w:start w:val="1"/>
      <w:numFmt w:val="lowerRoman"/>
      <w:lvlText w:val="%6."/>
      <w:lvlJc w:val="right"/>
      <w:pPr>
        <w:ind w:left="4320" w:hanging="180"/>
      </w:pPr>
    </w:lvl>
    <w:lvl w:ilvl="6" w:tplc="DE6C9412">
      <w:start w:val="1"/>
      <w:numFmt w:val="decimal"/>
      <w:lvlText w:val="%7."/>
      <w:lvlJc w:val="left"/>
      <w:pPr>
        <w:ind w:left="5040" w:hanging="360"/>
      </w:pPr>
    </w:lvl>
    <w:lvl w:ilvl="7" w:tplc="FB9E962C">
      <w:start w:val="1"/>
      <w:numFmt w:val="lowerLetter"/>
      <w:lvlText w:val="%8."/>
      <w:lvlJc w:val="left"/>
      <w:pPr>
        <w:ind w:left="5760" w:hanging="360"/>
      </w:pPr>
    </w:lvl>
    <w:lvl w:ilvl="8" w:tplc="B0E6DAA2">
      <w:start w:val="1"/>
      <w:numFmt w:val="lowerRoman"/>
      <w:lvlText w:val="%9."/>
      <w:lvlJc w:val="right"/>
      <w:pPr>
        <w:ind w:left="6480" w:hanging="180"/>
      </w:pPr>
    </w:lvl>
  </w:abstractNum>
  <w:abstractNum w:abstractNumId="1" w15:restartNumberingAfterBreak="0">
    <w:nsid w:val="1F6AC42F"/>
    <w:multiLevelType w:val="hybridMultilevel"/>
    <w:tmpl w:val="FFFFFFFF"/>
    <w:lvl w:ilvl="0" w:tplc="408CAFF6">
      <w:start w:val="1"/>
      <w:numFmt w:val="bullet"/>
      <w:lvlText w:val=""/>
      <w:lvlJc w:val="left"/>
      <w:pPr>
        <w:ind w:left="720" w:hanging="360"/>
      </w:pPr>
      <w:rPr>
        <w:rFonts w:ascii="Symbol" w:hAnsi="Symbol" w:hint="default"/>
      </w:rPr>
    </w:lvl>
    <w:lvl w:ilvl="1" w:tplc="07BC26D2">
      <w:start w:val="1"/>
      <w:numFmt w:val="bullet"/>
      <w:lvlText w:val="o"/>
      <w:lvlJc w:val="left"/>
      <w:pPr>
        <w:ind w:left="1440" w:hanging="360"/>
      </w:pPr>
      <w:rPr>
        <w:rFonts w:ascii="Courier New" w:hAnsi="Courier New" w:hint="default"/>
      </w:rPr>
    </w:lvl>
    <w:lvl w:ilvl="2" w:tplc="CD468AB6">
      <w:start w:val="1"/>
      <w:numFmt w:val="bullet"/>
      <w:lvlText w:val=""/>
      <w:lvlJc w:val="left"/>
      <w:pPr>
        <w:ind w:left="2160" w:hanging="360"/>
      </w:pPr>
      <w:rPr>
        <w:rFonts w:ascii="Wingdings" w:hAnsi="Wingdings" w:hint="default"/>
      </w:rPr>
    </w:lvl>
    <w:lvl w:ilvl="3" w:tplc="08D41076">
      <w:start w:val="1"/>
      <w:numFmt w:val="bullet"/>
      <w:lvlText w:val=""/>
      <w:lvlJc w:val="left"/>
      <w:pPr>
        <w:ind w:left="2880" w:hanging="360"/>
      </w:pPr>
      <w:rPr>
        <w:rFonts w:ascii="Symbol" w:hAnsi="Symbol" w:hint="default"/>
      </w:rPr>
    </w:lvl>
    <w:lvl w:ilvl="4" w:tplc="DE108F84">
      <w:start w:val="1"/>
      <w:numFmt w:val="bullet"/>
      <w:lvlText w:val="o"/>
      <w:lvlJc w:val="left"/>
      <w:pPr>
        <w:ind w:left="3600" w:hanging="360"/>
      </w:pPr>
      <w:rPr>
        <w:rFonts w:ascii="Courier New" w:hAnsi="Courier New" w:hint="default"/>
      </w:rPr>
    </w:lvl>
    <w:lvl w:ilvl="5" w:tplc="2B1C407A">
      <w:start w:val="1"/>
      <w:numFmt w:val="bullet"/>
      <w:lvlText w:val=""/>
      <w:lvlJc w:val="left"/>
      <w:pPr>
        <w:ind w:left="4320" w:hanging="360"/>
      </w:pPr>
      <w:rPr>
        <w:rFonts w:ascii="Wingdings" w:hAnsi="Wingdings" w:hint="default"/>
      </w:rPr>
    </w:lvl>
    <w:lvl w:ilvl="6" w:tplc="F47CE4D2">
      <w:start w:val="1"/>
      <w:numFmt w:val="bullet"/>
      <w:lvlText w:val=""/>
      <w:lvlJc w:val="left"/>
      <w:pPr>
        <w:ind w:left="5040" w:hanging="360"/>
      </w:pPr>
      <w:rPr>
        <w:rFonts w:ascii="Symbol" w:hAnsi="Symbol" w:hint="default"/>
      </w:rPr>
    </w:lvl>
    <w:lvl w:ilvl="7" w:tplc="D5189DF8">
      <w:start w:val="1"/>
      <w:numFmt w:val="bullet"/>
      <w:lvlText w:val="o"/>
      <w:lvlJc w:val="left"/>
      <w:pPr>
        <w:ind w:left="5760" w:hanging="360"/>
      </w:pPr>
      <w:rPr>
        <w:rFonts w:ascii="Courier New" w:hAnsi="Courier New" w:hint="default"/>
      </w:rPr>
    </w:lvl>
    <w:lvl w:ilvl="8" w:tplc="DC2C2ABC">
      <w:start w:val="1"/>
      <w:numFmt w:val="bullet"/>
      <w:lvlText w:val=""/>
      <w:lvlJc w:val="left"/>
      <w:pPr>
        <w:ind w:left="6480" w:hanging="360"/>
      </w:pPr>
      <w:rPr>
        <w:rFonts w:ascii="Wingdings" w:hAnsi="Wingdings" w:hint="default"/>
      </w:rPr>
    </w:lvl>
  </w:abstractNum>
  <w:abstractNum w:abstractNumId="2" w15:restartNumberingAfterBreak="0">
    <w:nsid w:val="29B20198"/>
    <w:multiLevelType w:val="hybridMultilevel"/>
    <w:tmpl w:val="FFFFFFFF"/>
    <w:lvl w:ilvl="0" w:tplc="918E9682">
      <w:start w:val="1"/>
      <w:numFmt w:val="bullet"/>
      <w:lvlText w:val=""/>
      <w:lvlJc w:val="left"/>
      <w:pPr>
        <w:ind w:left="720" w:hanging="360"/>
      </w:pPr>
      <w:rPr>
        <w:rFonts w:ascii="Symbol" w:hAnsi="Symbol" w:hint="default"/>
      </w:rPr>
    </w:lvl>
    <w:lvl w:ilvl="1" w:tplc="71F43F5A">
      <w:start w:val="1"/>
      <w:numFmt w:val="bullet"/>
      <w:lvlText w:val="o"/>
      <w:lvlJc w:val="left"/>
      <w:pPr>
        <w:ind w:left="1440" w:hanging="360"/>
      </w:pPr>
      <w:rPr>
        <w:rFonts w:ascii="Courier New" w:hAnsi="Courier New" w:hint="default"/>
      </w:rPr>
    </w:lvl>
    <w:lvl w:ilvl="2" w:tplc="AB345B32">
      <w:start w:val="1"/>
      <w:numFmt w:val="bullet"/>
      <w:lvlText w:val=""/>
      <w:lvlJc w:val="left"/>
      <w:pPr>
        <w:ind w:left="2160" w:hanging="360"/>
      </w:pPr>
      <w:rPr>
        <w:rFonts w:ascii="Wingdings" w:hAnsi="Wingdings" w:hint="default"/>
      </w:rPr>
    </w:lvl>
    <w:lvl w:ilvl="3" w:tplc="1DB4CA96">
      <w:start w:val="1"/>
      <w:numFmt w:val="bullet"/>
      <w:lvlText w:val=""/>
      <w:lvlJc w:val="left"/>
      <w:pPr>
        <w:ind w:left="2880" w:hanging="360"/>
      </w:pPr>
      <w:rPr>
        <w:rFonts w:ascii="Symbol" w:hAnsi="Symbol" w:hint="default"/>
      </w:rPr>
    </w:lvl>
    <w:lvl w:ilvl="4" w:tplc="5C2A17C2">
      <w:start w:val="1"/>
      <w:numFmt w:val="bullet"/>
      <w:lvlText w:val="o"/>
      <w:lvlJc w:val="left"/>
      <w:pPr>
        <w:ind w:left="3600" w:hanging="360"/>
      </w:pPr>
      <w:rPr>
        <w:rFonts w:ascii="Courier New" w:hAnsi="Courier New" w:hint="default"/>
      </w:rPr>
    </w:lvl>
    <w:lvl w:ilvl="5" w:tplc="D08ADDB2">
      <w:start w:val="1"/>
      <w:numFmt w:val="bullet"/>
      <w:lvlText w:val=""/>
      <w:lvlJc w:val="left"/>
      <w:pPr>
        <w:ind w:left="4320" w:hanging="360"/>
      </w:pPr>
      <w:rPr>
        <w:rFonts w:ascii="Wingdings" w:hAnsi="Wingdings" w:hint="default"/>
      </w:rPr>
    </w:lvl>
    <w:lvl w:ilvl="6" w:tplc="9FC854E4">
      <w:start w:val="1"/>
      <w:numFmt w:val="bullet"/>
      <w:lvlText w:val=""/>
      <w:lvlJc w:val="left"/>
      <w:pPr>
        <w:ind w:left="5040" w:hanging="360"/>
      </w:pPr>
      <w:rPr>
        <w:rFonts w:ascii="Symbol" w:hAnsi="Symbol" w:hint="default"/>
      </w:rPr>
    </w:lvl>
    <w:lvl w:ilvl="7" w:tplc="098CB9D0">
      <w:start w:val="1"/>
      <w:numFmt w:val="bullet"/>
      <w:lvlText w:val="o"/>
      <w:lvlJc w:val="left"/>
      <w:pPr>
        <w:ind w:left="5760" w:hanging="360"/>
      </w:pPr>
      <w:rPr>
        <w:rFonts w:ascii="Courier New" w:hAnsi="Courier New" w:hint="default"/>
      </w:rPr>
    </w:lvl>
    <w:lvl w:ilvl="8" w:tplc="F45C0254">
      <w:start w:val="1"/>
      <w:numFmt w:val="bullet"/>
      <w:lvlText w:val=""/>
      <w:lvlJc w:val="left"/>
      <w:pPr>
        <w:ind w:left="6480" w:hanging="360"/>
      </w:pPr>
      <w:rPr>
        <w:rFonts w:ascii="Wingdings" w:hAnsi="Wingdings" w:hint="default"/>
      </w:rPr>
    </w:lvl>
  </w:abstractNum>
  <w:abstractNum w:abstractNumId="3" w15:restartNumberingAfterBreak="0">
    <w:nsid w:val="34C83768"/>
    <w:multiLevelType w:val="hybridMultilevel"/>
    <w:tmpl w:val="FFFFFFFF"/>
    <w:lvl w:ilvl="0" w:tplc="16E6D0E6">
      <w:start w:val="1"/>
      <w:numFmt w:val="bullet"/>
      <w:lvlText w:val=""/>
      <w:lvlJc w:val="left"/>
      <w:pPr>
        <w:ind w:left="720" w:hanging="360"/>
      </w:pPr>
      <w:rPr>
        <w:rFonts w:ascii="Symbol" w:hAnsi="Symbol" w:hint="default"/>
      </w:rPr>
    </w:lvl>
    <w:lvl w:ilvl="1" w:tplc="B9440FD6">
      <w:start w:val="1"/>
      <w:numFmt w:val="bullet"/>
      <w:lvlText w:val="o"/>
      <w:lvlJc w:val="left"/>
      <w:pPr>
        <w:ind w:left="1440" w:hanging="360"/>
      </w:pPr>
      <w:rPr>
        <w:rFonts w:ascii="Courier New" w:hAnsi="Courier New" w:hint="default"/>
      </w:rPr>
    </w:lvl>
    <w:lvl w:ilvl="2" w:tplc="DBCE21AA">
      <w:start w:val="1"/>
      <w:numFmt w:val="bullet"/>
      <w:lvlText w:val=""/>
      <w:lvlJc w:val="left"/>
      <w:pPr>
        <w:ind w:left="2160" w:hanging="360"/>
      </w:pPr>
      <w:rPr>
        <w:rFonts w:ascii="Wingdings" w:hAnsi="Wingdings" w:hint="default"/>
      </w:rPr>
    </w:lvl>
    <w:lvl w:ilvl="3" w:tplc="E16EBAD8">
      <w:start w:val="1"/>
      <w:numFmt w:val="bullet"/>
      <w:lvlText w:val=""/>
      <w:lvlJc w:val="left"/>
      <w:pPr>
        <w:ind w:left="2880" w:hanging="360"/>
      </w:pPr>
      <w:rPr>
        <w:rFonts w:ascii="Symbol" w:hAnsi="Symbol" w:hint="default"/>
      </w:rPr>
    </w:lvl>
    <w:lvl w:ilvl="4" w:tplc="818650FE">
      <w:start w:val="1"/>
      <w:numFmt w:val="bullet"/>
      <w:lvlText w:val="o"/>
      <w:lvlJc w:val="left"/>
      <w:pPr>
        <w:ind w:left="3600" w:hanging="360"/>
      </w:pPr>
      <w:rPr>
        <w:rFonts w:ascii="Courier New" w:hAnsi="Courier New" w:hint="default"/>
      </w:rPr>
    </w:lvl>
    <w:lvl w:ilvl="5" w:tplc="9B48B3F0">
      <w:start w:val="1"/>
      <w:numFmt w:val="bullet"/>
      <w:lvlText w:val=""/>
      <w:lvlJc w:val="left"/>
      <w:pPr>
        <w:ind w:left="4320" w:hanging="360"/>
      </w:pPr>
      <w:rPr>
        <w:rFonts w:ascii="Wingdings" w:hAnsi="Wingdings" w:hint="default"/>
      </w:rPr>
    </w:lvl>
    <w:lvl w:ilvl="6" w:tplc="8650538C">
      <w:start w:val="1"/>
      <w:numFmt w:val="bullet"/>
      <w:lvlText w:val=""/>
      <w:lvlJc w:val="left"/>
      <w:pPr>
        <w:ind w:left="5040" w:hanging="360"/>
      </w:pPr>
      <w:rPr>
        <w:rFonts w:ascii="Symbol" w:hAnsi="Symbol" w:hint="default"/>
      </w:rPr>
    </w:lvl>
    <w:lvl w:ilvl="7" w:tplc="834C679A">
      <w:start w:val="1"/>
      <w:numFmt w:val="bullet"/>
      <w:lvlText w:val="o"/>
      <w:lvlJc w:val="left"/>
      <w:pPr>
        <w:ind w:left="5760" w:hanging="360"/>
      </w:pPr>
      <w:rPr>
        <w:rFonts w:ascii="Courier New" w:hAnsi="Courier New" w:hint="default"/>
      </w:rPr>
    </w:lvl>
    <w:lvl w:ilvl="8" w:tplc="F1086C8E">
      <w:start w:val="1"/>
      <w:numFmt w:val="bullet"/>
      <w:lvlText w:val=""/>
      <w:lvlJc w:val="left"/>
      <w:pPr>
        <w:ind w:left="6480" w:hanging="360"/>
      </w:pPr>
      <w:rPr>
        <w:rFonts w:ascii="Wingdings" w:hAnsi="Wingdings" w:hint="default"/>
      </w:rPr>
    </w:lvl>
  </w:abstractNum>
  <w:num w:numId="1" w16cid:durableId="573441106">
    <w:abstractNumId w:val="1"/>
  </w:num>
  <w:num w:numId="2" w16cid:durableId="1280530118">
    <w:abstractNumId w:val="2"/>
  </w:num>
  <w:num w:numId="3" w16cid:durableId="1773277987">
    <w:abstractNumId w:val="0"/>
  </w:num>
  <w:num w:numId="4" w16cid:durableId="189614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0169"/>
    <w:rsid w:val="00032C6B"/>
    <w:rsid w:val="00051FDD"/>
    <w:rsid w:val="000600A1"/>
    <w:rsid w:val="000855D2"/>
    <w:rsid w:val="000A6466"/>
    <w:rsid w:val="000A78CC"/>
    <w:rsid w:val="000E5792"/>
    <w:rsid w:val="000F11A7"/>
    <w:rsid w:val="001047AF"/>
    <w:rsid w:val="00166BF5"/>
    <w:rsid w:val="00173303"/>
    <w:rsid w:val="001939D0"/>
    <w:rsid w:val="001B324A"/>
    <w:rsid w:val="001B3D3D"/>
    <w:rsid w:val="001D6C4E"/>
    <w:rsid w:val="00215EB3"/>
    <w:rsid w:val="00221877"/>
    <w:rsid w:val="00276F84"/>
    <w:rsid w:val="002B1972"/>
    <w:rsid w:val="002C2248"/>
    <w:rsid w:val="002E460A"/>
    <w:rsid w:val="002E4BDE"/>
    <w:rsid w:val="002F3A87"/>
    <w:rsid w:val="0031253D"/>
    <w:rsid w:val="00315EDE"/>
    <w:rsid w:val="003365D9"/>
    <w:rsid w:val="00340EAB"/>
    <w:rsid w:val="003514D1"/>
    <w:rsid w:val="00353E69"/>
    <w:rsid w:val="003A1C6A"/>
    <w:rsid w:val="003B0991"/>
    <w:rsid w:val="003C7057"/>
    <w:rsid w:val="003D2900"/>
    <w:rsid w:val="003E2DC1"/>
    <w:rsid w:val="00433FC4"/>
    <w:rsid w:val="004438D6"/>
    <w:rsid w:val="004569BB"/>
    <w:rsid w:val="004B0C70"/>
    <w:rsid w:val="004B776F"/>
    <w:rsid w:val="004C46FB"/>
    <w:rsid w:val="005275FF"/>
    <w:rsid w:val="005466F8"/>
    <w:rsid w:val="0055013A"/>
    <w:rsid w:val="00556BCF"/>
    <w:rsid w:val="00560CEC"/>
    <w:rsid w:val="00585102"/>
    <w:rsid w:val="005E5227"/>
    <w:rsid w:val="005F5CB8"/>
    <w:rsid w:val="006079F2"/>
    <w:rsid w:val="0061088B"/>
    <w:rsid w:val="00632622"/>
    <w:rsid w:val="00681AFB"/>
    <w:rsid w:val="006841AD"/>
    <w:rsid w:val="006869F1"/>
    <w:rsid w:val="006B618F"/>
    <w:rsid w:val="006D160B"/>
    <w:rsid w:val="006F1C4C"/>
    <w:rsid w:val="00725BB6"/>
    <w:rsid w:val="00732682"/>
    <w:rsid w:val="007415A4"/>
    <w:rsid w:val="00750460"/>
    <w:rsid w:val="007647E2"/>
    <w:rsid w:val="0077292D"/>
    <w:rsid w:val="00797A6E"/>
    <w:rsid w:val="007B0973"/>
    <w:rsid w:val="007D60EB"/>
    <w:rsid w:val="007E3545"/>
    <w:rsid w:val="00810FCC"/>
    <w:rsid w:val="008225DA"/>
    <w:rsid w:val="0087615A"/>
    <w:rsid w:val="00887DE6"/>
    <w:rsid w:val="008A0F02"/>
    <w:rsid w:val="008D5124"/>
    <w:rsid w:val="008E7CFE"/>
    <w:rsid w:val="00922FD3"/>
    <w:rsid w:val="00933A0F"/>
    <w:rsid w:val="00960985"/>
    <w:rsid w:val="00965DF5"/>
    <w:rsid w:val="009A28ED"/>
    <w:rsid w:val="009B6ECB"/>
    <w:rsid w:val="009C46E7"/>
    <w:rsid w:val="009F0BD5"/>
    <w:rsid w:val="00A1079A"/>
    <w:rsid w:val="00A47614"/>
    <w:rsid w:val="00A850E9"/>
    <w:rsid w:val="00AB547A"/>
    <w:rsid w:val="00AC17EC"/>
    <w:rsid w:val="00AC5175"/>
    <w:rsid w:val="00AE52D2"/>
    <w:rsid w:val="00B0143D"/>
    <w:rsid w:val="00B150A1"/>
    <w:rsid w:val="00B81E7F"/>
    <w:rsid w:val="00BC7D70"/>
    <w:rsid w:val="00BD03F6"/>
    <w:rsid w:val="00BE0EFA"/>
    <w:rsid w:val="00C27B76"/>
    <w:rsid w:val="00C3665B"/>
    <w:rsid w:val="00C547B4"/>
    <w:rsid w:val="00C824D2"/>
    <w:rsid w:val="00C84EE3"/>
    <w:rsid w:val="00C95655"/>
    <w:rsid w:val="00CA43C4"/>
    <w:rsid w:val="00CD225F"/>
    <w:rsid w:val="00CF4F29"/>
    <w:rsid w:val="00D14B08"/>
    <w:rsid w:val="00D33947"/>
    <w:rsid w:val="00D35AFE"/>
    <w:rsid w:val="00D941B3"/>
    <w:rsid w:val="00D94B66"/>
    <w:rsid w:val="00E0707D"/>
    <w:rsid w:val="00E372FF"/>
    <w:rsid w:val="00E473AF"/>
    <w:rsid w:val="00E4754C"/>
    <w:rsid w:val="00E635B1"/>
    <w:rsid w:val="00E63E19"/>
    <w:rsid w:val="00E83624"/>
    <w:rsid w:val="00EE0108"/>
    <w:rsid w:val="00EE6D37"/>
    <w:rsid w:val="00EF2B92"/>
    <w:rsid w:val="00F00022"/>
    <w:rsid w:val="00F24E91"/>
    <w:rsid w:val="00F3023D"/>
    <w:rsid w:val="00FC48EA"/>
    <w:rsid w:val="00FC4DF6"/>
    <w:rsid w:val="015D479A"/>
    <w:rsid w:val="024D746A"/>
    <w:rsid w:val="030AAACC"/>
    <w:rsid w:val="03E14242"/>
    <w:rsid w:val="045296C6"/>
    <w:rsid w:val="04EF941B"/>
    <w:rsid w:val="062AFF7E"/>
    <w:rsid w:val="0664F3E2"/>
    <w:rsid w:val="067A37F9"/>
    <w:rsid w:val="079E36E7"/>
    <w:rsid w:val="089E5A93"/>
    <w:rsid w:val="08A8F893"/>
    <w:rsid w:val="0956F80C"/>
    <w:rsid w:val="0B38A20B"/>
    <w:rsid w:val="0BCBDC4A"/>
    <w:rsid w:val="0BF931E5"/>
    <w:rsid w:val="0C59621A"/>
    <w:rsid w:val="0C695AD3"/>
    <w:rsid w:val="0CB4BEC3"/>
    <w:rsid w:val="0D34FD91"/>
    <w:rsid w:val="0EBB1F87"/>
    <w:rsid w:val="0ED2F034"/>
    <w:rsid w:val="0EE62049"/>
    <w:rsid w:val="0EF05EC1"/>
    <w:rsid w:val="0F0C1E21"/>
    <w:rsid w:val="10174851"/>
    <w:rsid w:val="1024C526"/>
    <w:rsid w:val="10463FEE"/>
    <w:rsid w:val="107625F3"/>
    <w:rsid w:val="12148FCC"/>
    <w:rsid w:val="12EFE97A"/>
    <w:rsid w:val="132D6AB7"/>
    <w:rsid w:val="139C9D05"/>
    <w:rsid w:val="13C799FF"/>
    <w:rsid w:val="13DF6790"/>
    <w:rsid w:val="141AF34C"/>
    <w:rsid w:val="143951DF"/>
    <w:rsid w:val="14484210"/>
    <w:rsid w:val="147DAB4F"/>
    <w:rsid w:val="148D3331"/>
    <w:rsid w:val="1497D774"/>
    <w:rsid w:val="166D44E6"/>
    <w:rsid w:val="16BEF696"/>
    <w:rsid w:val="187F00D8"/>
    <w:rsid w:val="19D865D3"/>
    <w:rsid w:val="1A0F35AF"/>
    <w:rsid w:val="1A7DF704"/>
    <w:rsid w:val="1AD817B5"/>
    <w:rsid w:val="1AD957B7"/>
    <w:rsid w:val="1C0E0EC1"/>
    <w:rsid w:val="1C63F001"/>
    <w:rsid w:val="1D625CEF"/>
    <w:rsid w:val="1D84A632"/>
    <w:rsid w:val="1D9E918C"/>
    <w:rsid w:val="1DD5B3E6"/>
    <w:rsid w:val="1DE7403D"/>
    <w:rsid w:val="1DF2982E"/>
    <w:rsid w:val="1EBDC12B"/>
    <w:rsid w:val="1F5D2E6B"/>
    <w:rsid w:val="1FC4782A"/>
    <w:rsid w:val="20007549"/>
    <w:rsid w:val="20296451"/>
    <w:rsid w:val="2045D2D3"/>
    <w:rsid w:val="2061407F"/>
    <w:rsid w:val="20ECA863"/>
    <w:rsid w:val="2104F66B"/>
    <w:rsid w:val="21718C76"/>
    <w:rsid w:val="232D014A"/>
    <w:rsid w:val="2371CDA8"/>
    <w:rsid w:val="23B7BC5F"/>
    <w:rsid w:val="249E5334"/>
    <w:rsid w:val="2526CAF9"/>
    <w:rsid w:val="26EB2834"/>
    <w:rsid w:val="278F9520"/>
    <w:rsid w:val="27996A21"/>
    <w:rsid w:val="27BF4726"/>
    <w:rsid w:val="280E1DCB"/>
    <w:rsid w:val="286A46E5"/>
    <w:rsid w:val="289464EF"/>
    <w:rsid w:val="289CEAFB"/>
    <w:rsid w:val="28E1890B"/>
    <w:rsid w:val="28F3CC6E"/>
    <w:rsid w:val="2A544EB8"/>
    <w:rsid w:val="2AA25477"/>
    <w:rsid w:val="2BEBC36F"/>
    <w:rsid w:val="2D54454A"/>
    <w:rsid w:val="2DBF08E4"/>
    <w:rsid w:val="2DD8E6CD"/>
    <w:rsid w:val="2E80A997"/>
    <w:rsid w:val="2E964C88"/>
    <w:rsid w:val="2EF3155C"/>
    <w:rsid w:val="2EFC5006"/>
    <w:rsid w:val="2F52E0E7"/>
    <w:rsid w:val="30739692"/>
    <w:rsid w:val="312DBBAB"/>
    <w:rsid w:val="315FF92A"/>
    <w:rsid w:val="31EF904E"/>
    <w:rsid w:val="31EFB600"/>
    <w:rsid w:val="32C5F9A5"/>
    <w:rsid w:val="32D5F8E6"/>
    <w:rsid w:val="332DC22B"/>
    <w:rsid w:val="333C7531"/>
    <w:rsid w:val="34024B8E"/>
    <w:rsid w:val="340A4BA9"/>
    <w:rsid w:val="343F939A"/>
    <w:rsid w:val="344BD8CF"/>
    <w:rsid w:val="34D55C5A"/>
    <w:rsid w:val="34DE58DC"/>
    <w:rsid w:val="363E0572"/>
    <w:rsid w:val="369D0DA2"/>
    <w:rsid w:val="36ABB6A1"/>
    <w:rsid w:val="382EE43C"/>
    <w:rsid w:val="39E77055"/>
    <w:rsid w:val="3A8FBB0F"/>
    <w:rsid w:val="3BCB842E"/>
    <w:rsid w:val="3C131D23"/>
    <w:rsid w:val="3CFFFF3A"/>
    <w:rsid w:val="3EC64B97"/>
    <w:rsid w:val="3F374AC1"/>
    <w:rsid w:val="3F3D2B79"/>
    <w:rsid w:val="3FD2F27F"/>
    <w:rsid w:val="401A0534"/>
    <w:rsid w:val="41255489"/>
    <w:rsid w:val="415F55B0"/>
    <w:rsid w:val="419FCBBE"/>
    <w:rsid w:val="41C0B0D0"/>
    <w:rsid w:val="41D546F0"/>
    <w:rsid w:val="4261BD7F"/>
    <w:rsid w:val="42FFF6C3"/>
    <w:rsid w:val="437ED5DD"/>
    <w:rsid w:val="43BE2454"/>
    <w:rsid w:val="441366EC"/>
    <w:rsid w:val="4574020F"/>
    <w:rsid w:val="46155679"/>
    <w:rsid w:val="462A7BD7"/>
    <w:rsid w:val="46CEAAE9"/>
    <w:rsid w:val="474FCA4A"/>
    <w:rsid w:val="48524DF4"/>
    <w:rsid w:val="48D7093B"/>
    <w:rsid w:val="495EAF6F"/>
    <w:rsid w:val="49E3C404"/>
    <w:rsid w:val="4A099BBF"/>
    <w:rsid w:val="4A4873C2"/>
    <w:rsid w:val="4A9B6416"/>
    <w:rsid w:val="4AEA4740"/>
    <w:rsid w:val="4B250DC1"/>
    <w:rsid w:val="4BFD0C4D"/>
    <w:rsid w:val="4C68DF0D"/>
    <w:rsid w:val="4CC2637B"/>
    <w:rsid w:val="4D20F039"/>
    <w:rsid w:val="4D403A02"/>
    <w:rsid w:val="4E513B1E"/>
    <w:rsid w:val="4EDB2606"/>
    <w:rsid w:val="50A9B8BB"/>
    <w:rsid w:val="51283F33"/>
    <w:rsid w:val="515E82A1"/>
    <w:rsid w:val="51D3B527"/>
    <w:rsid w:val="51E4F220"/>
    <w:rsid w:val="5252F468"/>
    <w:rsid w:val="536F7792"/>
    <w:rsid w:val="53E1A829"/>
    <w:rsid w:val="54526D7B"/>
    <w:rsid w:val="55075BB3"/>
    <w:rsid w:val="55E7AC8C"/>
    <w:rsid w:val="563093D9"/>
    <w:rsid w:val="56A23E06"/>
    <w:rsid w:val="56CD85A2"/>
    <w:rsid w:val="57B757DC"/>
    <w:rsid w:val="58DDA318"/>
    <w:rsid w:val="5972245D"/>
    <w:rsid w:val="5B2A5C4A"/>
    <w:rsid w:val="5B5ECF38"/>
    <w:rsid w:val="5D1BD6EB"/>
    <w:rsid w:val="5DCA37D7"/>
    <w:rsid w:val="5E40A342"/>
    <w:rsid w:val="5E7C16B3"/>
    <w:rsid w:val="601DE4B1"/>
    <w:rsid w:val="602D6C6D"/>
    <w:rsid w:val="60C37A0D"/>
    <w:rsid w:val="60E8DCF4"/>
    <w:rsid w:val="60F403B1"/>
    <w:rsid w:val="61139A8A"/>
    <w:rsid w:val="618CEE35"/>
    <w:rsid w:val="626DEB64"/>
    <w:rsid w:val="627BB9C7"/>
    <w:rsid w:val="63B4C194"/>
    <w:rsid w:val="64DA9D24"/>
    <w:rsid w:val="6564F34A"/>
    <w:rsid w:val="65EEF8D1"/>
    <w:rsid w:val="67D6C9A6"/>
    <w:rsid w:val="68BA352F"/>
    <w:rsid w:val="68BD05C4"/>
    <w:rsid w:val="69B7EB91"/>
    <w:rsid w:val="6ABE29C2"/>
    <w:rsid w:val="6B3CABAD"/>
    <w:rsid w:val="6C26C0F7"/>
    <w:rsid w:val="6C458DA9"/>
    <w:rsid w:val="6C9EC2AC"/>
    <w:rsid w:val="6CD5489E"/>
    <w:rsid w:val="6E82A41D"/>
    <w:rsid w:val="70C0BD02"/>
    <w:rsid w:val="70C691B4"/>
    <w:rsid w:val="70D957DD"/>
    <w:rsid w:val="71213FD6"/>
    <w:rsid w:val="71441861"/>
    <w:rsid w:val="71C09737"/>
    <w:rsid w:val="71E02AE2"/>
    <w:rsid w:val="725B7B27"/>
    <w:rsid w:val="73164E4C"/>
    <w:rsid w:val="73186849"/>
    <w:rsid w:val="7371D6FC"/>
    <w:rsid w:val="73FD2008"/>
    <w:rsid w:val="74FF6544"/>
    <w:rsid w:val="756C04B9"/>
    <w:rsid w:val="75CBAAFE"/>
    <w:rsid w:val="75DC0E4A"/>
    <w:rsid w:val="76077B66"/>
    <w:rsid w:val="76952BD7"/>
    <w:rsid w:val="769D5DE5"/>
    <w:rsid w:val="77FB23E6"/>
    <w:rsid w:val="781189B4"/>
    <w:rsid w:val="78213341"/>
    <w:rsid w:val="7943F353"/>
    <w:rsid w:val="79DCC4C7"/>
    <w:rsid w:val="79E676BA"/>
    <w:rsid w:val="7B2E4205"/>
    <w:rsid w:val="7B316856"/>
    <w:rsid w:val="7B442FB3"/>
    <w:rsid w:val="7C53FBBA"/>
    <w:rsid w:val="7CC92BEC"/>
    <w:rsid w:val="7CF362F2"/>
    <w:rsid w:val="7CF80989"/>
    <w:rsid w:val="7D906436"/>
    <w:rsid w:val="7DD497D8"/>
    <w:rsid w:val="7E613683"/>
    <w:rsid w:val="7FB1B9E6"/>
    <w:rsid w:val="7FD112BB"/>
    <w:rsid w:val="7FE923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AF56"/>
  <w15:chartTrackingRefBased/>
  <w15:docId w15:val="{0BE1D239-30C2-444C-BFF9-A70CCA89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styleId="Hyperlink">
    <w:name w:val="Hyperlink"/>
    <w:basedOn w:val="DefaultParagraphFont"/>
    <w:uiPriority w:val="99"/>
    <w:unhideWhenUsed/>
    <w:rsid w:val="00BD03F6"/>
    <w:rPr>
      <w:color w:val="467886" w:themeColor="hyperlink"/>
      <w:u w:val="single"/>
    </w:rPr>
  </w:style>
  <w:style w:type="character" w:styleId="UnresolvedMention">
    <w:name w:val="Unresolved Mention"/>
    <w:basedOn w:val="DefaultParagraphFont"/>
    <w:uiPriority w:val="99"/>
    <w:semiHidden/>
    <w:unhideWhenUsed/>
    <w:rsid w:val="00BD03F6"/>
    <w:rPr>
      <w:color w:val="605E5C"/>
      <w:shd w:val="clear" w:color="auto" w:fill="E1DFDD"/>
    </w:rPr>
  </w:style>
  <w:style w:type="character" w:customStyle="1" w:styleId="eop">
    <w:name w:val="eop"/>
    <w:basedOn w:val="DefaultParagraphFont"/>
    <w:uiPriority w:val="1"/>
    <w:rsid w:val="70C0BD02"/>
    <w:rPr>
      <w:rFonts w:ascii="Times New Roman" w:eastAsia="Times New Roman" w:hAnsi="Times New Roman"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00A1"/>
    <w:pPr>
      <w:spacing w:after="0" w:line="240" w:lineRule="auto"/>
    </w:pPr>
  </w:style>
  <w:style w:type="paragraph" w:styleId="CommentSubject">
    <w:name w:val="annotation subject"/>
    <w:basedOn w:val="CommentText"/>
    <w:next w:val="CommentText"/>
    <w:link w:val="CommentSubjectChar"/>
    <w:uiPriority w:val="99"/>
    <w:semiHidden/>
    <w:unhideWhenUsed/>
    <w:rsid w:val="000600A1"/>
    <w:rPr>
      <w:b/>
      <w:bCs/>
    </w:rPr>
  </w:style>
  <w:style w:type="character" w:customStyle="1" w:styleId="CommentSubjectChar">
    <w:name w:val="Comment Subject Char"/>
    <w:basedOn w:val="CommentTextChar"/>
    <w:link w:val="CommentSubject"/>
    <w:uiPriority w:val="99"/>
    <w:semiHidden/>
    <w:rsid w:val="000600A1"/>
    <w:rPr>
      <w:b/>
      <w:bCs/>
      <w:sz w:val="20"/>
      <w:szCs w:val="20"/>
    </w:rPr>
  </w:style>
  <w:style w:type="character" w:styleId="Mention">
    <w:name w:val="Mention"/>
    <w:basedOn w:val="DefaultParagraphFont"/>
    <w:uiPriority w:val="99"/>
    <w:unhideWhenUsed/>
    <w:rsid w:val="007B09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0562">
      <w:bodyDiv w:val="1"/>
      <w:marLeft w:val="0"/>
      <w:marRight w:val="0"/>
      <w:marTop w:val="0"/>
      <w:marBottom w:val="0"/>
      <w:divBdr>
        <w:top w:val="none" w:sz="0" w:space="0" w:color="auto"/>
        <w:left w:val="none" w:sz="0" w:space="0" w:color="auto"/>
        <w:bottom w:val="none" w:sz="0" w:space="0" w:color="auto"/>
        <w:right w:val="none" w:sz="0" w:space="0" w:color="auto"/>
      </w:divBdr>
      <w:divsChild>
        <w:div w:id="343745066">
          <w:marLeft w:val="0"/>
          <w:marRight w:val="0"/>
          <w:marTop w:val="0"/>
          <w:marBottom w:val="0"/>
          <w:divBdr>
            <w:top w:val="none" w:sz="0" w:space="0" w:color="auto"/>
            <w:left w:val="none" w:sz="0" w:space="0" w:color="auto"/>
            <w:bottom w:val="none" w:sz="0" w:space="0" w:color="auto"/>
            <w:right w:val="none" w:sz="0" w:space="0" w:color="auto"/>
          </w:divBdr>
        </w:div>
        <w:div w:id="389571279">
          <w:marLeft w:val="0"/>
          <w:marRight w:val="0"/>
          <w:marTop w:val="0"/>
          <w:marBottom w:val="0"/>
          <w:divBdr>
            <w:top w:val="none" w:sz="0" w:space="0" w:color="auto"/>
            <w:left w:val="none" w:sz="0" w:space="0" w:color="auto"/>
            <w:bottom w:val="none" w:sz="0" w:space="0" w:color="auto"/>
            <w:right w:val="none" w:sz="0" w:space="0" w:color="auto"/>
          </w:divBdr>
        </w:div>
        <w:div w:id="754395301">
          <w:marLeft w:val="0"/>
          <w:marRight w:val="0"/>
          <w:marTop w:val="0"/>
          <w:marBottom w:val="0"/>
          <w:divBdr>
            <w:top w:val="none" w:sz="0" w:space="0" w:color="auto"/>
            <w:left w:val="none" w:sz="0" w:space="0" w:color="auto"/>
            <w:bottom w:val="none" w:sz="0" w:space="0" w:color="auto"/>
            <w:right w:val="none" w:sz="0" w:space="0" w:color="auto"/>
          </w:divBdr>
        </w:div>
        <w:div w:id="966162237">
          <w:marLeft w:val="0"/>
          <w:marRight w:val="0"/>
          <w:marTop w:val="0"/>
          <w:marBottom w:val="0"/>
          <w:divBdr>
            <w:top w:val="none" w:sz="0" w:space="0" w:color="auto"/>
            <w:left w:val="none" w:sz="0" w:space="0" w:color="auto"/>
            <w:bottom w:val="none" w:sz="0" w:space="0" w:color="auto"/>
            <w:right w:val="none" w:sz="0" w:space="0" w:color="auto"/>
          </w:divBdr>
        </w:div>
        <w:div w:id="994258526">
          <w:marLeft w:val="0"/>
          <w:marRight w:val="0"/>
          <w:marTop w:val="0"/>
          <w:marBottom w:val="0"/>
          <w:divBdr>
            <w:top w:val="none" w:sz="0" w:space="0" w:color="auto"/>
            <w:left w:val="none" w:sz="0" w:space="0" w:color="auto"/>
            <w:bottom w:val="none" w:sz="0" w:space="0" w:color="auto"/>
            <w:right w:val="none" w:sz="0" w:space="0" w:color="auto"/>
          </w:divBdr>
        </w:div>
        <w:div w:id="1214149485">
          <w:marLeft w:val="0"/>
          <w:marRight w:val="0"/>
          <w:marTop w:val="0"/>
          <w:marBottom w:val="0"/>
          <w:divBdr>
            <w:top w:val="none" w:sz="0" w:space="0" w:color="auto"/>
            <w:left w:val="none" w:sz="0" w:space="0" w:color="auto"/>
            <w:bottom w:val="none" w:sz="0" w:space="0" w:color="auto"/>
            <w:right w:val="none" w:sz="0" w:space="0" w:color="auto"/>
          </w:divBdr>
        </w:div>
        <w:div w:id="1445072544">
          <w:marLeft w:val="0"/>
          <w:marRight w:val="0"/>
          <w:marTop w:val="0"/>
          <w:marBottom w:val="0"/>
          <w:divBdr>
            <w:top w:val="none" w:sz="0" w:space="0" w:color="auto"/>
            <w:left w:val="none" w:sz="0" w:space="0" w:color="auto"/>
            <w:bottom w:val="none" w:sz="0" w:space="0" w:color="auto"/>
            <w:right w:val="none" w:sz="0" w:space="0" w:color="auto"/>
          </w:divBdr>
        </w:div>
        <w:div w:id="1455367124">
          <w:marLeft w:val="0"/>
          <w:marRight w:val="0"/>
          <w:marTop w:val="0"/>
          <w:marBottom w:val="0"/>
          <w:divBdr>
            <w:top w:val="none" w:sz="0" w:space="0" w:color="auto"/>
            <w:left w:val="none" w:sz="0" w:space="0" w:color="auto"/>
            <w:bottom w:val="none" w:sz="0" w:space="0" w:color="auto"/>
            <w:right w:val="none" w:sz="0" w:space="0" w:color="auto"/>
          </w:divBdr>
        </w:div>
        <w:div w:id="1542401886">
          <w:marLeft w:val="0"/>
          <w:marRight w:val="0"/>
          <w:marTop w:val="0"/>
          <w:marBottom w:val="0"/>
          <w:divBdr>
            <w:top w:val="none" w:sz="0" w:space="0" w:color="auto"/>
            <w:left w:val="none" w:sz="0" w:space="0" w:color="auto"/>
            <w:bottom w:val="none" w:sz="0" w:space="0" w:color="auto"/>
            <w:right w:val="none" w:sz="0" w:space="0" w:color="auto"/>
          </w:divBdr>
        </w:div>
        <w:div w:id="1629780793">
          <w:marLeft w:val="0"/>
          <w:marRight w:val="0"/>
          <w:marTop w:val="0"/>
          <w:marBottom w:val="0"/>
          <w:divBdr>
            <w:top w:val="none" w:sz="0" w:space="0" w:color="auto"/>
            <w:left w:val="none" w:sz="0" w:space="0" w:color="auto"/>
            <w:bottom w:val="none" w:sz="0" w:space="0" w:color="auto"/>
            <w:right w:val="none" w:sz="0" w:space="0" w:color="auto"/>
          </w:divBdr>
        </w:div>
      </w:divsChild>
    </w:div>
    <w:div w:id="2002812473">
      <w:bodyDiv w:val="1"/>
      <w:marLeft w:val="0"/>
      <w:marRight w:val="0"/>
      <w:marTop w:val="0"/>
      <w:marBottom w:val="0"/>
      <w:divBdr>
        <w:top w:val="none" w:sz="0" w:space="0" w:color="auto"/>
        <w:left w:val="none" w:sz="0" w:space="0" w:color="auto"/>
        <w:bottom w:val="none" w:sz="0" w:space="0" w:color="auto"/>
        <w:right w:val="none" w:sz="0" w:space="0" w:color="auto"/>
      </w:divBdr>
      <w:divsChild>
        <w:div w:id="241717116">
          <w:marLeft w:val="0"/>
          <w:marRight w:val="0"/>
          <w:marTop w:val="0"/>
          <w:marBottom w:val="0"/>
          <w:divBdr>
            <w:top w:val="none" w:sz="0" w:space="0" w:color="auto"/>
            <w:left w:val="none" w:sz="0" w:space="0" w:color="auto"/>
            <w:bottom w:val="none" w:sz="0" w:space="0" w:color="auto"/>
            <w:right w:val="none" w:sz="0" w:space="0" w:color="auto"/>
          </w:divBdr>
        </w:div>
        <w:div w:id="541599206">
          <w:marLeft w:val="0"/>
          <w:marRight w:val="0"/>
          <w:marTop w:val="0"/>
          <w:marBottom w:val="0"/>
          <w:divBdr>
            <w:top w:val="none" w:sz="0" w:space="0" w:color="auto"/>
            <w:left w:val="none" w:sz="0" w:space="0" w:color="auto"/>
            <w:bottom w:val="none" w:sz="0" w:space="0" w:color="auto"/>
            <w:right w:val="none" w:sz="0" w:space="0" w:color="auto"/>
          </w:divBdr>
        </w:div>
        <w:div w:id="619653939">
          <w:marLeft w:val="0"/>
          <w:marRight w:val="0"/>
          <w:marTop w:val="0"/>
          <w:marBottom w:val="0"/>
          <w:divBdr>
            <w:top w:val="none" w:sz="0" w:space="0" w:color="auto"/>
            <w:left w:val="none" w:sz="0" w:space="0" w:color="auto"/>
            <w:bottom w:val="none" w:sz="0" w:space="0" w:color="auto"/>
            <w:right w:val="none" w:sz="0" w:space="0" w:color="auto"/>
          </w:divBdr>
        </w:div>
        <w:div w:id="1254242897">
          <w:marLeft w:val="0"/>
          <w:marRight w:val="0"/>
          <w:marTop w:val="0"/>
          <w:marBottom w:val="0"/>
          <w:divBdr>
            <w:top w:val="none" w:sz="0" w:space="0" w:color="auto"/>
            <w:left w:val="none" w:sz="0" w:space="0" w:color="auto"/>
            <w:bottom w:val="none" w:sz="0" w:space="0" w:color="auto"/>
            <w:right w:val="none" w:sz="0" w:space="0" w:color="auto"/>
          </w:divBdr>
        </w:div>
        <w:div w:id="1356076186">
          <w:marLeft w:val="0"/>
          <w:marRight w:val="0"/>
          <w:marTop w:val="0"/>
          <w:marBottom w:val="0"/>
          <w:divBdr>
            <w:top w:val="none" w:sz="0" w:space="0" w:color="auto"/>
            <w:left w:val="none" w:sz="0" w:space="0" w:color="auto"/>
            <w:bottom w:val="none" w:sz="0" w:space="0" w:color="auto"/>
            <w:right w:val="none" w:sz="0" w:space="0" w:color="auto"/>
          </w:divBdr>
        </w:div>
        <w:div w:id="1438910765">
          <w:marLeft w:val="0"/>
          <w:marRight w:val="0"/>
          <w:marTop w:val="0"/>
          <w:marBottom w:val="0"/>
          <w:divBdr>
            <w:top w:val="none" w:sz="0" w:space="0" w:color="auto"/>
            <w:left w:val="none" w:sz="0" w:space="0" w:color="auto"/>
            <w:bottom w:val="none" w:sz="0" w:space="0" w:color="auto"/>
            <w:right w:val="none" w:sz="0" w:space="0" w:color="auto"/>
          </w:divBdr>
        </w:div>
        <w:div w:id="1515413463">
          <w:marLeft w:val="0"/>
          <w:marRight w:val="0"/>
          <w:marTop w:val="0"/>
          <w:marBottom w:val="0"/>
          <w:divBdr>
            <w:top w:val="none" w:sz="0" w:space="0" w:color="auto"/>
            <w:left w:val="none" w:sz="0" w:space="0" w:color="auto"/>
            <w:bottom w:val="none" w:sz="0" w:space="0" w:color="auto"/>
            <w:right w:val="none" w:sz="0" w:space="0" w:color="auto"/>
          </w:divBdr>
        </w:div>
        <w:div w:id="1579243668">
          <w:marLeft w:val="0"/>
          <w:marRight w:val="0"/>
          <w:marTop w:val="0"/>
          <w:marBottom w:val="0"/>
          <w:divBdr>
            <w:top w:val="none" w:sz="0" w:space="0" w:color="auto"/>
            <w:left w:val="none" w:sz="0" w:space="0" w:color="auto"/>
            <w:bottom w:val="none" w:sz="0" w:space="0" w:color="auto"/>
            <w:right w:val="none" w:sz="0" w:space="0" w:color="auto"/>
          </w:divBdr>
        </w:div>
        <w:div w:id="1806777015">
          <w:marLeft w:val="0"/>
          <w:marRight w:val="0"/>
          <w:marTop w:val="0"/>
          <w:marBottom w:val="0"/>
          <w:divBdr>
            <w:top w:val="none" w:sz="0" w:space="0" w:color="auto"/>
            <w:left w:val="none" w:sz="0" w:space="0" w:color="auto"/>
            <w:bottom w:val="none" w:sz="0" w:space="0" w:color="auto"/>
            <w:right w:val="none" w:sz="0" w:space="0" w:color="auto"/>
          </w:divBdr>
        </w:div>
        <w:div w:id="18618951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09C69-426A-48BB-8573-DFDC2466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BESE May 20, 2025 Regular Meeting Item 3: Competency Determination: Amendments to Regulations on MCAS and Competency Determination, 603 CMR 30.00 (Addressing Changes in Statute)</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 2025 Regular Meeting Item 3: Competency Determination: Amendments to Regulations on MCAS and Competency Determination, 603 CMR 30.00 (Addressing Changes in Statute)</dc:title>
  <dc:subject/>
  <dc:creator>DESE</dc:creator>
  <cp:keywords/>
  <dc:description/>
  <cp:lastModifiedBy>Zou, Dong (EOE)</cp:lastModifiedBy>
  <cp:revision>4</cp:revision>
  <dcterms:created xsi:type="dcterms:W3CDTF">2025-05-13T19:36:00Z</dcterms:created>
  <dcterms:modified xsi:type="dcterms:W3CDTF">2025-05-13T21:17:00Z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2025 12:00AM</vt:lpwstr>
  </property>
</Properties>
</file>