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A821" w14:textId="77777777" w:rsidR="00DB08DB" w:rsidRDefault="00DB08DB" w:rsidP="00DB08DB">
      <w:pPr>
        <w:pStyle w:val="Title"/>
        <w:pBdr>
          <w:bottom w:val="single" w:sz="4" w:space="1" w:color="auto"/>
        </w:pBdr>
        <w:spacing w:after="240" w:line="276" w:lineRule="auto"/>
        <w:rPr>
          <w:rFonts w:ascii="Aptos" w:eastAsia="Aptos" w:hAnsi="Aptos" w:cs="Aptos"/>
          <w:sz w:val="24"/>
          <w:szCs w:val="24"/>
        </w:rPr>
      </w:pPr>
      <w:r w:rsidRPr="5F1444B5">
        <w:rPr>
          <w:rFonts w:ascii="Calibri" w:eastAsia="Calibri" w:hAnsi="Calibri" w:cs="Calibri"/>
          <w:color w:val="000000" w:themeColor="text1"/>
          <w:sz w:val="32"/>
          <w:szCs w:val="32"/>
        </w:rPr>
        <w:t>Summary of Public Comments on Proposed Changes to the Regulations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for Educator Licensure and Preparation Program Approval</w:t>
      </w:r>
    </w:p>
    <w:p w14:paraId="3146A599" w14:textId="77777777" w:rsidR="00DB08DB" w:rsidRDefault="00DB08DB" w:rsidP="00DB08DB">
      <w:pPr>
        <w:pStyle w:val="Heading1"/>
        <w:rPr>
          <w:rFonts w:ascii="Aptos" w:eastAsia="Aptos" w:hAnsi="Aptos" w:cs="Aptos"/>
          <w:color w:val="000000" w:themeColor="text1"/>
          <w:sz w:val="24"/>
          <w:szCs w:val="24"/>
        </w:rPr>
      </w:pPr>
      <w:r w:rsidRPr="6F7DEE72">
        <w:rPr>
          <w:rFonts w:ascii="Aptos" w:eastAsia="Aptos" w:hAnsi="Aptos" w:cs="Aptos"/>
          <w:color w:val="auto"/>
        </w:rPr>
        <w:t>Introduction</w:t>
      </w:r>
    </w:p>
    <w:p w14:paraId="7E4BAD7A" w14:textId="77777777" w:rsidR="00DB08DB" w:rsidRDefault="00DB08DB" w:rsidP="00DB08DB">
      <w:pPr>
        <w:rPr>
          <w:rFonts w:ascii="Aptos" w:eastAsia="Aptos" w:hAnsi="Aptos" w:cs="Aptos"/>
          <w:color w:val="000000" w:themeColor="text1"/>
          <w:sz w:val="24"/>
          <w:szCs w:val="24"/>
        </w:rPr>
      </w:pPr>
      <w:r w:rsidRPr="2A5B233C">
        <w:rPr>
          <w:rFonts w:ascii="Aptos" w:eastAsia="Aptos" w:hAnsi="Aptos" w:cs="Aptos"/>
          <w:color w:val="000000" w:themeColor="text1"/>
          <w:sz w:val="24"/>
          <w:szCs w:val="24"/>
        </w:rPr>
        <w:t xml:space="preserve">The Massachusetts Department of Elementary and Secondary Education (Department) invited public feedback on proposed changes to the state’s Regulations </w:t>
      </w:r>
      <w:r>
        <w:rPr>
          <w:rFonts w:ascii="Aptos" w:eastAsia="Aptos" w:hAnsi="Aptos" w:cs="Aptos"/>
          <w:color w:val="000000" w:themeColor="text1"/>
          <w:sz w:val="24"/>
          <w:szCs w:val="24"/>
        </w:rPr>
        <w:t>for Educator Licensure and Preparation Program Approval</w:t>
      </w:r>
      <w:r w:rsidRPr="2A5B233C">
        <w:rPr>
          <w:rFonts w:ascii="Aptos" w:eastAsia="Aptos" w:hAnsi="Aptos" w:cs="Aptos"/>
          <w:color w:val="000000" w:themeColor="text1"/>
          <w:sz w:val="24"/>
          <w:szCs w:val="24"/>
        </w:rPr>
        <w:t xml:space="preserve"> (603 CMR </w:t>
      </w:r>
      <w:r>
        <w:rPr>
          <w:rFonts w:ascii="Aptos" w:eastAsia="Aptos" w:hAnsi="Aptos" w:cs="Aptos"/>
          <w:color w:val="000000" w:themeColor="text1"/>
          <w:sz w:val="24"/>
          <w:szCs w:val="24"/>
        </w:rPr>
        <w:t>7</w:t>
      </w:r>
      <w:r w:rsidRPr="2A5B233C">
        <w:rPr>
          <w:rFonts w:ascii="Aptos" w:eastAsia="Aptos" w:hAnsi="Aptos" w:cs="Aptos"/>
          <w:color w:val="000000" w:themeColor="text1"/>
          <w:sz w:val="24"/>
          <w:szCs w:val="24"/>
        </w:rPr>
        <w:t xml:space="preserve">.00) from February 26 to April 4, 2025. During this period, the Department received a total of </w:t>
      </w:r>
      <w:r>
        <w:rPr>
          <w:rFonts w:ascii="Aptos" w:eastAsia="Aptos" w:hAnsi="Aptos" w:cs="Aptos"/>
          <w:color w:val="000000" w:themeColor="text1"/>
          <w:sz w:val="24"/>
          <w:szCs w:val="24"/>
        </w:rPr>
        <w:t>9</w:t>
      </w:r>
      <w:r w:rsidRPr="2A5B233C">
        <w:rPr>
          <w:rFonts w:ascii="Aptos" w:eastAsia="Aptos" w:hAnsi="Aptos" w:cs="Aptos"/>
          <w:color w:val="000000" w:themeColor="text1"/>
          <w:sz w:val="24"/>
          <w:szCs w:val="24"/>
        </w:rPr>
        <w:t xml:space="preserve"> comments via email and </w:t>
      </w:r>
      <w:r>
        <w:rPr>
          <w:rFonts w:ascii="Aptos" w:eastAsia="Aptos" w:hAnsi="Aptos" w:cs="Aptos"/>
          <w:color w:val="000000" w:themeColor="text1"/>
          <w:sz w:val="24"/>
          <w:szCs w:val="24"/>
        </w:rPr>
        <w:t>89</w:t>
      </w:r>
      <w:r w:rsidRPr="2A5B233C">
        <w:rPr>
          <w:rFonts w:ascii="Aptos" w:eastAsia="Aptos" w:hAnsi="Aptos" w:cs="Aptos"/>
          <w:color w:val="000000" w:themeColor="text1"/>
          <w:sz w:val="24"/>
          <w:szCs w:val="24"/>
        </w:rPr>
        <w:t xml:space="preserve"> comments through a dedicated public comment survey tool. Redacted versions of all survey responses and emails are available upon request. </w:t>
      </w:r>
    </w:p>
    <w:p w14:paraId="384B2BCA" w14:textId="77777777" w:rsidR="00DB08DB" w:rsidRDefault="00DB08DB" w:rsidP="00DB08DB">
      <w:p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 w:rsidRPr="2A5B233C">
        <w:rPr>
          <w:rFonts w:ascii="Aptos" w:eastAsia="Aptos" w:hAnsi="Aptos" w:cs="Aptos"/>
          <w:color w:val="000000" w:themeColor="text1"/>
          <w:sz w:val="24"/>
          <w:szCs w:val="24"/>
        </w:rPr>
        <w:t xml:space="preserve">Among the </w:t>
      </w:r>
      <w:r>
        <w:rPr>
          <w:rFonts w:ascii="Aptos" w:eastAsia="Aptos" w:hAnsi="Aptos" w:cs="Aptos"/>
          <w:color w:val="000000" w:themeColor="text1"/>
          <w:sz w:val="24"/>
          <w:szCs w:val="24"/>
        </w:rPr>
        <w:t>89</w:t>
      </w:r>
      <w:r w:rsidRPr="2A5B233C">
        <w:rPr>
          <w:rFonts w:ascii="Aptos" w:eastAsia="Aptos" w:hAnsi="Aptos" w:cs="Aptos"/>
          <w:color w:val="000000" w:themeColor="text1"/>
          <w:sz w:val="24"/>
          <w:szCs w:val="24"/>
        </w:rPr>
        <w:t xml:space="preserve"> comments submitted through the survey tool,</w:t>
      </w:r>
      <w:r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r w:rsidRPr="5B7A68DC">
        <w:rPr>
          <w:rFonts w:ascii="Aptos" w:eastAsia="Aptos" w:hAnsi="Aptos" w:cs="Aptos"/>
          <w:color w:val="000000" w:themeColor="text1"/>
          <w:sz w:val="24"/>
          <w:szCs w:val="24"/>
        </w:rPr>
        <w:t>8</w:t>
      </w:r>
      <w:r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r w:rsidRPr="2A5B233C">
        <w:rPr>
          <w:rFonts w:ascii="Aptos" w:eastAsia="Aptos" w:hAnsi="Aptos" w:cs="Aptos"/>
          <w:color w:val="000000" w:themeColor="text1"/>
          <w:sz w:val="24"/>
          <w:szCs w:val="24"/>
        </w:rPr>
        <w:t xml:space="preserve">came from individuals representing their school, district, or organization, while </w:t>
      </w:r>
      <w:r w:rsidRPr="77A1819A">
        <w:rPr>
          <w:rFonts w:ascii="Aptos" w:eastAsia="Aptos" w:hAnsi="Aptos" w:cs="Aptos"/>
          <w:color w:val="000000" w:themeColor="text1"/>
          <w:sz w:val="24"/>
          <w:szCs w:val="24"/>
        </w:rPr>
        <w:t>81</w:t>
      </w:r>
      <w:r w:rsidRPr="2A5B233C">
        <w:rPr>
          <w:rFonts w:ascii="Aptos" w:eastAsia="Aptos" w:hAnsi="Aptos" w:cs="Aptos"/>
          <w:color w:val="000000" w:themeColor="text1"/>
          <w:sz w:val="24"/>
          <w:szCs w:val="24"/>
        </w:rPr>
        <w:t xml:space="preserve"> were submitted by individuals on their own behalf. The breakdown of comments by role is as follows (respondents were able to select multiple roles):</w:t>
      </w:r>
    </w:p>
    <w:p w14:paraId="36DBB1A3" w14:textId="77777777" w:rsidR="00DB08DB" w:rsidRDefault="00DB08DB" w:rsidP="00DB08DB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  <w:sz w:val="24"/>
          <w:szCs w:val="24"/>
        </w:rPr>
      </w:pPr>
      <w:r>
        <w:rPr>
          <w:rFonts w:ascii="Aptos" w:eastAsia="Aptos" w:hAnsi="Aptos" w:cs="Aptos"/>
          <w:color w:val="000000" w:themeColor="text1"/>
          <w:sz w:val="24"/>
          <w:szCs w:val="24"/>
        </w:rPr>
        <w:t>5</w:t>
      </w:r>
      <w:r w:rsidRPr="5F1444B5">
        <w:rPr>
          <w:rFonts w:ascii="Aptos" w:eastAsia="Aptos" w:hAnsi="Aptos" w:cs="Aptos"/>
          <w:color w:val="000000" w:themeColor="text1"/>
          <w:sz w:val="24"/>
          <w:szCs w:val="24"/>
        </w:rPr>
        <w:t>% from district administrators</w:t>
      </w:r>
    </w:p>
    <w:p w14:paraId="253A781C" w14:textId="77777777" w:rsidR="00DB08DB" w:rsidRDefault="00DB08DB" w:rsidP="00DB08DB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  <w:sz w:val="24"/>
          <w:szCs w:val="24"/>
        </w:rPr>
      </w:pPr>
      <w:r>
        <w:rPr>
          <w:rFonts w:ascii="Aptos" w:eastAsia="Aptos" w:hAnsi="Aptos" w:cs="Aptos"/>
          <w:color w:val="000000" w:themeColor="text1"/>
          <w:sz w:val="24"/>
          <w:szCs w:val="24"/>
        </w:rPr>
        <w:t xml:space="preserve">3% </w:t>
      </w:r>
      <w:r w:rsidRPr="5F1444B5">
        <w:rPr>
          <w:rFonts w:ascii="Aptos" w:eastAsia="Aptos" w:hAnsi="Aptos" w:cs="Aptos"/>
          <w:color w:val="000000" w:themeColor="text1"/>
          <w:sz w:val="24"/>
          <w:szCs w:val="24"/>
        </w:rPr>
        <w:t>from members of advocacy organizations</w:t>
      </w:r>
    </w:p>
    <w:p w14:paraId="4F1E7EFF" w14:textId="77777777" w:rsidR="00DB08DB" w:rsidRDefault="00DB08DB" w:rsidP="00DB08DB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  <w:sz w:val="24"/>
          <w:szCs w:val="24"/>
        </w:rPr>
      </w:pPr>
      <w:r>
        <w:rPr>
          <w:rFonts w:ascii="Aptos" w:eastAsia="Aptos" w:hAnsi="Aptos" w:cs="Aptos"/>
          <w:color w:val="000000" w:themeColor="text1"/>
          <w:sz w:val="24"/>
          <w:szCs w:val="24"/>
        </w:rPr>
        <w:t>13%</w:t>
      </w:r>
      <w:r w:rsidRPr="5F1444B5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gramStart"/>
      <w:r w:rsidRPr="5F1444B5">
        <w:rPr>
          <w:rFonts w:ascii="Aptos" w:eastAsia="Aptos" w:hAnsi="Aptos" w:cs="Aptos"/>
          <w:color w:val="000000" w:themeColor="text1"/>
          <w:sz w:val="24"/>
          <w:szCs w:val="24"/>
        </w:rPr>
        <w:t>from</w:t>
      </w:r>
      <w:proofErr w:type="gramEnd"/>
      <w:r w:rsidRPr="5F1444B5">
        <w:rPr>
          <w:rFonts w:ascii="Aptos" w:eastAsia="Aptos" w:hAnsi="Aptos" w:cs="Aptos"/>
          <w:color w:val="000000" w:themeColor="text1"/>
          <w:sz w:val="24"/>
          <w:szCs w:val="24"/>
        </w:rPr>
        <w:t xml:space="preserve"> parents and community members</w:t>
      </w:r>
    </w:p>
    <w:p w14:paraId="5FFAD8A6" w14:textId="77777777" w:rsidR="00DB08DB" w:rsidRDefault="00DB08DB" w:rsidP="00DB08DB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  <w:sz w:val="24"/>
          <w:szCs w:val="24"/>
        </w:rPr>
      </w:pPr>
      <w:r>
        <w:rPr>
          <w:rFonts w:ascii="Aptos" w:eastAsia="Aptos" w:hAnsi="Aptos" w:cs="Aptos"/>
          <w:color w:val="000000" w:themeColor="text1"/>
          <w:sz w:val="24"/>
          <w:szCs w:val="24"/>
        </w:rPr>
        <w:t>2%</w:t>
      </w:r>
      <w:r w:rsidRPr="5F1444B5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gramStart"/>
      <w:r w:rsidRPr="5F1444B5">
        <w:rPr>
          <w:rFonts w:ascii="Aptos" w:eastAsia="Aptos" w:hAnsi="Aptos" w:cs="Aptos"/>
          <w:color w:val="000000" w:themeColor="text1"/>
          <w:sz w:val="24"/>
          <w:szCs w:val="24"/>
        </w:rPr>
        <w:t>from</w:t>
      </w:r>
      <w:proofErr w:type="gramEnd"/>
      <w:r w:rsidRPr="5F1444B5">
        <w:rPr>
          <w:rFonts w:ascii="Aptos" w:eastAsia="Aptos" w:hAnsi="Aptos" w:cs="Aptos"/>
          <w:color w:val="000000" w:themeColor="text1"/>
          <w:sz w:val="24"/>
          <w:szCs w:val="24"/>
        </w:rPr>
        <w:t xml:space="preserve"> school administrators</w:t>
      </w:r>
    </w:p>
    <w:p w14:paraId="3556343E" w14:textId="77777777" w:rsidR="00DB08DB" w:rsidRDefault="00DB08DB" w:rsidP="00DB08DB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  <w:sz w:val="24"/>
          <w:szCs w:val="24"/>
        </w:rPr>
      </w:pPr>
      <w:r>
        <w:rPr>
          <w:rFonts w:ascii="Aptos" w:eastAsia="Aptos" w:hAnsi="Aptos" w:cs="Aptos"/>
          <w:color w:val="000000" w:themeColor="text1"/>
          <w:sz w:val="24"/>
          <w:szCs w:val="24"/>
        </w:rPr>
        <w:t xml:space="preserve">3% </w:t>
      </w:r>
      <w:r w:rsidRPr="5F1444B5">
        <w:rPr>
          <w:rFonts w:ascii="Aptos" w:eastAsia="Aptos" w:hAnsi="Aptos" w:cs="Aptos"/>
          <w:color w:val="000000" w:themeColor="text1"/>
          <w:sz w:val="24"/>
          <w:szCs w:val="24"/>
        </w:rPr>
        <w:t>from student</w:t>
      </w:r>
      <w:r>
        <w:rPr>
          <w:rFonts w:ascii="Aptos" w:eastAsia="Aptos" w:hAnsi="Aptos" w:cs="Aptos"/>
          <w:color w:val="000000" w:themeColor="text1"/>
          <w:sz w:val="24"/>
          <w:szCs w:val="24"/>
        </w:rPr>
        <w:t>s</w:t>
      </w:r>
    </w:p>
    <w:p w14:paraId="471F037E" w14:textId="77777777" w:rsidR="00DB08DB" w:rsidRDefault="00DB08DB" w:rsidP="00DB08DB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  <w:sz w:val="24"/>
          <w:szCs w:val="24"/>
        </w:rPr>
      </w:pPr>
      <w:r>
        <w:rPr>
          <w:rFonts w:ascii="Aptos" w:eastAsia="Aptos" w:hAnsi="Aptos" w:cs="Aptos"/>
          <w:color w:val="000000" w:themeColor="text1"/>
          <w:sz w:val="24"/>
          <w:szCs w:val="24"/>
        </w:rPr>
        <w:t>53%</w:t>
      </w:r>
      <w:r w:rsidRPr="5F1444B5">
        <w:rPr>
          <w:rFonts w:ascii="Aptos" w:eastAsia="Aptos" w:hAnsi="Aptos" w:cs="Aptos"/>
          <w:color w:val="000000" w:themeColor="text1"/>
          <w:sz w:val="24"/>
          <w:szCs w:val="24"/>
        </w:rPr>
        <w:t xml:space="preserve"> from teachers</w:t>
      </w:r>
    </w:p>
    <w:p w14:paraId="0BD5D1DE" w14:textId="77777777" w:rsidR="00DB08DB" w:rsidRDefault="00DB08DB" w:rsidP="00DB08DB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  <w:sz w:val="24"/>
          <w:szCs w:val="24"/>
        </w:rPr>
        <w:t>20%</w:t>
      </w:r>
      <w:r w:rsidRPr="5F1444B5">
        <w:rPr>
          <w:rFonts w:ascii="Aptos" w:eastAsia="Aptos" w:hAnsi="Aptos" w:cs="Aptos"/>
          <w:color w:val="000000" w:themeColor="text1"/>
          <w:sz w:val="24"/>
          <w:szCs w:val="24"/>
        </w:rPr>
        <w:t xml:space="preserve"> from individuals identifying as “other”</w:t>
      </w:r>
    </w:p>
    <w:p w14:paraId="59738F63" w14:textId="77777777" w:rsidR="009E2E56" w:rsidRDefault="009E2E56" w:rsidP="009E2E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</w:p>
    <w:p w14:paraId="7BA4BE2B" w14:textId="6FB6B6E0" w:rsidR="009E2E56" w:rsidRDefault="009E2E56" w:rsidP="009E2E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color w:val="000000"/>
        </w:rPr>
        <w:t xml:space="preserve">All comments, with personal data redacted as required, are available upon request. 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4CADD414" w14:textId="77777777" w:rsidR="009E2E56" w:rsidRDefault="009E2E56" w:rsidP="009E2E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7A2064B7" w14:textId="41509D42" w:rsidR="009E2E56" w:rsidRDefault="009E2E56" w:rsidP="009E2E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For the purposes of this summary, the Department has summarized the number of responses for each comment as follows: Some (1-24%), Many (25-49%), Majority (50-74%), or Most (75-100%).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>
        <w:rPr>
          <w:rStyle w:val="normaltextrun"/>
          <w:rFonts w:ascii="Aptos" w:eastAsiaTheme="majorEastAsia" w:hAnsi="Aptos" w:cs="Segoe UI"/>
        </w:rPr>
        <w:t> </w:t>
      </w:r>
      <w:r>
        <w:rPr>
          <w:rStyle w:val="eop"/>
          <w:rFonts w:ascii="Aptos" w:eastAsiaTheme="majorEastAsia" w:hAnsi="Aptos" w:cs="Segoe UI"/>
        </w:rPr>
        <w:t> </w:t>
      </w:r>
    </w:p>
    <w:p w14:paraId="6297B03C" w14:textId="41447E0E" w:rsidR="00DB08DB" w:rsidRPr="00BE0188" w:rsidRDefault="00DB08DB" w:rsidP="00DB08DB">
      <w:pPr>
        <w:rPr>
          <w:rFonts w:ascii="Aptos" w:eastAsia="Aptos" w:hAnsi="Aptos" w:cs="Aptos"/>
          <w:color w:val="000000" w:themeColor="text1"/>
          <w:sz w:val="24"/>
          <w:szCs w:val="24"/>
        </w:rPr>
      </w:pPr>
      <w:r>
        <w:br w:type="page"/>
      </w:r>
    </w:p>
    <w:p w14:paraId="7050DEA3" w14:textId="77777777" w:rsidR="00DB08DB" w:rsidRDefault="00DB08DB" w:rsidP="00DB08DB">
      <w:pPr>
        <w:pStyle w:val="Heading1"/>
        <w:rPr>
          <w:rFonts w:ascii="Aptos" w:eastAsia="Aptos" w:hAnsi="Aptos" w:cs="Aptos"/>
          <w:color w:val="000000" w:themeColor="text1"/>
          <w:sz w:val="24"/>
          <w:szCs w:val="24"/>
        </w:rPr>
      </w:pPr>
      <w:r w:rsidRPr="6F7DEE72">
        <w:rPr>
          <w:rFonts w:ascii="Aptos" w:eastAsia="Aptos" w:hAnsi="Aptos" w:cs="Aptos"/>
          <w:color w:val="auto"/>
        </w:rPr>
        <w:lastRenderedPageBreak/>
        <w:t>Summary of Public Comment</w:t>
      </w:r>
    </w:p>
    <w:tbl>
      <w:tblPr>
        <w:tblStyle w:val="TableGrid"/>
        <w:tblW w:w="14400" w:type="dxa"/>
        <w:tblLook w:val="06A0" w:firstRow="1" w:lastRow="0" w:firstColumn="1" w:lastColumn="0" w:noHBand="1" w:noVBand="1"/>
      </w:tblPr>
      <w:tblGrid>
        <w:gridCol w:w="7440"/>
        <w:gridCol w:w="6960"/>
      </w:tblGrid>
      <w:tr w:rsidR="00DB08DB" w14:paraId="479887E7" w14:textId="77777777" w:rsidTr="00923344">
        <w:trPr>
          <w:trHeight w:val="300"/>
        </w:trPr>
        <w:tc>
          <w:tcPr>
            <w:tcW w:w="7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shd w:val="clear" w:color="auto" w:fill="BDD6EE" w:themeFill="accent5" w:themeFillTint="66"/>
          </w:tcPr>
          <w:p w14:paraId="697A022E" w14:textId="77777777" w:rsidR="00DB08DB" w:rsidRDefault="00DB08DB" w:rsidP="00923344">
            <w:pPr>
              <w:rPr>
                <w:rFonts w:ascii="Aptos" w:eastAsia="Aptos" w:hAnsi="Aptos" w:cs="Aptos"/>
                <w:b/>
                <w:bCs/>
              </w:rPr>
            </w:pPr>
            <w:r w:rsidRPr="2A5B233C">
              <w:rPr>
                <w:rFonts w:ascii="Aptos" w:eastAsia="Aptos" w:hAnsi="Aptos" w:cs="Aptos"/>
                <w:b/>
                <w:bCs/>
              </w:rPr>
              <w:t>Summary of Public Comment Themes and Department Response</w:t>
            </w:r>
          </w:p>
        </w:tc>
        <w:tc>
          <w:tcPr>
            <w:tcW w:w="696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DD6EE" w:themeFill="accent5" w:themeFillTint="66"/>
          </w:tcPr>
          <w:p w14:paraId="08B29F5E" w14:textId="77777777" w:rsidR="00DB08DB" w:rsidRDefault="00DB08DB" w:rsidP="00923344">
            <w:pPr>
              <w:rPr>
                <w:rFonts w:ascii="Aptos" w:eastAsia="Aptos" w:hAnsi="Aptos" w:cs="Aptos"/>
                <w:b/>
                <w:bCs/>
              </w:rPr>
            </w:pPr>
          </w:p>
        </w:tc>
      </w:tr>
      <w:tr w:rsidR="00DB08DB" w14:paraId="021D3DF4" w14:textId="77777777" w:rsidTr="00923344">
        <w:trPr>
          <w:trHeight w:val="300"/>
        </w:trPr>
        <w:tc>
          <w:tcPr>
            <w:tcW w:w="7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DEEAF6" w:themeFill="accent5" w:themeFillTint="33"/>
          </w:tcPr>
          <w:p w14:paraId="41A28FF2" w14:textId="77777777" w:rsidR="00DB08DB" w:rsidRDefault="00DB08DB" w:rsidP="00923344">
            <w:pPr>
              <w:rPr>
                <w:rFonts w:ascii="Aptos" w:eastAsia="Aptos" w:hAnsi="Aptos" w:cs="Aptos"/>
                <w:b/>
                <w:bCs/>
              </w:rPr>
            </w:pPr>
            <w:r w:rsidRPr="5162ECCA">
              <w:rPr>
                <w:rFonts w:ascii="Aptos" w:eastAsia="Aptos" w:hAnsi="Aptos" w:cs="Aptos"/>
                <w:b/>
                <w:bCs/>
              </w:rPr>
              <w:t>Public Comment Received</w:t>
            </w:r>
          </w:p>
        </w:tc>
        <w:tc>
          <w:tcPr>
            <w:tcW w:w="696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5" w:themeFillTint="33"/>
          </w:tcPr>
          <w:p w14:paraId="14790764" w14:textId="77777777" w:rsidR="00DB08DB" w:rsidRDefault="00DB08DB" w:rsidP="00923344">
            <w:pPr>
              <w:rPr>
                <w:rFonts w:ascii="Aptos" w:eastAsia="Aptos" w:hAnsi="Aptos" w:cs="Aptos"/>
                <w:b/>
                <w:bCs/>
              </w:rPr>
            </w:pPr>
            <w:r w:rsidRPr="5162ECCA">
              <w:rPr>
                <w:rFonts w:ascii="Aptos" w:eastAsia="Aptos" w:hAnsi="Aptos" w:cs="Aptos"/>
                <w:b/>
                <w:bCs/>
              </w:rPr>
              <w:t>Department’s Response</w:t>
            </w:r>
          </w:p>
        </w:tc>
      </w:tr>
      <w:tr w:rsidR="00DB08DB" w14:paraId="10712E08" w14:textId="77777777" w:rsidTr="00923344">
        <w:trPr>
          <w:trHeight w:val="300"/>
        </w:trPr>
        <w:tc>
          <w:tcPr>
            <w:tcW w:w="14400" w:type="dxa"/>
            <w:gridSpan w:val="2"/>
            <w:tcBorders>
              <w:top w:val="single" w:sz="12" w:space="0" w:color="000000" w:themeColor="text1"/>
            </w:tcBorders>
            <w:shd w:val="clear" w:color="auto" w:fill="FBE4D5" w:themeFill="accent2" w:themeFillTint="33"/>
          </w:tcPr>
          <w:p w14:paraId="36DE7D14" w14:textId="77777777" w:rsidR="00DB08DB" w:rsidRDefault="00DB08DB" w:rsidP="00923344">
            <w:pPr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7.03 P</w:t>
            </w:r>
            <w:r w:rsidRPr="008F3C5A">
              <w:rPr>
                <w:rFonts w:ascii="Aptos" w:eastAsia="Aptos" w:hAnsi="Aptos" w:cs="Aptos"/>
                <w:b/>
                <w:bCs/>
              </w:rPr>
              <w:t>ermanent authoriz</w:t>
            </w:r>
            <w:r>
              <w:rPr>
                <w:rFonts w:ascii="Aptos" w:eastAsia="Aptos" w:hAnsi="Aptos" w:cs="Aptos"/>
                <w:b/>
                <w:bCs/>
              </w:rPr>
              <w:t>ation of</w:t>
            </w:r>
            <w:r w:rsidRPr="008F3C5A">
              <w:rPr>
                <w:rFonts w:ascii="Aptos" w:eastAsia="Aptos" w:hAnsi="Aptos" w:cs="Aptos"/>
                <w:b/>
                <w:bCs/>
              </w:rPr>
              <w:t xml:space="preserve"> Alternative Licensure Assessments</w:t>
            </w:r>
          </w:p>
        </w:tc>
      </w:tr>
      <w:tr w:rsidR="00DB08DB" w14:paraId="2ED6A439" w14:textId="77777777" w:rsidTr="00923344">
        <w:trPr>
          <w:trHeight w:val="300"/>
        </w:trPr>
        <w:tc>
          <w:tcPr>
            <w:tcW w:w="7440" w:type="dxa"/>
          </w:tcPr>
          <w:p w14:paraId="60FF9124" w14:textId="77777777" w:rsidR="00DB08DB" w:rsidDel="002B683F" w:rsidRDefault="00DB08DB" w:rsidP="00923344">
            <w:pPr>
              <w:rPr>
                <w:rFonts w:ascii="Aptos" w:eastAsia="Aptos" w:hAnsi="Aptos" w:cs="Aptos"/>
                <w:color w:val="000000" w:themeColor="text1"/>
              </w:rPr>
            </w:pPr>
            <w:r w:rsidRPr="77A1819A">
              <w:rPr>
                <w:rFonts w:ascii="Aptos" w:eastAsia="Aptos" w:hAnsi="Aptos" w:cs="Aptos"/>
                <w:color w:val="000000" w:themeColor="text1"/>
              </w:rPr>
              <w:t>Commenters</w:t>
            </w:r>
            <w:r>
              <w:rPr>
                <w:rFonts w:ascii="Aptos" w:eastAsia="Aptos" w:hAnsi="Aptos" w:cs="Aptos"/>
                <w:color w:val="000000" w:themeColor="text1"/>
              </w:rPr>
              <w:t xml:space="preserve"> overall support permanently </w:t>
            </w:r>
            <w:r w:rsidRPr="77A1819A">
              <w:rPr>
                <w:rFonts w:ascii="Aptos" w:eastAsia="Aptos" w:hAnsi="Aptos" w:cs="Aptos"/>
                <w:color w:val="000000" w:themeColor="text1"/>
              </w:rPr>
              <w:t>authorizing</w:t>
            </w:r>
            <w:r>
              <w:rPr>
                <w:rFonts w:ascii="Aptos" w:eastAsia="Aptos" w:hAnsi="Aptos" w:cs="Aptos"/>
                <w:color w:val="000000" w:themeColor="text1"/>
              </w:rPr>
              <w:t xml:space="preserve"> alternative assessments for licensure to ensure an equitable </w:t>
            </w:r>
            <w:r w:rsidRPr="3050A672">
              <w:rPr>
                <w:rFonts w:ascii="Aptos" w:eastAsia="Aptos" w:hAnsi="Aptos" w:cs="Aptos"/>
                <w:color w:val="000000" w:themeColor="text1"/>
              </w:rPr>
              <w:t>and</w:t>
            </w:r>
            <w:r>
              <w:rPr>
                <w:rFonts w:ascii="Aptos" w:eastAsia="Aptos" w:hAnsi="Aptos" w:cs="Aptos"/>
                <w:color w:val="000000" w:themeColor="text1"/>
              </w:rPr>
              <w:t xml:space="preserve"> accessible educator workforce and licensure system</w:t>
            </w:r>
            <w:r w:rsidRPr="5F1444B5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>
              <w:rPr>
                <w:rFonts w:ascii="Aptos" w:eastAsia="Aptos" w:hAnsi="Aptos" w:cs="Aptos"/>
                <w:color w:val="000000" w:themeColor="text1"/>
              </w:rPr>
              <w:t>(most individuals and organizations, including MTA, AFT, Latinos for Education, Bridgewater State University, MABE</w:t>
            </w:r>
            <w:r w:rsidRPr="195E603A">
              <w:rPr>
                <w:rFonts w:ascii="Aptos" w:eastAsia="Aptos" w:hAnsi="Aptos" w:cs="Aptos"/>
                <w:color w:val="000000" w:themeColor="text1"/>
              </w:rPr>
              <w:t>).</w:t>
            </w:r>
          </w:p>
        </w:tc>
        <w:tc>
          <w:tcPr>
            <w:tcW w:w="6960" w:type="dxa"/>
            <w:shd w:val="clear" w:color="auto" w:fill="F2F2F2" w:themeFill="background1" w:themeFillShade="F2"/>
          </w:tcPr>
          <w:p w14:paraId="477000AC" w14:textId="77777777" w:rsidR="00DB08DB" w:rsidRDefault="00DB08DB" w:rsidP="00923344">
            <w:pPr>
              <w:rPr>
                <w:rFonts w:ascii="Aptos" w:eastAsia="Aptos" w:hAnsi="Aptos" w:cs="Aptos"/>
                <w:b/>
                <w:bCs/>
                <w:highlight w:val="yellow"/>
              </w:rPr>
            </w:pPr>
          </w:p>
        </w:tc>
      </w:tr>
      <w:tr w:rsidR="00DB08DB" w14:paraId="21887FD8" w14:textId="77777777" w:rsidTr="00923344">
        <w:trPr>
          <w:trHeight w:val="300"/>
        </w:trPr>
        <w:tc>
          <w:tcPr>
            <w:tcW w:w="7440" w:type="dxa"/>
          </w:tcPr>
          <w:p w14:paraId="7B66DB19" w14:textId="77777777" w:rsidR="00DB08DB" w:rsidRDefault="00DB08DB" w:rsidP="0092334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Expand access of alternative licensure assessments to those licensed under 603 CMR 4.00, Vocational Technical Education (MTA)</w:t>
            </w:r>
          </w:p>
        </w:tc>
        <w:tc>
          <w:tcPr>
            <w:tcW w:w="6960" w:type="dxa"/>
          </w:tcPr>
          <w:p w14:paraId="33F0375B" w14:textId="77777777" w:rsidR="00DB08DB" w:rsidRPr="00E658CC" w:rsidRDefault="00DB08DB" w:rsidP="00923344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No changes. We will take this into consideration and explore this with internal and external stakeholders</w:t>
            </w:r>
            <w:r w:rsidRPr="05030572">
              <w:rPr>
                <w:rFonts w:ascii="Aptos" w:eastAsia="Aptos" w:hAnsi="Aptos" w:cs="Aptos"/>
              </w:rPr>
              <w:t>.</w:t>
            </w:r>
          </w:p>
        </w:tc>
      </w:tr>
      <w:tr w:rsidR="00DB08DB" w14:paraId="13AE7897" w14:textId="77777777" w:rsidTr="00923344">
        <w:trPr>
          <w:trHeight w:val="300"/>
        </w:trPr>
        <w:tc>
          <w:tcPr>
            <w:tcW w:w="7440" w:type="dxa"/>
          </w:tcPr>
          <w:p w14:paraId="0C9D3685" w14:textId="77777777" w:rsidR="00DB08DB" w:rsidRPr="00922F06" w:rsidRDefault="00DB08DB" w:rsidP="0092334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Consider additional guardrails and conditions for implementation of the alternative assessments (MBAE)</w:t>
            </w:r>
          </w:p>
        </w:tc>
        <w:tc>
          <w:tcPr>
            <w:tcW w:w="6960" w:type="dxa"/>
          </w:tcPr>
          <w:p w14:paraId="064156E0" w14:textId="77777777" w:rsidR="00DB08DB" w:rsidRDefault="00DB08DB" w:rsidP="00923344">
            <w:pPr>
              <w:rPr>
                <w:rFonts w:ascii="Aptos" w:eastAsia="Aptos" w:hAnsi="Aptos" w:cs="Aptos"/>
              </w:rPr>
            </w:pPr>
            <w:r w:rsidRPr="5F1444B5">
              <w:rPr>
                <w:rFonts w:ascii="Aptos" w:eastAsia="Aptos" w:hAnsi="Aptos" w:cs="Aptos"/>
              </w:rPr>
              <w:t>No changes. If the proposed amendments are adopted, DESE plans to issue guidance</w:t>
            </w:r>
            <w:r>
              <w:rPr>
                <w:rFonts w:ascii="Aptos" w:eastAsia="Aptos" w:hAnsi="Aptos" w:cs="Aptos"/>
              </w:rPr>
              <w:t xml:space="preserve"> that will consider these public comments and will have another open public comment period when the implementation guidelines are released</w:t>
            </w:r>
            <w:r w:rsidRPr="5F1444B5">
              <w:rPr>
                <w:rFonts w:ascii="Aptos" w:eastAsia="Aptos" w:hAnsi="Aptos" w:cs="Aptos"/>
              </w:rPr>
              <w:t>.</w:t>
            </w:r>
          </w:p>
        </w:tc>
      </w:tr>
      <w:tr w:rsidR="00DB08DB" w14:paraId="5CA72E14" w14:textId="77777777" w:rsidTr="00923344">
        <w:trPr>
          <w:trHeight w:val="300"/>
        </w:trPr>
        <w:tc>
          <w:tcPr>
            <w:tcW w:w="7440" w:type="dxa"/>
          </w:tcPr>
          <w:p w14:paraId="2754E896" w14:textId="77777777" w:rsidR="00DB08DB" w:rsidRDefault="00DB08DB" w:rsidP="0092334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Consider the inclusion of statutory language from the LEADS act re: alternative licensure pathways that may waive one of the two MTELS required for licensure and expand annual reporting (Latinos for Education)</w:t>
            </w:r>
          </w:p>
        </w:tc>
        <w:tc>
          <w:tcPr>
            <w:tcW w:w="6960" w:type="dxa"/>
          </w:tcPr>
          <w:p w14:paraId="7F6B9103" w14:textId="77777777" w:rsidR="00DB08DB" w:rsidRDefault="00DB08DB" w:rsidP="00923344">
            <w:pPr>
              <w:rPr>
                <w:rFonts w:ascii="Aptos" w:eastAsia="Aptos" w:hAnsi="Aptos" w:cs="Aptos"/>
              </w:rPr>
            </w:pPr>
            <w:r w:rsidRPr="5F1444B5">
              <w:rPr>
                <w:rFonts w:ascii="Aptos" w:eastAsia="Aptos" w:hAnsi="Aptos" w:cs="Aptos"/>
              </w:rPr>
              <w:t xml:space="preserve">No changes. </w:t>
            </w:r>
            <w:r>
              <w:rPr>
                <w:rFonts w:ascii="Aptos" w:eastAsia="Aptos" w:hAnsi="Aptos" w:cs="Aptos"/>
              </w:rPr>
              <w:t>I</w:t>
            </w:r>
            <w:r w:rsidRPr="00275F30">
              <w:rPr>
                <w:rFonts w:ascii="Aptos" w:eastAsia="Aptos" w:hAnsi="Aptos" w:cs="Aptos"/>
              </w:rPr>
              <w:t>t is premature to introduce th</w:t>
            </w:r>
            <w:r>
              <w:rPr>
                <w:rFonts w:ascii="Aptos" w:eastAsia="Aptos" w:hAnsi="Aptos" w:cs="Aptos"/>
              </w:rPr>
              <w:t>is</w:t>
            </w:r>
            <w:r w:rsidRPr="00275F30">
              <w:rPr>
                <w:rFonts w:ascii="Aptos" w:eastAsia="Aptos" w:hAnsi="Aptos" w:cs="Aptos"/>
              </w:rPr>
              <w:t xml:space="preserve"> </w:t>
            </w:r>
            <w:r>
              <w:rPr>
                <w:rFonts w:ascii="Aptos" w:eastAsia="Aptos" w:hAnsi="Aptos" w:cs="Aptos"/>
              </w:rPr>
              <w:t xml:space="preserve">statutory </w:t>
            </w:r>
            <w:r w:rsidRPr="00275F30">
              <w:rPr>
                <w:rFonts w:ascii="Aptos" w:eastAsia="Aptos" w:hAnsi="Aptos" w:cs="Aptos"/>
              </w:rPr>
              <w:t xml:space="preserve">language.  The Department will bring proposed regulations in response to the language in the LEADS act </w:t>
            </w:r>
            <w:proofErr w:type="gramStart"/>
            <w:r w:rsidRPr="00275F30">
              <w:rPr>
                <w:rFonts w:ascii="Aptos" w:eastAsia="Aptos" w:hAnsi="Aptos" w:cs="Aptos"/>
              </w:rPr>
              <w:t>at a later date</w:t>
            </w:r>
            <w:proofErr w:type="gramEnd"/>
            <w:r w:rsidRPr="00275F30">
              <w:rPr>
                <w:rFonts w:ascii="Aptos" w:eastAsia="Aptos" w:hAnsi="Aptos" w:cs="Aptos"/>
              </w:rPr>
              <w:t xml:space="preserve"> following internal and external stakeholder engagement and recommendation by the Commissioner of Elementary and Secondary Education.</w:t>
            </w:r>
            <w:r>
              <w:rPr>
                <w:rFonts w:ascii="Aptos" w:eastAsia="Aptos" w:hAnsi="Aptos" w:cs="Aptos"/>
              </w:rPr>
              <w:t xml:space="preserve">  W</w:t>
            </w:r>
            <w:r w:rsidRPr="00DB7A56">
              <w:rPr>
                <w:rFonts w:ascii="Aptos" w:eastAsia="Aptos" w:hAnsi="Aptos" w:cs="Aptos"/>
              </w:rPr>
              <w:t xml:space="preserve">e will be including race/ethnicity results in the annual reporting </w:t>
            </w:r>
            <w:r>
              <w:rPr>
                <w:rFonts w:ascii="Aptos" w:eastAsia="Aptos" w:hAnsi="Aptos" w:cs="Aptos"/>
              </w:rPr>
              <w:t xml:space="preserve">of alternative assessments </w:t>
            </w:r>
            <w:r w:rsidRPr="00DB7A56">
              <w:rPr>
                <w:rFonts w:ascii="Aptos" w:eastAsia="Aptos" w:hAnsi="Aptos" w:cs="Aptos"/>
              </w:rPr>
              <w:t xml:space="preserve">as we currently do for all MTELs when </w:t>
            </w:r>
            <w:r w:rsidRPr="77A1819A">
              <w:rPr>
                <w:rFonts w:ascii="Aptos" w:eastAsia="Aptos" w:hAnsi="Aptos" w:cs="Aptos"/>
              </w:rPr>
              <w:t>the</w:t>
            </w:r>
            <w:r w:rsidRPr="00DB7A56">
              <w:rPr>
                <w:rFonts w:ascii="Aptos" w:eastAsia="Aptos" w:hAnsi="Aptos" w:cs="Aptos"/>
              </w:rPr>
              <w:t xml:space="preserve"> n size is 10 or higher.</w:t>
            </w:r>
          </w:p>
        </w:tc>
      </w:tr>
      <w:tr w:rsidR="00DB08DB" w14:paraId="008AF508" w14:textId="77777777" w:rsidTr="00923344">
        <w:trPr>
          <w:trHeight w:val="300"/>
        </w:trPr>
        <w:tc>
          <w:tcPr>
            <w:tcW w:w="7440" w:type="dxa"/>
          </w:tcPr>
          <w:p w14:paraId="149F9733" w14:textId="2B1BD85E" w:rsidR="00DB08DB" w:rsidRDefault="00DB08DB" w:rsidP="0092334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Increase the number, type and availability of alternative licensure assessments (some individual</w:t>
            </w:r>
            <w:r w:rsidR="00D0091D">
              <w:rPr>
                <w:rFonts w:ascii="Aptos" w:eastAsia="Aptos" w:hAnsi="Aptos" w:cs="Aptos"/>
                <w:color w:val="000000" w:themeColor="text1"/>
              </w:rPr>
              <w:t>s</w:t>
            </w:r>
            <w:r>
              <w:rPr>
                <w:rFonts w:ascii="Aptos" w:eastAsia="Aptos" w:hAnsi="Aptos" w:cs="Aptos"/>
                <w:color w:val="000000" w:themeColor="text1"/>
              </w:rPr>
              <w:t>)</w:t>
            </w:r>
          </w:p>
        </w:tc>
        <w:tc>
          <w:tcPr>
            <w:tcW w:w="6960" w:type="dxa"/>
          </w:tcPr>
          <w:p w14:paraId="49784283" w14:textId="77777777" w:rsidR="00DB08DB" w:rsidRDefault="00DB08DB" w:rsidP="00923344">
            <w:pPr>
              <w:rPr>
                <w:rFonts w:ascii="Aptos" w:eastAsia="Aptos" w:hAnsi="Aptos" w:cs="Aptos"/>
              </w:rPr>
            </w:pPr>
            <w:r w:rsidRPr="2A5B233C">
              <w:rPr>
                <w:rFonts w:ascii="Aptos" w:eastAsia="Aptos" w:hAnsi="Aptos" w:cs="Aptos"/>
              </w:rPr>
              <w:t>No changes. If the proposed amendments are adopted, DESE plans to issue guidance covering this topic.</w:t>
            </w:r>
          </w:p>
          <w:p w14:paraId="259C8444" w14:textId="77777777" w:rsidR="00DB08DB" w:rsidRDefault="00DB08DB" w:rsidP="00923344">
            <w:pPr>
              <w:rPr>
                <w:rFonts w:ascii="Aptos" w:eastAsia="Aptos" w:hAnsi="Aptos" w:cs="Aptos"/>
              </w:rPr>
            </w:pPr>
          </w:p>
        </w:tc>
      </w:tr>
      <w:tr w:rsidR="00DB08DB" w14:paraId="4CA97EE6" w14:textId="77777777" w:rsidTr="00923344">
        <w:trPr>
          <w:trHeight w:val="300"/>
        </w:trPr>
        <w:tc>
          <w:tcPr>
            <w:tcW w:w="14400" w:type="dxa"/>
            <w:gridSpan w:val="2"/>
            <w:shd w:val="clear" w:color="auto" w:fill="FBE4D5" w:themeFill="accent2" w:themeFillTint="33"/>
          </w:tcPr>
          <w:p w14:paraId="6DE6DC97" w14:textId="77777777" w:rsidR="00DB08DB" w:rsidRDefault="00DB08DB" w:rsidP="00923344">
            <w:pPr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7.04 A</w:t>
            </w:r>
            <w:r w:rsidRPr="00EF7D62">
              <w:rPr>
                <w:rFonts w:ascii="Aptos" w:eastAsia="Aptos" w:hAnsi="Aptos" w:cs="Aptos"/>
                <w:b/>
                <w:bCs/>
              </w:rPr>
              <w:t xml:space="preserve">dditional flexibility in coursework </w:t>
            </w:r>
            <w:r>
              <w:rPr>
                <w:rFonts w:ascii="Aptos" w:eastAsia="Aptos" w:hAnsi="Aptos" w:cs="Aptos"/>
                <w:b/>
                <w:bCs/>
              </w:rPr>
              <w:t xml:space="preserve">requirements </w:t>
            </w:r>
            <w:r w:rsidRPr="00EF7D62">
              <w:rPr>
                <w:rFonts w:ascii="Aptos" w:eastAsia="Aptos" w:hAnsi="Aptos" w:cs="Aptos"/>
                <w:b/>
                <w:bCs/>
              </w:rPr>
              <w:t>for professional licensure</w:t>
            </w:r>
          </w:p>
        </w:tc>
      </w:tr>
      <w:tr w:rsidR="00DB08DB" w14:paraId="170ABF6F" w14:textId="77777777" w:rsidTr="00923344">
        <w:trPr>
          <w:trHeight w:val="300"/>
        </w:trPr>
        <w:tc>
          <w:tcPr>
            <w:tcW w:w="7440" w:type="dxa"/>
          </w:tcPr>
          <w:p w14:paraId="1D760E1B" w14:textId="0F285675" w:rsidR="00DB08DB" w:rsidRDefault="00DB08DB" w:rsidP="00923344">
            <w:pPr>
              <w:rPr>
                <w:rFonts w:ascii="Aptos" w:eastAsia="Aptos" w:hAnsi="Aptos" w:cs="Aptos"/>
                <w:color w:val="000000" w:themeColor="text1"/>
              </w:rPr>
            </w:pPr>
            <w:r w:rsidRPr="77A1819A">
              <w:rPr>
                <w:rFonts w:ascii="Aptos" w:eastAsia="Aptos" w:hAnsi="Aptos" w:cs="Aptos"/>
                <w:color w:val="000000" w:themeColor="text1"/>
              </w:rPr>
              <w:t>Support</w:t>
            </w:r>
            <w:r w:rsidDel="005002DA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>
              <w:rPr>
                <w:rFonts w:ascii="Aptos" w:eastAsia="Aptos" w:hAnsi="Aptos" w:cs="Aptos"/>
                <w:color w:val="000000" w:themeColor="text1"/>
              </w:rPr>
              <w:t xml:space="preserve">creating additional </w:t>
            </w:r>
            <w:proofErr w:type="gramStart"/>
            <w:r>
              <w:rPr>
                <w:rFonts w:ascii="Aptos" w:eastAsia="Aptos" w:hAnsi="Aptos" w:cs="Aptos"/>
                <w:color w:val="000000" w:themeColor="text1"/>
              </w:rPr>
              <w:t>flexibilities</w:t>
            </w:r>
            <w:proofErr w:type="gramEnd"/>
            <w:r>
              <w:rPr>
                <w:rFonts w:ascii="Aptos" w:eastAsia="Aptos" w:hAnsi="Aptos" w:cs="Aptos"/>
                <w:color w:val="000000" w:themeColor="text1"/>
              </w:rPr>
              <w:t xml:space="preserve"> and allowing up to six of the 12 credits to include the Professional Standards for Teachers (most individual</w:t>
            </w:r>
            <w:r w:rsidR="00D0091D">
              <w:rPr>
                <w:rFonts w:ascii="Aptos" w:eastAsia="Aptos" w:hAnsi="Aptos" w:cs="Aptos"/>
                <w:color w:val="000000" w:themeColor="text1"/>
              </w:rPr>
              <w:t>s</w:t>
            </w:r>
            <w:r>
              <w:rPr>
                <w:rFonts w:ascii="Aptos" w:eastAsia="Aptos" w:hAnsi="Aptos" w:cs="Aptos"/>
                <w:color w:val="000000" w:themeColor="text1"/>
              </w:rPr>
              <w:t>, MTA).</w:t>
            </w:r>
          </w:p>
          <w:p w14:paraId="5507DF66" w14:textId="77777777" w:rsidR="00DB08DB" w:rsidRDefault="00DB08DB" w:rsidP="00923344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6960" w:type="dxa"/>
            <w:shd w:val="clear" w:color="auto" w:fill="F2F2F2" w:themeFill="background1" w:themeFillShade="F2"/>
          </w:tcPr>
          <w:p w14:paraId="2A1231BC" w14:textId="77777777" w:rsidR="00DB08DB" w:rsidRDefault="00DB08DB" w:rsidP="00923344">
            <w:pPr>
              <w:rPr>
                <w:rFonts w:ascii="Aptos" w:eastAsia="Aptos" w:hAnsi="Aptos" w:cs="Aptos"/>
              </w:rPr>
            </w:pPr>
          </w:p>
        </w:tc>
      </w:tr>
      <w:tr w:rsidR="00DB08DB" w14:paraId="56FB611C" w14:textId="77777777" w:rsidTr="00923344">
        <w:trPr>
          <w:trHeight w:val="300"/>
        </w:trPr>
        <w:tc>
          <w:tcPr>
            <w:tcW w:w="14400" w:type="dxa"/>
            <w:gridSpan w:val="2"/>
            <w:shd w:val="clear" w:color="auto" w:fill="FBE4D5" w:themeFill="accent2" w:themeFillTint="33"/>
          </w:tcPr>
          <w:p w14:paraId="125EB967" w14:textId="77777777" w:rsidR="00DB08DB" w:rsidRDefault="00DB08DB" w:rsidP="00923344">
            <w:pPr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 xml:space="preserve">7.04 Name and Level change for </w:t>
            </w:r>
            <w:r w:rsidRPr="00F13B49">
              <w:rPr>
                <w:rFonts w:ascii="Aptos" w:eastAsia="Aptos" w:hAnsi="Aptos" w:cs="Aptos"/>
                <w:b/>
                <w:bCs/>
              </w:rPr>
              <w:t>Health/Family and Consumer Sciences</w:t>
            </w:r>
            <w:r>
              <w:rPr>
                <w:rFonts w:ascii="Aptos" w:eastAsia="Aptos" w:hAnsi="Aptos" w:cs="Aptos"/>
                <w:b/>
                <w:bCs/>
              </w:rPr>
              <w:t>, all levels</w:t>
            </w:r>
            <w:r w:rsidRPr="00F13B49">
              <w:rPr>
                <w:rFonts w:ascii="Aptos" w:eastAsia="Aptos" w:hAnsi="Aptos" w:cs="Aptos"/>
                <w:b/>
                <w:bCs/>
              </w:rPr>
              <w:t xml:space="preserve"> license to Comprehensive Health</w:t>
            </w:r>
            <w:r>
              <w:rPr>
                <w:rFonts w:ascii="Aptos" w:eastAsia="Aptos" w:hAnsi="Aptos" w:cs="Aptos"/>
                <w:b/>
                <w:bCs/>
              </w:rPr>
              <w:t>, PreK-8 &amp; 5-12</w:t>
            </w:r>
          </w:p>
        </w:tc>
      </w:tr>
      <w:tr w:rsidR="00DB08DB" w14:paraId="292A6404" w14:textId="77777777" w:rsidTr="00923344">
        <w:trPr>
          <w:trHeight w:val="300"/>
        </w:trPr>
        <w:tc>
          <w:tcPr>
            <w:tcW w:w="7440" w:type="dxa"/>
          </w:tcPr>
          <w:p w14:paraId="04C94DF6" w14:textId="4C38AB6A" w:rsidR="00DB08DB" w:rsidRPr="006D204E" w:rsidRDefault="00DB08DB" w:rsidP="0092334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lastRenderedPageBreak/>
              <w:t xml:space="preserve">Commenters overall </w:t>
            </w:r>
            <w:r w:rsidRPr="77A1819A">
              <w:rPr>
                <w:rFonts w:ascii="Aptos" w:eastAsia="Aptos" w:hAnsi="Aptos" w:cs="Aptos"/>
                <w:color w:val="000000" w:themeColor="text1"/>
              </w:rPr>
              <w:t>support changing</w:t>
            </w:r>
            <w:r>
              <w:rPr>
                <w:rFonts w:ascii="Aptos" w:eastAsia="Aptos" w:hAnsi="Aptos" w:cs="Aptos"/>
                <w:color w:val="000000" w:themeColor="text1"/>
              </w:rPr>
              <w:t xml:space="preserve"> the name and levels for </w:t>
            </w:r>
            <w:proofErr w:type="gramStart"/>
            <w:r>
              <w:rPr>
                <w:rFonts w:ascii="Aptos" w:eastAsia="Aptos" w:hAnsi="Aptos" w:cs="Aptos"/>
                <w:color w:val="000000" w:themeColor="text1"/>
              </w:rPr>
              <w:t>license</w:t>
            </w:r>
            <w:proofErr w:type="gramEnd"/>
            <w:r>
              <w:rPr>
                <w:rFonts w:ascii="Aptos" w:eastAsia="Aptos" w:hAnsi="Aptos" w:cs="Aptos"/>
                <w:color w:val="000000" w:themeColor="text1"/>
              </w:rPr>
              <w:t xml:space="preserve"> to clarify the role of health educators (majority of </w:t>
            </w:r>
            <w:proofErr w:type="gramStart"/>
            <w:r>
              <w:rPr>
                <w:rFonts w:ascii="Aptos" w:eastAsia="Aptos" w:hAnsi="Aptos" w:cs="Aptos"/>
                <w:color w:val="000000" w:themeColor="text1"/>
              </w:rPr>
              <w:t>individual</w:t>
            </w:r>
            <w:proofErr w:type="gramEnd"/>
            <w:r>
              <w:rPr>
                <w:rFonts w:ascii="Aptos" w:eastAsia="Aptos" w:hAnsi="Aptos" w:cs="Aptos"/>
                <w:color w:val="000000" w:themeColor="text1"/>
              </w:rPr>
              <w:t>, MTA, Bridgewater State University).</w:t>
            </w:r>
          </w:p>
        </w:tc>
        <w:tc>
          <w:tcPr>
            <w:tcW w:w="6960" w:type="dxa"/>
            <w:shd w:val="clear" w:color="auto" w:fill="F2F2F2" w:themeFill="background1" w:themeFillShade="F2"/>
          </w:tcPr>
          <w:p w14:paraId="39C0813A" w14:textId="77777777" w:rsidR="00DB08DB" w:rsidRDefault="00DB08DB" w:rsidP="00923344">
            <w:pPr>
              <w:rPr>
                <w:rFonts w:ascii="Aptos" w:eastAsia="Aptos" w:hAnsi="Aptos" w:cs="Aptos"/>
              </w:rPr>
            </w:pPr>
          </w:p>
        </w:tc>
      </w:tr>
      <w:tr w:rsidR="00DB08DB" w14:paraId="2ABA009C" w14:textId="77777777" w:rsidTr="00923344">
        <w:trPr>
          <w:trHeight w:val="300"/>
        </w:trPr>
        <w:tc>
          <w:tcPr>
            <w:tcW w:w="7440" w:type="dxa"/>
          </w:tcPr>
          <w:p w14:paraId="5A4BAE0A" w14:textId="7A60EBD2" w:rsidR="00DB08DB" w:rsidRPr="00A7169A" w:rsidRDefault="00DB08DB" w:rsidP="0092334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I agree with the name change, but not separating the grade spans (one individual)</w:t>
            </w:r>
          </w:p>
        </w:tc>
        <w:tc>
          <w:tcPr>
            <w:tcW w:w="6960" w:type="dxa"/>
          </w:tcPr>
          <w:p w14:paraId="2460A581" w14:textId="77777777" w:rsidR="00DB08DB" w:rsidRPr="00F06CA2" w:rsidRDefault="00DB08DB" w:rsidP="00923344">
            <w:pPr>
              <w:rPr>
                <w:rFonts w:ascii="Aptos" w:eastAsia="Aptos" w:hAnsi="Aptos" w:cs="Aptos"/>
              </w:rPr>
            </w:pPr>
            <w:r w:rsidRPr="00F06CA2">
              <w:rPr>
                <w:rFonts w:ascii="Aptos" w:eastAsia="Aptos" w:hAnsi="Aptos" w:cs="Aptos"/>
              </w:rPr>
              <w:t xml:space="preserve">No changes.  The split </w:t>
            </w:r>
            <w:r>
              <w:rPr>
                <w:rFonts w:ascii="Aptos" w:eastAsia="Aptos" w:hAnsi="Aptos" w:cs="Aptos"/>
              </w:rPr>
              <w:t xml:space="preserve">levels </w:t>
            </w:r>
            <w:r w:rsidRPr="00F06CA2">
              <w:rPr>
                <w:rFonts w:ascii="Aptos" w:eastAsia="Aptos" w:hAnsi="Aptos" w:cs="Aptos"/>
              </w:rPr>
              <w:t xml:space="preserve">better align with the physical education license and the content requirements in the updated framework.  The split levels also require only one </w:t>
            </w:r>
            <w:r>
              <w:rPr>
                <w:rFonts w:ascii="Aptos" w:eastAsia="Aptos" w:hAnsi="Aptos" w:cs="Aptos"/>
              </w:rPr>
              <w:t xml:space="preserve">300-hour </w:t>
            </w:r>
            <w:r w:rsidRPr="00F06CA2">
              <w:rPr>
                <w:rFonts w:ascii="Aptos" w:eastAsia="Aptos" w:hAnsi="Aptos" w:cs="Aptos"/>
              </w:rPr>
              <w:t xml:space="preserve">practicum </w:t>
            </w:r>
            <w:r>
              <w:rPr>
                <w:rFonts w:ascii="Aptos" w:eastAsia="Aptos" w:hAnsi="Aptos" w:cs="Aptos"/>
              </w:rPr>
              <w:t xml:space="preserve">at the PreK-6 or 5-12 level </w:t>
            </w:r>
            <w:r w:rsidRPr="00F06CA2">
              <w:rPr>
                <w:rFonts w:ascii="Aptos" w:eastAsia="Aptos" w:hAnsi="Aptos" w:cs="Aptos"/>
              </w:rPr>
              <w:t xml:space="preserve">versus an all-level license that would require two </w:t>
            </w:r>
            <w:r>
              <w:rPr>
                <w:rFonts w:ascii="Aptos" w:eastAsia="Aptos" w:hAnsi="Aptos" w:cs="Aptos"/>
              </w:rPr>
              <w:t xml:space="preserve">150-hour </w:t>
            </w:r>
            <w:r w:rsidRPr="00F06CA2">
              <w:rPr>
                <w:rFonts w:ascii="Aptos" w:eastAsia="Aptos" w:hAnsi="Aptos" w:cs="Aptos"/>
              </w:rPr>
              <w:t>practicums at the elementary and the middle/high school level.  </w:t>
            </w:r>
          </w:p>
        </w:tc>
      </w:tr>
      <w:tr w:rsidR="00DB08DB" w14:paraId="3285AC94" w14:textId="77777777" w:rsidTr="00923344">
        <w:trPr>
          <w:trHeight w:val="300"/>
        </w:trPr>
        <w:tc>
          <w:tcPr>
            <w:tcW w:w="14400" w:type="dxa"/>
            <w:gridSpan w:val="2"/>
            <w:shd w:val="clear" w:color="auto" w:fill="FBE4D5" w:themeFill="accent2" w:themeFillTint="33"/>
          </w:tcPr>
          <w:p w14:paraId="3CB623BC" w14:textId="77777777" w:rsidR="00DB08DB" w:rsidRDefault="00DB08DB" w:rsidP="00923344">
            <w:pPr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7.04, 7.14 New Media Arts Endorsement</w:t>
            </w:r>
          </w:p>
        </w:tc>
      </w:tr>
      <w:tr w:rsidR="00DB08DB" w14:paraId="7D850878" w14:textId="77777777" w:rsidTr="00923344">
        <w:trPr>
          <w:trHeight w:val="300"/>
        </w:trPr>
        <w:tc>
          <w:tcPr>
            <w:tcW w:w="7440" w:type="dxa"/>
          </w:tcPr>
          <w:p w14:paraId="4D3A75F8" w14:textId="67E8C915" w:rsidR="00DB08DB" w:rsidRPr="00973294" w:rsidRDefault="00DB08DB" w:rsidP="00923344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Commenters overall </w:t>
            </w:r>
            <w:r w:rsidRPr="77A1819A">
              <w:rPr>
                <w:rFonts w:ascii="Aptos" w:eastAsia="Aptos" w:hAnsi="Aptos" w:cs="Aptos"/>
              </w:rPr>
              <w:t>support</w:t>
            </w:r>
            <w:r w:rsidRPr="00973294" w:rsidDel="001D3EF6">
              <w:rPr>
                <w:rFonts w:ascii="Aptos" w:eastAsia="Aptos" w:hAnsi="Aptos" w:cs="Aptos"/>
              </w:rPr>
              <w:t xml:space="preserve"> </w:t>
            </w:r>
            <w:r w:rsidRPr="00973294">
              <w:rPr>
                <w:rFonts w:ascii="Aptos" w:eastAsia="Aptos" w:hAnsi="Aptos" w:cs="Aptos"/>
              </w:rPr>
              <w:t xml:space="preserve">creating a new Media Arts Endorsement </w:t>
            </w:r>
            <w:r>
              <w:rPr>
                <w:rFonts w:ascii="Aptos" w:eastAsia="Aptos" w:hAnsi="Aptos" w:cs="Aptos"/>
              </w:rPr>
              <w:t>(majority of individual</w:t>
            </w:r>
            <w:r w:rsidR="0036501C">
              <w:rPr>
                <w:rFonts w:ascii="Aptos" w:eastAsia="Aptos" w:hAnsi="Aptos" w:cs="Aptos"/>
              </w:rPr>
              <w:t xml:space="preserve"> commenters</w:t>
            </w:r>
            <w:r>
              <w:rPr>
                <w:rFonts w:ascii="Aptos" w:eastAsia="Aptos" w:hAnsi="Aptos" w:cs="Aptos"/>
              </w:rPr>
              <w:t>, Latinos for Education).</w:t>
            </w:r>
          </w:p>
        </w:tc>
        <w:tc>
          <w:tcPr>
            <w:tcW w:w="6960" w:type="dxa"/>
            <w:shd w:val="clear" w:color="auto" w:fill="F2F2F2" w:themeFill="background1" w:themeFillShade="F2"/>
          </w:tcPr>
          <w:p w14:paraId="56CC7A84" w14:textId="77777777" w:rsidR="00DB08DB" w:rsidRDefault="00DB08DB" w:rsidP="00923344">
            <w:pPr>
              <w:rPr>
                <w:rFonts w:ascii="Aptos" w:eastAsia="Aptos" w:hAnsi="Aptos" w:cs="Aptos"/>
              </w:rPr>
            </w:pPr>
          </w:p>
        </w:tc>
      </w:tr>
      <w:tr w:rsidR="00DB08DB" w14:paraId="00CDE9ED" w14:textId="77777777" w:rsidTr="00923344">
        <w:trPr>
          <w:trHeight w:val="300"/>
        </w:trPr>
        <w:tc>
          <w:tcPr>
            <w:tcW w:w="7440" w:type="dxa"/>
          </w:tcPr>
          <w:p w14:paraId="73A2E0B9" w14:textId="1F14BF07" w:rsidR="00DB08DB" w:rsidRDefault="00DB08DB" w:rsidP="00923344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A</w:t>
            </w:r>
            <w:r w:rsidRPr="006131EC">
              <w:rPr>
                <w:rFonts w:ascii="Aptos" w:eastAsia="Aptos" w:hAnsi="Aptos" w:cs="Aptos"/>
              </w:rPr>
              <w:t>dd: the TV &amp; Radio Broadcasting voc</w:t>
            </w:r>
            <w:r>
              <w:rPr>
                <w:rFonts w:ascii="Aptos" w:eastAsia="Aptos" w:hAnsi="Aptos" w:cs="Aptos"/>
              </w:rPr>
              <w:t>ational</w:t>
            </w:r>
            <w:r w:rsidRPr="006131EC">
              <w:rPr>
                <w:rFonts w:ascii="Aptos" w:eastAsia="Aptos" w:hAnsi="Aptos" w:cs="Aptos"/>
              </w:rPr>
              <w:t xml:space="preserve"> license as a possible prerequisite license</w:t>
            </w:r>
            <w:r>
              <w:rPr>
                <w:rFonts w:ascii="Aptos" w:eastAsia="Aptos" w:hAnsi="Aptos" w:cs="Aptos"/>
              </w:rPr>
              <w:t xml:space="preserve"> (a few individual</w:t>
            </w:r>
            <w:r w:rsidR="00D0091D">
              <w:rPr>
                <w:rFonts w:ascii="Aptos" w:eastAsia="Aptos" w:hAnsi="Aptos" w:cs="Aptos"/>
              </w:rPr>
              <w:t>s</w:t>
            </w:r>
            <w:r>
              <w:rPr>
                <w:rFonts w:ascii="Aptos" w:eastAsia="Aptos" w:hAnsi="Aptos" w:cs="Aptos"/>
              </w:rPr>
              <w:t>)</w:t>
            </w:r>
          </w:p>
          <w:p w14:paraId="4A94003C" w14:textId="77777777" w:rsidR="00DB08DB" w:rsidRPr="00973294" w:rsidRDefault="00DB08DB" w:rsidP="00923344">
            <w:pPr>
              <w:rPr>
                <w:rFonts w:ascii="Aptos" w:eastAsia="Aptos" w:hAnsi="Aptos" w:cs="Aptos"/>
              </w:rPr>
            </w:pPr>
          </w:p>
        </w:tc>
        <w:tc>
          <w:tcPr>
            <w:tcW w:w="6960" w:type="dxa"/>
          </w:tcPr>
          <w:p w14:paraId="2AD9CE59" w14:textId="77777777" w:rsidR="00DB08DB" w:rsidRDefault="00DB08DB" w:rsidP="00923344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Revised to update the list of prerequisite vocational licenses.</w:t>
            </w:r>
          </w:p>
        </w:tc>
      </w:tr>
      <w:tr w:rsidR="00DB08DB" w14:paraId="2347F0A5" w14:textId="77777777" w:rsidTr="00923344">
        <w:trPr>
          <w:trHeight w:val="315"/>
        </w:trPr>
        <w:tc>
          <w:tcPr>
            <w:tcW w:w="14400" w:type="dxa"/>
            <w:gridSpan w:val="2"/>
            <w:shd w:val="clear" w:color="auto" w:fill="FBE4D5" w:themeFill="accent2" w:themeFillTint="33"/>
          </w:tcPr>
          <w:p w14:paraId="7693E869" w14:textId="77777777" w:rsidR="00DB08DB" w:rsidRDefault="00DB08DB" w:rsidP="00923344">
            <w:pPr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 xml:space="preserve">7.04 </w:t>
            </w:r>
            <w:r w:rsidRPr="00FE6AD7">
              <w:rPr>
                <w:rFonts w:ascii="Aptos" w:eastAsia="Aptos" w:hAnsi="Aptos" w:cs="Aptos"/>
                <w:b/>
                <w:bCs/>
              </w:rPr>
              <w:t>Allow the Bilingual Endorsement as an alternative to the Sheltered English Immersion Endorsement for initial licenses in core academic areas</w:t>
            </w:r>
          </w:p>
        </w:tc>
      </w:tr>
      <w:tr w:rsidR="00DB08DB" w14:paraId="7E4B272B" w14:textId="77777777" w:rsidTr="00923344">
        <w:trPr>
          <w:trHeight w:val="300"/>
        </w:trPr>
        <w:tc>
          <w:tcPr>
            <w:tcW w:w="7440" w:type="dxa"/>
          </w:tcPr>
          <w:p w14:paraId="19E7A98F" w14:textId="6047325D" w:rsidR="00DB08DB" w:rsidRPr="00DC6113" w:rsidRDefault="00DB08DB" w:rsidP="00923344">
            <w:pPr>
              <w:rPr>
                <w:rFonts w:ascii="Aptos" w:eastAsia="Aptos" w:hAnsi="Aptos" w:cs="Aptos"/>
                <w:color w:val="000000" w:themeColor="text1"/>
                <w:highlight w:val="yellow"/>
              </w:rPr>
            </w:pPr>
            <w:r>
              <w:rPr>
                <w:rFonts w:ascii="Aptos" w:eastAsia="Aptos" w:hAnsi="Aptos" w:cs="Aptos"/>
              </w:rPr>
              <w:t xml:space="preserve">Commenters overall </w:t>
            </w:r>
            <w:r w:rsidRPr="77A1819A">
              <w:rPr>
                <w:rFonts w:ascii="Aptos" w:eastAsia="Aptos" w:hAnsi="Aptos" w:cs="Aptos"/>
              </w:rPr>
              <w:t>support</w:t>
            </w:r>
            <w:r w:rsidRPr="00DC6113" w:rsidDel="0023098A">
              <w:rPr>
                <w:rFonts w:ascii="Aptos" w:eastAsia="Aptos" w:hAnsi="Aptos" w:cs="Aptos"/>
              </w:rPr>
              <w:t xml:space="preserve"> </w:t>
            </w:r>
            <w:r w:rsidRPr="00DC6113">
              <w:rPr>
                <w:rFonts w:ascii="Aptos" w:eastAsia="Aptos" w:hAnsi="Aptos" w:cs="Aptos"/>
              </w:rPr>
              <w:t>the addition of the Bilingual Endorsement as an alternative to the Sheltered English Immersion Endorsement (</w:t>
            </w:r>
            <w:r>
              <w:rPr>
                <w:rFonts w:ascii="Aptos" w:eastAsia="Aptos" w:hAnsi="Aptos" w:cs="Aptos"/>
              </w:rPr>
              <w:t>majority of individual</w:t>
            </w:r>
            <w:r w:rsidR="00D0091D">
              <w:rPr>
                <w:rFonts w:ascii="Aptos" w:eastAsia="Aptos" w:hAnsi="Aptos" w:cs="Aptos"/>
              </w:rPr>
              <w:t>s</w:t>
            </w:r>
            <w:r>
              <w:rPr>
                <w:rFonts w:ascii="Aptos" w:eastAsia="Aptos" w:hAnsi="Aptos" w:cs="Aptos"/>
              </w:rPr>
              <w:t>, Latinos for Education, MABE).</w:t>
            </w:r>
          </w:p>
        </w:tc>
        <w:tc>
          <w:tcPr>
            <w:tcW w:w="6960" w:type="dxa"/>
            <w:shd w:val="clear" w:color="auto" w:fill="F2F2F2" w:themeFill="background1" w:themeFillShade="F2"/>
          </w:tcPr>
          <w:p w14:paraId="67608E97" w14:textId="77777777" w:rsidR="00DB08DB" w:rsidRDefault="00DB08DB" w:rsidP="00923344">
            <w:pPr>
              <w:rPr>
                <w:rFonts w:ascii="Aptos" w:eastAsia="Aptos" w:hAnsi="Aptos" w:cs="Aptos"/>
              </w:rPr>
            </w:pPr>
          </w:p>
        </w:tc>
      </w:tr>
      <w:tr w:rsidR="00DB08DB" w14:paraId="2F9DC480" w14:textId="77777777" w:rsidTr="00923344">
        <w:trPr>
          <w:trHeight w:val="300"/>
        </w:trPr>
        <w:tc>
          <w:tcPr>
            <w:tcW w:w="7440" w:type="dxa"/>
          </w:tcPr>
          <w:p w14:paraId="242AA78A" w14:textId="658E5B63" w:rsidR="00DB08DB" w:rsidRDefault="00DB08DB" w:rsidP="00923344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T</w:t>
            </w:r>
            <w:r w:rsidRPr="00ED7F10">
              <w:rPr>
                <w:rFonts w:ascii="Aptos" w:eastAsia="Aptos" w:hAnsi="Aptos" w:cs="Aptos"/>
              </w:rPr>
              <w:t xml:space="preserve">hese are two very different methods of instruction. </w:t>
            </w:r>
            <w:r>
              <w:rPr>
                <w:rFonts w:ascii="Aptos" w:eastAsia="Aptos" w:hAnsi="Aptos" w:cs="Aptos"/>
              </w:rPr>
              <w:t>B</w:t>
            </w:r>
            <w:r w:rsidRPr="00ED7F10">
              <w:rPr>
                <w:rFonts w:ascii="Aptos" w:eastAsia="Aptos" w:hAnsi="Aptos" w:cs="Aptos"/>
              </w:rPr>
              <w:t xml:space="preserve">ilingual education has </w:t>
            </w:r>
            <w:proofErr w:type="gramStart"/>
            <w:r w:rsidRPr="00ED7F10">
              <w:rPr>
                <w:rFonts w:ascii="Aptos" w:eastAsia="Aptos" w:hAnsi="Aptos" w:cs="Aptos"/>
              </w:rPr>
              <w:t>advantages,</w:t>
            </w:r>
            <w:proofErr w:type="gramEnd"/>
            <w:r w:rsidRPr="00ED7F10">
              <w:rPr>
                <w:rFonts w:ascii="Aptos" w:eastAsia="Aptos" w:hAnsi="Aptos" w:cs="Aptos"/>
              </w:rPr>
              <w:t xml:space="preserve"> however, it is NOT the same thing as SEI</w:t>
            </w:r>
            <w:r>
              <w:rPr>
                <w:rFonts w:ascii="Aptos" w:eastAsia="Aptos" w:hAnsi="Aptos" w:cs="Aptos"/>
              </w:rPr>
              <w:t xml:space="preserve"> (one individual)</w:t>
            </w:r>
            <w:r w:rsidRPr="00ED7F10">
              <w:rPr>
                <w:rFonts w:ascii="Aptos" w:eastAsia="Aptos" w:hAnsi="Aptos" w:cs="Aptos"/>
              </w:rPr>
              <w:t> </w:t>
            </w:r>
          </w:p>
        </w:tc>
        <w:tc>
          <w:tcPr>
            <w:tcW w:w="6960" w:type="dxa"/>
          </w:tcPr>
          <w:p w14:paraId="136A29FC" w14:textId="77777777" w:rsidR="00DB08DB" w:rsidRPr="001530B3" w:rsidRDefault="00DB08DB" w:rsidP="00923344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No change.  </w:t>
            </w:r>
            <w:r w:rsidRPr="001530B3">
              <w:rPr>
                <w:rFonts w:ascii="Aptos" w:eastAsia="Aptos" w:hAnsi="Aptos" w:cs="Aptos"/>
              </w:rPr>
              <w:t>Teachers would still be required to hold the endorsement that corresponds with the setting in which they teach</w:t>
            </w:r>
            <w:r>
              <w:rPr>
                <w:rFonts w:ascii="Aptos" w:eastAsia="Aptos" w:hAnsi="Aptos" w:cs="Aptos"/>
              </w:rPr>
              <w:t xml:space="preserve">, </w:t>
            </w:r>
            <w:r w:rsidRPr="001530B3">
              <w:rPr>
                <w:rFonts w:ascii="Aptos" w:eastAsia="Aptos" w:hAnsi="Aptos" w:cs="Aptos"/>
              </w:rPr>
              <w:t>i.e., if a teacher is teaching in a bilingual program in a partner language, then they would be required to hold the B</w:t>
            </w:r>
            <w:r>
              <w:rPr>
                <w:rFonts w:ascii="Aptos" w:eastAsia="Aptos" w:hAnsi="Aptos" w:cs="Aptos"/>
              </w:rPr>
              <w:t xml:space="preserve">ilingual </w:t>
            </w:r>
            <w:r w:rsidRPr="001530B3">
              <w:rPr>
                <w:rFonts w:ascii="Aptos" w:eastAsia="Aptos" w:hAnsi="Aptos" w:cs="Aptos"/>
              </w:rPr>
              <w:t>E</w:t>
            </w:r>
            <w:r>
              <w:rPr>
                <w:rFonts w:ascii="Aptos" w:eastAsia="Aptos" w:hAnsi="Aptos" w:cs="Aptos"/>
              </w:rPr>
              <w:t xml:space="preserve">ducation </w:t>
            </w:r>
            <w:r w:rsidRPr="001530B3">
              <w:rPr>
                <w:rFonts w:ascii="Aptos" w:eastAsia="Aptos" w:hAnsi="Aptos" w:cs="Aptos"/>
              </w:rPr>
              <w:t>E</w:t>
            </w:r>
            <w:r>
              <w:rPr>
                <w:rFonts w:ascii="Aptos" w:eastAsia="Aptos" w:hAnsi="Aptos" w:cs="Aptos"/>
              </w:rPr>
              <w:t>ndorsement (BEE)</w:t>
            </w:r>
            <w:r w:rsidRPr="001530B3">
              <w:rPr>
                <w:rFonts w:ascii="Aptos" w:eastAsia="Aptos" w:hAnsi="Aptos" w:cs="Aptos"/>
              </w:rPr>
              <w:t>; if a teacher is teaching in English in an SEI setting, then they would be required to hold the SEI endorsement</w:t>
            </w:r>
            <w:r w:rsidRPr="77A1819A">
              <w:rPr>
                <w:rFonts w:ascii="Aptos" w:eastAsia="Aptos" w:hAnsi="Aptos" w:cs="Aptos"/>
              </w:rPr>
              <w:t>.</w:t>
            </w:r>
            <w:r w:rsidRPr="001530B3">
              <w:rPr>
                <w:rFonts w:ascii="Aptos" w:eastAsia="Aptos" w:hAnsi="Aptos" w:cs="Aptos"/>
              </w:rPr>
              <w:t xml:space="preserve"> The proposed </w:t>
            </w:r>
            <w:r>
              <w:rPr>
                <w:rFonts w:ascii="Aptos" w:eastAsia="Aptos" w:hAnsi="Aptos" w:cs="Aptos"/>
              </w:rPr>
              <w:t xml:space="preserve">regulation simply </w:t>
            </w:r>
            <w:r w:rsidRPr="001530B3">
              <w:rPr>
                <w:rFonts w:ascii="Aptos" w:eastAsia="Aptos" w:hAnsi="Aptos" w:cs="Aptos"/>
              </w:rPr>
              <w:t xml:space="preserve">means that a teacher in a bilingual setting would not be required to hold </w:t>
            </w:r>
            <w:r w:rsidRPr="001530B3">
              <w:rPr>
                <w:rFonts w:ascii="Aptos" w:eastAsia="Aptos" w:hAnsi="Aptos" w:cs="Aptos"/>
                <w:i/>
                <w:iCs/>
              </w:rPr>
              <w:t>both</w:t>
            </w:r>
            <w:r w:rsidRPr="001530B3">
              <w:rPr>
                <w:rFonts w:ascii="Aptos" w:eastAsia="Aptos" w:hAnsi="Aptos" w:cs="Aptos"/>
              </w:rPr>
              <w:t xml:space="preserve"> the SEI and BEE</w:t>
            </w:r>
            <w:r>
              <w:rPr>
                <w:rFonts w:ascii="Aptos" w:eastAsia="Aptos" w:hAnsi="Aptos" w:cs="Aptos"/>
              </w:rPr>
              <w:t xml:space="preserve"> endorsements</w:t>
            </w:r>
            <w:r w:rsidRPr="001530B3">
              <w:rPr>
                <w:rFonts w:ascii="Aptos" w:eastAsia="Aptos" w:hAnsi="Aptos" w:cs="Aptos"/>
              </w:rPr>
              <w:t>. </w:t>
            </w:r>
          </w:p>
          <w:p w14:paraId="6AD95BA5" w14:textId="77777777" w:rsidR="00DB08DB" w:rsidRDefault="00DB08DB" w:rsidP="00923344">
            <w:pPr>
              <w:rPr>
                <w:rFonts w:ascii="Aptos" w:eastAsia="Aptos" w:hAnsi="Aptos" w:cs="Aptos"/>
              </w:rPr>
            </w:pPr>
          </w:p>
        </w:tc>
      </w:tr>
      <w:tr w:rsidR="00DB08DB" w14:paraId="4CC80693" w14:textId="77777777" w:rsidTr="00923344">
        <w:trPr>
          <w:trHeight w:val="300"/>
        </w:trPr>
        <w:tc>
          <w:tcPr>
            <w:tcW w:w="14400" w:type="dxa"/>
            <w:gridSpan w:val="2"/>
            <w:shd w:val="clear" w:color="auto" w:fill="FBE4D5" w:themeFill="accent2" w:themeFillTint="33"/>
          </w:tcPr>
          <w:p w14:paraId="52882A35" w14:textId="77777777" w:rsidR="00DB08DB" w:rsidRDefault="00DB08DB" w:rsidP="00923344">
            <w:pPr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 xml:space="preserve">7.15 Specify that </w:t>
            </w:r>
            <w:r w:rsidRPr="00693D7C">
              <w:rPr>
                <w:rFonts w:ascii="Aptos" w:eastAsia="Aptos" w:hAnsi="Aptos" w:cs="Aptos"/>
                <w:b/>
                <w:bCs/>
              </w:rPr>
              <w:t xml:space="preserve">Emergency licenses may not be extended beyond June 30, </w:t>
            </w:r>
            <w:proofErr w:type="gramStart"/>
            <w:r w:rsidRPr="00693D7C">
              <w:rPr>
                <w:rFonts w:ascii="Aptos" w:eastAsia="Aptos" w:hAnsi="Aptos" w:cs="Aptos"/>
                <w:b/>
                <w:bCs/>
              </w:rPr>
              <w:t>2027</w:t>
            </w:r>
            <w:proofErr w:type="gramEnd"/>
            <w:r w:rsidRPr="00693D7C">
              <w:rPr>
                <w:rFonts w:ascii="Aptos" w:eastAsia="Aptos" w:hAnsi="Aptos" w:cs="Aptos"/>
                <w:b/>
                <w:bCs/>
              </w:rPr>
              <w:t xml:space="preserve"> </w:t>
            </w:r>
          </w:p>
        </w:tc>
      </w:tr>
      <w:tr w:rsidR="00DB08DB" w14:paraId="6C28FB6D" w14:textId="77777777" w:rsidTr="00923344">
        <w:trPr>
          <w:trHeight w:val="300"/>
        </w:trPr>
        <w:tc>
          <w:tcPr>
            <w:tcW w:w="7440" w:type="dxa"/>
            <w:shd w:val="clear" w:color="auto" w:fill="FFFFFF" w:themeFill="background1"/>
          </w:tcPr>
          <w:p w14:paraId="30B10EA5" w14:textId="35DB4E32" w:rsidR="00DB08DB" w:rsidRPr="00A759AE" w:rsidRDefault="00DB08DB" w:rsidP="00923344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Commenters overall agree that </w:t>
            </w:r>
            <w:r w:rsidRPr="77A1819A">
              <w:rPr>
                <w:rFonts w:ascii="Aptos" w:eastAsia="Aptos" w:hAnsi="Aptos" w:cs="Aptos"/>
              </w:rPr>
              <w:t>the</w:t>
            </w:r>
            <w:r>
              <w:rPr>
                <w:rFonts w:ascii="Aptos" w:eastAsia="Aptos" w:hAnsi="Aptos" w:cs="Aptos"/>
              </w:rPr>
              <w:t xml:space="preserve"> emergency license provided the necessary temporary support during the pandemic and </w:t>
            </w:r>
            <w:proofErr w:type="gramStart"/>
            <w:r>
              <w:rPr>
                <w:rFonts w:ascii="Aptos" w:eastAsia="Aptos" w:hAnsi="Aptos" w:cs="Aptos"/>
              </w:rPr>
              <w:t>do</w:t>
            </w:r>
            <w:proofErr w:type="gramEnd"/>
            <w:r>
              <w:rPr>
                <w:rFonts w:ascii="Aptos" w:eastAsia="Aptos" w:hAnsi="Aptos" w:cs="Aptos"/>
              </w:rPr>
              <w:t xml:space="preserve"> not need to continue (many individual</w:t>
            </w:r>
            <w:r w:rsidR="00D0091D">
              <w:rPr>
                <w:rFonts w:ascii="Aptos" w:eastAsia="Aptos" w:hAnsi="Aptos" w:cs="Aptos"/>
              </w:rPr>
              <w:t>s</w:t>
            </w:r>
            <w:r>
              <w:rPr>
                <w:rFonts w:ascii="Aptos" w:eastAsia="Aptos" w:hAnsi="Aptos" w:cs="Aptos"/>
              </w:rPr>
              <w:t>).</w:t>
            </w:r>
          </w:p>
        </w:tc>
        <w:tc>
          <w:tcPr>
            <w:tcW w:w="6960" w:type="dxa"/>
            <w:shd w:val="clear" w:color="auto" w:fill="F2F2F2" w:themeFill="background1" w:themeFillShade="F2"/>
          </w:tcPr>
          <w:p w14:paraId="138B903C" w14:textId="77777777" w:rsidR="00DB08DB" w:rsidRDefault="00DB08DB" w:rsidP="00923344">
            <w:pPr>
              <w:rPr>
                <w:rFonts w:ascii="Aptos" w:eastAsia="Aptos" w:hAnsi="Aptos" w:cs="Aptos"/>
                <w:b/>
                <w:bCs/>
              </w:rPr>
            </w:pPr>
          </w:p>
        </w:tc>
      </w:tr>
      <w:tr w:rsidR="00DB08DB" w14:paraId="4412C3EF" w14:textId="77777777" w:rsidTr="00923344">
        <w:trPr>
          <w:trHeight w:val="300"/>
        </w:trPr>
        <w:tc>
          <w:tcPr>
            <w:tcW w:w="7440" w:type="dxa"/>
            <w:shd w:val="clear" w:color="auto" w:fill="FFFFFF" w:themeFill="background1"/>
          </w:tcPr>
          <w:p w14:paraId="7B427630" w14:textId="5A66CC9C" w:rsidR="00DB08DB" w:rsidRPr="002D268B" w:rsidRDefault="00DB08DB" w:rsidP="00923344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Emergency licenses should continue to be extended to give people time to meet the licensure requirements (some individual)</w:t>
            </w:r>
          </w:p>
        </w:tc>
        <w:tc>
          <w:tcPr>
            <w:tcW w:w="6960" w:type="dxa"/>
            <w:shd w:val="clear" w:color="auto" w:fill="FFFFFF" w:themeFill="background1"/>
          </w:tcPr>
          <w:p w14:paraId="3FBCF75D" w14:textId="77777777" w:rsidR="00DB08DB" w:rsidRDefault="00DB08DB" w:rsidP="00923344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No change.  T</w:t>
            </w:r>
            <w:r w:rsidRPr="005E4CD7">
              <w:rPr>
                <w:rFonts w:ascii="Aptos" w:eastAsia="Aptos" w:hAnsi="Aptos" w:cs="Aptos"/>
              </w:rPr>
              <w:t xml:space="preserve">he last new emergency license was issued on November 7, 2023.  </w:t>
            </w:r>
            <w:r>
              <w:rPr>
                <w:rFonts w:ascii="Aptos" w:eastAsia="Aptos" w:hAnsi="Aptos" w:cs="Aptos"/>
              </w:rPr>
              <w:t>Emergency</w:t>
            </w:r>
            <w:r w:rsidRPr="005E4CD7">
              <w:rPr>
                <w:rFonts w:ascii="Aptos" w:eastAsia="Aptos" w:hAnsi="Aptos" w:cs="Aptos"/>
              </w:rPr>
              <w:t xml:space="preserve"> licenses are eligible for two one-year extensions; </w:t>
            </w:r>
            <w:r w:rsidRPr="005E4CD7">
              <w:rPr>
                <w:rFonts w:ascii="Aptos" w:eastAsia="Aptos" w:hAnsi="Aptos" w:cs="Aptos"/>
              </w:rPr>
              <w:lastRenderedPageBreak/>
              <w:t>therefore, it is not necessary to allow extensions beyond June 30, 2027. </w:t>
            </w:r>
            <w:r w:rsidRPr="007E1BF0">
              <w:rPr>
                <w:rFonts w:ascii="Aptos" w:eastAsia="Aptos" w:hAnsi="Aptos" w:cs="Aptos"/>
              </w:rPr>
              <w:t xml:space="preserve">The previously issued emergency licenses </w:t>
            </w:r>
            <w:r>
              <w:rPr>
                <w:rFonts w:ascii="Aptos" w:eastAsia="Aptos" w:hAnsi="Aptos" w:cs="Aptos"/>
              </w:rPr>
              <w:t>that</w:t>
            </w:r>
            <w:r w:rsidRPr="007E1BF0">
              <w:rPr>
                <w:rFonts w:ascii="Aptos" w:eastAsia="Aptos" w:hAnsi="Aptos" w:cs="Aptos"/>
              </w:rPr>
              <w:t xml:space="preserve"> began in June 2020 and were available through December 2021 cannot be extended beyond June 30, 2025. </w:t>
            </w:r>
          </w:p>
          <w:p w14:paraId="4F6A823A" w14:textId="77777777" w:rsidR="00DB08DB" w:rsidRPr="00996528" w:rsidRDefault="00DB08DB" w:rsidP="00923344">
            <w:pPr>
              <w:rPr>
                <w:rFonts w:ascii="Aptos" w:eastAsia="Aptos" w:hAnsi="Aptos" w:cs="Aptos"/>
              </w:rPr>
            </w:pPr>
          </w:p>
        </w:tc>
      </w:tr>
      <w:tr w:rsidR="00DB08DB" w14:paraId="0134CC3E" w14:textId="77777777" w:rsidTr="00923344">
        <w:trPr>
          <w:trHeight w:val="300"/>
        </w:trPr>
        <w:tc>
          <w:tcPr>
            <w:tcW w:w="14400" w:type="dxa"/>
            <w:gridSpan w:val="2"/>
            <w:shd w:val="clear" w:color="auto" w:fill="FBE4D5" w:themeFill="accent2" w:themeFillTint="33"/>
          </w:tcPr>
          <w:p w14:paraId="1EF39200" w14:textId="77777777" w:rsidR="00DB08DB" w:rsidRDefault="00DB08DB" w:rsidP="00923344">
            <w:pPr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lastRenderedPageBreak/>
              <w:t xml:space="preserve">7.02 &amp; 7.15 </w:t>
            </w:r>
            <w:r w:rsidRPr="00284E1D">
              <w:rPr>
                <w:rFonts w:ascii="Aptos" w:eastAsia="Aptos" w:hAnsi="Aptos" w:cs="Aptos"/>
                <w:b/>
                <w:bCs/>
              </w:rPr>
              <w:t>Remove outdated language relating to licensure flexibilities that were available during the COVID-19 pandemic (603 CMR 7.02, 7.15), transition periods from past licensure changes that are no longer relevant (603 CMR 7.15), and a Performance Assessment Program that is no longer relevant (603 CMR 7.02)</w:t>
            </w:r>
          </w:p>
        </w:tc>
      </w:tr>
      <w:tr w:rsidR="00DB08DB" w14:paraId="7D840263" w14:textId="77777777" w:rsidTr="00923344">
        <w:trPr>
          <w:trHeight w:val="300"/>
        </w:trPr>
        <w:tc>
          <w:tcPr>
            <w:tcW w:w="7440" w:type="dxa"/>
          </w:tcPr>
          <w:p w14:paraId="618C0983" w14:textId="3A310593" w:rsidR="00DB08DB" w:rsidRDefault="00DB08DB" w:rsidP="00923344">
            <w:pPr>
              <w:rPr>
                <w:rFonts w:ascii="Aptos" w:eastAsia="Aptos" w:hAnsi="Aptos" w:cs="Aptos"/>
                <w:color w:val="000000" w:themeColor="text1"/>
              </w:rPr>
            </w:pPr>
            <w:r w:rsidRPr="77A1819A">
              <w:rPr>
                <w:rFonts w:ascii="Aptos" w:eastAsia="Aptos" w:hAnsi="Aptos" w:cs="Aptos"/>
              </w:rPr>
              <w:t>Commenters overall support</w:t>
            </w:r>
            <w:r>
              <w:rPr>
                <w:rFonts w:ascii="Aptos" w:eastAsia="Aptos" w:hAnsi="Aptos" w:cs="Aptos"/>
                <w:color w:val="000000" w:themeColor="text1"/>
              </w:rPr>
              <w:t xml:space="preserve"> the changes (majority of individual</w:t>
            </w:r>
            <w:r w:rsidR="00D0091D">
              <w:rPr>
                <w:rFonts w:ascii="Aptos" w:eastAsia="Aptos" w:hAnsi="Aptos" w:cs="Aptos"/>
                <w:color w:val="000000" w:themeColor="text1"/>
              </w:rPr>
              <w:t>s</w:t>
            </w:r>
            <w:r>
              <w:rPr>
                <w:rFonts w:ascii="Aptos" w:eastAsia="Aptos" w:hAnsi="Aptos" w:cs="Aptos"/>
                <w:color w:val="000000" w:themeColor="text1"/>
              </w:rPr>
              <w:t>).</w:t>
            </w:r>
          </w:p>
        </w:tc>
        <w:tc>
          <w:tcPr>
            <w:tcW w:w="6960" w:type="dxa"/>
          </w:tcPr>
          <w:p w14:paraId="5455E020" w14:textId="77777777" w:rsidR="00DB08DB" w:rsidRDefault="00DB08DB" w:rsidP="00923344">
            <w:pPr>
              <w:rPr>
                <w:rFonts w:ascii="Aptos" w:eastAsia="Aptos" w:hAnsi="Aptos" w:cs="Aptos"/>
              </w:rPr>
            </w:pPr>
          </w:p>
        </w:tc>
      </w:tr>
      <w:tr w:rsidR="00DB08DB" w14:paraId="7BE5567A" w14:textId="77777777" w:rsidTr="00923344">
        <w:trPr>
          <w:trHeight w:val="300"/>
        </w:trPr>
        <w:tc>
          <w:tcPr>
            <w:tcW w:w="7440" w:type="dxa"/>
          </w:tcPr>
          <w:p w14:paraId="4C5C9D34" w14:textId="2039046D" w:rsidR="00DB08DB" w:rsidRDefault="00DB08DB" w:rsidP="00923344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The COVID-19 flexibilities are still needed to address continued emergency license and staffing challenges (some </w:t>
            </w:r>
            <w:r w:rsidR="0036501C">
              <w:rPr>
                <w:rFonts w:ascii="Aptos" w:eastAsia="Aptos" w:hAnsi="Aptos" w:cs="Aptos"/>
              </w:rPr>
              <w:t>individual</w:t>
            </w:r>
            <w:r w:rsidR="00D0091D">
              <w:rPr>
                <w:rFonts w:ascii="Aptos" w:eastAsia="Aptos" w:hAnsi="Aptos" w:cs="Aptos"/>
              </w:rPr>
              <w:t>s</w:t>
            </w:r>
            <w:r>
              <w:rPr>
                <w:rFonts w:ascii="Aptos" w:eastAsia="Aptos" w:hAnsi="Aptos" w:cs="Aptos"/>
              </w:rPr>
              <w:t>)</w:t>
            </w:r>
          </w:p>
        </w:tc>
        <w:tc>
          <w:tcPr>
            <w:tcW w:w="6960" w:type="dxa"/>
          </w:tcPr>
          <w:p w14:paraId="1807BCDE" w14:textId="77777777" w:rsidR="00DB08DB" w:rsidRPr="00396ED0" w:rsidRDefault="00DB08DB" w:rsidP="00923344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No change. Other </w:t>
            </w:r>
            <w:proofErr w:type="gramStart"/>
            <w:r>
              <w:rPr>
                <w:rFonts w:ascii="Aptos" w:eastAsia="Aptos" w:hAnsi="Aptos" w:cs="Aptos"/>
              </w:rPr>
              <w:t>flexibilities</w:t>
            </w:r>
            <w:proofErr w:type="gramEnd"/>
            <w:r>
              <w:rPr>
                <w:rFonts w:ascii="Aptos" w:eastAsia="Aptos" w:hAnsi="Aptos" w:cs="Aptos"/>
              </w:rPr>
              <w:t xml:space="preserve"> (for example, alternative assessments) are available to provide pathways to educator licensure. </w:t>
            </w:r>
          </w:p>
        </w:tc>
      </w:tr>
      <w:tr w:rsidR="00DB08DB" w14:paraId="5D660149" w14:textId="77777777" w:rsidTr="00923344">
        <w:trPr>
          <w:trHeight w:val="300"/>
        </w:trPr>
        <w:tc>
          <w:tcPr>
            <w:tcW w:w="14400" w:type="dxa"/>
            <w:gridSpan w:val="2"/>
            <w:shd w:val="clear" w:color="auto" w:fill="F7CAAC" w:themeFill="accent2" w:themeFillTint="66"/>
          </w:tcPr>
          <w:p w14:paraId="2833919D" w14:textId="77777777" w:rsidR="00DB08DB" w:rsidRDefault="00DB08DB" w:rsidP="00923344">
            <w:pPr>
              <w:rPr>
                <w:rFonts w:ascii="Aptos" w:eastAsia="Aptos" w:hAnsi="Aptos" w:cs="Aptos"/>
              </w:rPr>
            </w:pPr>
            <w:r w:rsidRPr="00B923A9">
              <w:rPr>
                <w:rFonts w:ascii="Aptos" w:eastAsia="Aptos" w:hAnsi="Aptos" w:cs="Aptos"/>
                <w:b/>
                <w:bCs/>
              </w:rPr>
              <w:t>Overall</w:t>
            </w:r>
          </w:p>
        </w:tc>
      </w:tr>
      <w:tr w:rsidR="00DB08DB" w14:paraId="298DDEE9" w14:textId="77777777" w:rsidTr="00923344">
        <w:trPr>
          <w:trHeight w:val="300"/>
        </w:trPr>
        <w:tc>
          <w:tcPr>
            <w:tcW w:w="7440" w:type="dxa"/>
          </w:tcPr>
          <w:p w14:paraId="2D4C31C6" w14:textId="15B9F521" w:rsidR="00DB08DB" w:rsidRDefault="00DB08DB" w:rsidP="00923344">
            <w:pPr>
              <w:rPr>
                <w:rFonts w:ascii="Aptos" w:eastAsia="Aptos" w:hAnsi="Aptos" w:cs="Aptos"/>
              </w:rPr>
            </w:pPr>
            <w:r w:rsidRPr="77A1819A">
              <w:rPr>
                <w:rFonts w:ascii="Aptos" w:eastAsia="Aptos" w:hAnsi="Aptos" w:cs="Aptos"/>
              </w:rPr>
              <w:t>Commenters overall</w:t>
            </w:r>
            <w:r>
              <w:rPr>
                <w:rFonts w:ascii="Aptos" w:eastAsia="Aptos" w:hAnsi="Aptos" w:cs="Aptos"/>
              </w:rPr>
              <w:t xml:space="preserve"> support the changes (majority of individual</w:t>
            </w:r>
            <w:r w:rsidR="00D0091D">
              <w:rPr>
                <w:rFonts w:ascii="Aptos" w:eastAsia="Aptos" w:hAnsi="Aptos" w:cs="Aptos"/>
              </w:rPr>
              <w:t>s</w:t>
            </w:r>
            <w:r>
              <w:rPr>
                <w:rFonts w:ascii="Aptos" w:eastAsia="Aptos" w:hAnsi="Aptos" w:cs="Aptos"/>
              </w:rPr>
              <w:t>).</w:t>
            </w:r>
          </w:p>
        </w:tc>
        <w:tc>
          <w:tcPr>
            <w:tcW w:w="6960" w:type="dxa"/>
            <w:shd w:val="clear" w:color="auto" w:fill="F2F2F2" w:themeFill="background1" w:themeFillShade="F2"/>
          </w:tcPr>
          <w:p w14:paraId="5F1E541E" w14:textId="77777777" w:rsidR="00DB08DB" w:rsidRDefault="00DB08DB" w:rsidP="00923344">
            <w:pPr>
              <w:rPr>
                <w:rFonts w:ascii="Aptos" w:eastAsia="Aptos" w:hAnsi="Aptos" w:cs="Aptos"/>
              </w:rPr>
            </w:pPr>
          </w:p>
        </w:tc>
      </w:tr>
      <w:tr w:rsidR="00DB08DB" w14:paraId="25D2492C" w14:textId="77777777" w:rsidTr="00923344">
        <w:trPr>
          <w:trHeight w:val="300"/>
        </w:trPr>
        <w:tc>
          <w:tcPr>
            <w:tcW w:w="7440" w:type="dxa"/>
          </w:tcPr>
          <w:p w14:paraId="42AD6C95" w14:textId="482218E9" w:rsidR="00DB08DB" w:rsidRDefault="00DB08DB" w:rsidP="00923344">
            <w:pPr>
              <w:rPr>
                <w:rFonts w:ascii="Aptos" w:eastAsia="Aptos" w:hAnsi="Aptos" w:cs="Aptos"/>
              </w:rPr>
            </w:pPr>
            <w:r w:rsidRPr="77A1819A">
              <w:rPr>
                <w:rFonts w:ascii="Aptos" w:eastAsia="Aptos" w:hAnsi="Aptos" w:cs="Aptos"/>
              </w:rPr>
              <w:t>Commenters support</w:t>
            </w:r>
            <w:r>
              <w:rPr>
                <w:rFonts w:ascii="Aptos" w:eastAsia="Aptos" w:hAnsi="Aptos" w:cs="Aptos"/>
              </w:rPr>
              <w:t xml:space="preserve"> some of the changes (some individual</w:t>
            </w:r>
            <w:r w:rsidR="00D0091D">
              <w:rPr>
                <w:rFonts w:ascii="Aptos" w:eastAsia="Aptos" w:hAnsi="Aptos" w:cs="Aptos"/>
              </w:rPr>
              <w:t>s</w:t>
            </w:r>
            <w:r>
              <w:rPr>
                <w:rFonts w:ascii="Aptos" w:eastAsia="Aptos" w:hAnsi="Aptos" w:cs="Aptos"/>
              </w:rPr>
              <w:t>).</w:t>
            </w:r>
          </w:p>
        </w:tc>
        <w:tc>
          <w:tcPr>
            <w:tcW w:w="6960" w:type="dxa"/>
            <w:shd w:val="clear" w:color="auto" w:fill="F2F2F2" w:themeFill="background1" w:themeFillShade="F2"/>
          </w:tcPr>
          <w:p w14:paraId="122B651A" w14:textId="77777777" w:rsidR="00DB08DB" w:rsidRDefault="00DB08DB" w:rsidP="00923344">
            <w:pPr>
              <w:rPr>
                <w:rFonts w:ascii="Aptos" w:eastAsia="Aptos" w:hAnsi="Aptos" w:cs="Aptos"/>
              </w:rPr>
            </w:pPr>
          </w:p>
        </w:tc>
      </w:tr>
    </w:tbl>
    <w:p w14:paraId="2DF832AE" w14:textId="39FBE868" w:rsidR="00DB08DB" w:rsidRPr="00D86DA9" w:rsidRDefault="00DB08DB" w:rsidP="00DB08DB">
      <w:pPr>
        <w:sectPr w:rsidR="00DB08DB" w:rsidRPr="00D86DA9" w:rsidSect="00DB08DB">
          <w:footerReference w:type="default" r:id="rId10"/>
          <w:footerReference w:type="first" r:id="rId11"/>
          <w:pgSz w:w="15840" w:h="12240" w:orient="landscape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4800" w:type="dxa"/>
        <w:tblBorders>
          <w:top w:val="none" w:sz="8" w:space="0" w:color="000000" w:themeColor="text1"/>
          <w:left w:val="none" w:sz="8" w:space="0" w:color="000000" w:themeColor="text1"/>
          <w:bottom w:val="none" w:sz="8" w:space="0" w:color="000000" w:themeColor="text1"/>
          <w:right w:val="none" w:sz="8" w:space="0" w:color="000000" w:themeColor="text1"/>
          <w:insideH w:val="none" w:sz="8" w:space="0" w:color="000000" w:themeColor="text1"/>
          <w:insideV w:val="none" w:sz="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800"/>
      </w:tblGrid>
      <w:tr w:rsidR="00DB08DB" w14:paraId="2FCECB95" w14:textId="77777777" w:rsidTr="00923344">
        <w:trPr>
          <w:trHeight w:val="300"/>
        </w:trPr>
        <w:tc>
          <w:tcPr>
            <w:tcW w:w="4800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14:paraId="007551C6" w14:textId="5CD28385" w:rsidR="00DB08DB" w:rsidRPr="00E44F5A" w:rsidRDefault="00DB08DB" w:rsidP="00D86DA9">
            <w:pPr>
              <w:spacing w:line="240" w:lineRule="auto"/>
            </w:pPr>
          </w:p>
        </w:tc>
      </w:tr>
    </w:tbl>
    <w:p w14:paraId="2B64E4E1" w14:textId="77777777" w:rsidR="00DB08DB" w:rsidRDefault="00DB08DB" w:rsidP="00DB08DB">
      <w:pPr>
        <w:rPr>
          <w:rFonts w:ascii="Aptos" w:eastAsia="Aptos" w:hAnsi="Aptos" w:cs="Aptos"/>
        </w:rPr>
        <w:sectPr w:rsidR="00DB08DB" w:rsidSect="00DB08DB">
          <w:type w:val="continuous"/>
          <w:pgSz w:w="15840" w:h="12240" w:orient="landscape"/>
          <w:pgMar w:top="720" w:right="720" w:bottom="720" w:left="720" w:header="720" w:footer="720" w:gutter="0"/>
          <w:cols w:num="3" w:space="720"/>
          <w:titlePg/>
          <w:docGrid w:linePitch="360"/>
        </w:sectPr>
      </w:pPr>
    </w:p>
    <w:tbl>
      <w:tblPr>
        <w:tblStyle w:val="TableGrid"/>
        <w:tblW w:w="4800" w:type="dxa"/>
        <w:tblBorders>
          <w:top w:val="none" w:sz="8" w:space="0" w:color="000000" w:themeColor="text1"/>
          <w:left w:val="none" w:sz="8" w:space="0" w:color="000000" w:themeColor="text1"/>
          <w:bottom w:val="none" w:sz="8" w:space="0" w:color="000000" w:themeColor="text1"/>
          <w:right w:val="none" w:sz="8" w:space="0" w:color="000000" w:themeColor="text1"/>
          <w:insideH w:val="none" w:sz="8" w:space="0" w:color="000000" w:themeColor="text1"/>
          <w:insideV w:val="none" w:sz="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800"/>
      </w:tblGrid>
      <w:tr w:rsidR="00DB08DB" w14:paraId="0C12438E" w14:textId="77777777" w:rsidTr="00923344">
        <w:trPr>
          <w:trHeight w:val="300"/>
        </w:trPr>
        <w:tc>
          <w:tcPr>
            <w:tcW w:w="4800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14:paraId="58AD513C" w14:textId="77777777" w:rsidR="00DB08DB" w:rsidRDefault="00DB08DB" w:rsidP="00923344">
            <w:pPr>
              <w:rPr>
                <w:rFonts w:ascii="Aptos" w:eastAsia="Aptos" w:hAnsi="Aptos" w:cs="Aptos"/>
              </w:rPr>
            </w:pPr>
          </w:p>
        </w:tc>
      </w:tr>
    </w:tbl>
    <w:p w14:paraId="33B644CD" w14:textId="64E50605" w:rsidR="00DB08DB" w:rsidRPr="00025E99" w:rsidRDefault="00DB08DB" w:rsidP="00DB08DB">
      <w:pPr>
        <w:rPr>
          <w:rFonts w:ascii="Aptos" w:eastAsia="Aptos" w:hAnsi="Aptos" w:cs="Aptos"/>
          <w:b/>
          <w:bCs/>
          <w:sz w:val="24"/>
          <w:szCs w:val="24"/>
        </w:rPr>
      </w:pPr>
    </w:p>
    <w:tbl>
      <w:tblPr>
        <w:tblStyle w:val="TableGrid"/>
        <w:tblW w:w="14370" w:type="dxa"/>
        <w:tblBorders>
          <w:top w:val="none" w:sz="8" w:space="0" w:color="000000" w:themeColor="text1"/>
          <w:left w:val="none" w:sz="8" w:space="0" w:color="000000" w:themeColor="text1"/>
          <w:bottom w:val="none" w:sz="8" w:space="0" w:color="000000" w:themeColor="text1"/>
          <w:right w:val="none" w:sz="8" w:space="0" w:color="000000" w:themeColor="text1"/>
          <w:insideH w:val="none" w:sz="8" w:space="0" w:color="000000" w:themeColor="text1"/>
          <w:insideV w:val="none" w:sz="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6915"/>
        <w:gridCol w:w="2655"/>
        <w:gridCol w:w="4800"/>
      </w:tblGrid>
      <w:tr w:rsidR="00DB08DB" w14:paraId="099F081F" w14:textId="77777777" w:rsidTr="00923344">
        <w:trPr>
          <w:trHeight w:val="300"/>
        </w:trPr>
        <w:tc>
          <w:tcPr>
            <w:tcW w:w="6915" w:type="dxa"/>
            <w:tcBorders>
              <w:right w:val="none" w:sz="8" w:space="0" w:color="000000" w:themeColor="text1"/>
            </w:tcBorders>
          </w:tcPr>
          <w:p w14:paraId="314F9950" w14:textId="77777777" w:rsidR="00DB08DB" w:rsidRDefault="00DB08DB" w:rsidP="00923344">
            <w:pPr>
              <w:pStyle w:val="ListParagraph"/>
              <w:rPr>
                <w:rFonts w:ascii="Aptos" w:eastAsia="Aptos" w:hAnsi="Aptos" w:cs="Aptos"/>
              </w:rPr>
            </w:pPr>
          </w:p>
        </w:tc>
        <w:tc>
          <w:tcPr>
            <w:tcW w:w="2655" w:type="dxa"/>
            <w:tcBorders>
              <w:left w:val="none" w:sz="8" w:space="0" w:color="000000" w:themeColor="text1"/>
              <w:right w:val="none" w:sz="8" w:space="0" w:color="000000" w:themeColor="text1"/>
            </w:tcBorders>
          </w:tcPr>
          <w:p w14:paraId="55B96681" w14:textId="77777777" w:rsidR="00DB08DB" w:rsidRDefault="00DB08DB" w:rsidP="00923344">
            <w:pPr>
              <w:pStyle w:val="ListParagraph"/>
              <w:rPr>
                <w:rFonts w:ascii="Aptos" w:eastAsia="Aptos" w:hAnsi="Aptos" w:cs="Aptos"/>
                <w:i/>
                <w:iCs/>
              </w:rPr>
            </w:pPr>
          </w:p>
        </w:tc>
        <w:tc>
          <w:tcPr>
            <w:tcW w:w="4800" w:type="dxa"/>
            <w:tcBorders>
              <w:left w:val="none" w:sz="8" w:space="0" w:color="000000" w:themeColor="text1"/>
            </w:tcBorders>
          </w:tcPr>
          <w:p w14:paraId="449E57E7" w14:textId="77777777" w:rsidR="00DB08DB" w:rsidRDefault="00DB08DB" w:rsidP="00923344">
            <w:pPr>
              <w:rPr>
                <w:rFonts w:ascii="Aptos" w:eastAsia="Aptos" w:hAnsi="Aptos" w:cs="Aptos"/>
                <w:i/>
                <w:iCs/>
              </w:rPr>
            </w:pPr>
          </w:p>
        </w:tc>
      </w:tr>
    </w:tbl>
    <w:p w14:paraId="74E3B4F4" w14:textId="2AF9541D" w:rsidR="00833FEC" w:rsidRDefault="00833FEC"/>
    <w:sectPr w:rsidR="00833FEC" w:rsidSect="00DB08DB">
      <w:type w:val="continuous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D99AD" w14:textId="77777777" w:rsidR="005A0B9D" w:rsidRDefault="005A0B9D" w:rsidP="00F40C63">
      <w:pPr>
        <w:spacing w:after="0" w:line="240" w:lineRule="auto"/>
      </w:pPr>
      <w:r>
        <w:separator/>
      </w:r>
    </w:p>
  </w:endnote>
  <w:endnote w:type="continuationSeparator" w:id="0">
    <w:p w14:paraId="24D9575F" w14:textId="77777777" w:rsidR="005A0B9D" w:rsidRDefault="005A0B9D" w:rsidP="00F40C63">
      <w:pPr>
        <w:spacing w:after="0" w:line="240" w:lineRule="auto"/>
      </w:pPr>
      <w:r>
        <w:continuationSeparator/>
      </w:r>
    </w:p>
  </w:endnote>
  <w:endnote w:type="continuationNotice" w:id="1">
    <w:p w14:paraId="457A625A" w14:textId="77777777" w:rsidR="005A0B9D" w:rsidRDefault="005A0B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2468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6B229" w14:textId="77777777" w:rsidR="00D3775F" w:rsidRDefault="00D377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551D995F" w14:textId="77777777" w:rsidR="00D3775F" w:rsidRDefault="00D3775F" w:rsidP="00566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14235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3223D8A" w14:textId="77777777" w:rsidR="00D3775F" w:rsidRDefault="00D3775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FA73B" w14:textId="77777777" w:rsidR="00D3775F" w:rsidRDefault="00D37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153DF" w14:textId="77777777" w:rsidR="005A0B9D" w:rsidRDefault="005A0B9D" w:rsidP="00F40C63">
      <w:pPr>
        <w:spacing w:after="0" w:line="240" w:lineRule="auto"/>
      </w:pPr>
      <w:r>
        <w:separator/>
      </w:r>
    </w:p>
  </w:footnote>
  <w:footnote w:type="continuationSeparator" w:id="0">
    <w:p w14:paraId="4EB302C7" w14:textId="77777777" w:rsidR="005A0B9D" w:rsidRDefault="005A0B9D" w:rsidP="00F40C63">
      <w:pPr>
        <w:spacing w:after="0" w:line="240" w:lineRule="auto"/>
      </w:pPr>
      <w:r>
        <w:continuationSeparator/>
      </w:r>
    </w:p>
  </w:footnote>
  <w:footnote w:type="continuationNotice" w:id="1">
    <w:p w14:paraId="40FB6E32" w14:textId="77777777" w:rsidR="005A0B9D" w:rsidRDefault="005A0B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31FA"/>
    <w:multiLevelType w:val="hybridMultilevel"/>
    <w:tmpl w:val="FFFFFFFF"/>
    <w:lvl w:ilvl="0" w:tplc="D7CAF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AB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708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63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47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F07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23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E2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E3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C5BC"/>
    <w:multiLevelType w:val="hybridMultilevel"/>
    <w:tmpl w:val="FFFFFFFF"/>
    <w:lvl w:ilvl="0" w:tplc="AA923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90E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D20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CA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07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48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24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6E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86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4629E"/>
    <w:multiLevelType w:val="hybridMultilevel"/>
    <w:tmpl w:val="FFFFFFFF"/>
    <w:lvl w:ilvl="0" w:tplc="8F6A7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E5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849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21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0B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C8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4D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0E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D2B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16E1B"/>
    <w:multiLevelType w:val="hybridMultilevel"/>
    <w:tmpl w:val="FFFFFFFF"/>
    <w:lvl w:ilvl="0" w:tplc="DE2A8CD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7A0A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E41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CC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C8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226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6E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00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74E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697543">
    <w:abstractNumId w:val="1"/>
  </w:num>
  <w:num w:numId="2" w16cid:durableId="147719806">
    <w:abstractNumId w:val="3"/>
  </w:num>
  <w:num w:numId="3" w16cid:durableId="226428344">
    <w:abstractNumId w:val="2"/>
  </w:num>
  <w:num w:numId="4" w16cid:durableId="7833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DB"/>
    <w:rsid w:val="00021FCF"/>
    <w:rsid w:val="00023D84"/>
    <w:rsid w:val="00056A53"/>
    <w:rsid w:val="000B78DC"/>
    <w:rsid w:val="000C17D7"/>
    <w:rsid w:val="000F7DCD"/>
    <w:rsid w:val="001234E1"/>
    <w:rsid w:val="001C382D"/>
    <w:rsid w:val="001C7DDD"/>
    <w:rsid w:val="002C2CE1"/>
    <w:rsid w:val="00357F0F"/>
    <w:rsid w:val="0036501C"/>
    <w:rsid w:val="003C7057"/>
    <w:rsid w:val="003D2CF8"/>
    <w:rsid w:val="003F5848"/>
    <w:rsid w:val="003F5CCA"/>
    <w:rsid w:val="00477D89"/>
    <w:rsid w:val="00541CD2"/>
    <w:rsid w:val="005A0B9D"/>
    <w:rsid w:val="005B4126"/>
    <w:rsid w:val="00637742"/>
    <w:rsid w:val="008225DA"/>
    <w:rsid w:val="00832FE0"/>
    <w:rsid w:val="00833FEC"/>
    <w:rsid w:val="008760C3"/>
    <w:rsid w:val="008E2EE8"/>
    <w:rsid w:val="00905ED6"/>
    <w:rsid w:val="009B0CC6"/>
    <w:rsid w:val="009D1754"/>
    <w:rsid w:val="009E2E56"/>
    <w:rsid w:val="00A30845"/>
    <w:rsid w:val="00A50620"/>
    <w:rsid w:val="00A870EF"/>
    <w:rsid w:val="00A92046"/>
    <w:rsid w:val="00BC53F8"/>
    <w:rsid w:val="00BE0188"/>
    <w:rsid w:val="00D0091D"/>
    <w:rsid w:val="00D3775F"/>
    <w:rsid w:val="00D86DA9"/>
    <w:rsid w:val="00DB08DB"/>
    <w:rsid w:val="00DB4419"/>
    <w:rsid w:val="00E5333E"/>
    <w:rsid w:val="00E852BE"/>
    <w:rsid w:val="00E85CD9"/>
    <w:rsid w:val="00EA61E1"/>
    <w:rsid w:val="00F31286"/>
    <w:rsid w:val="00F40C63"/>
    <w:rsid w:val="00F9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8030E2"/>
  <w15:chartTrackingRefBased/>
  <w15:docId w15:val="{B502D6FB-3503-4262-94CE-5327A4FD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8D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8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8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8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8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8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8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8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8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8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8D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99"/>
    <w:qFormat/>
    <w:rsid w:val="00DB08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8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8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8D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B08D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B0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8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8DB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B0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8D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0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8DB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DB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B08DB"/>
  </w:style>
  <w:style w:type="character" w:styleId="Mention">
    <w:name w:val="Mention"/>
    <w:basedOn w:val="DefaultParagraphFont"/>
    <w:uiPriority w:val="99"/>
    <w:unhideWhenUsed/>
    <w:rsid w:val="00DB08DB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2BE"/>
    <w:rPr>
      <w:b/>
      <w:bCs/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9E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E2E56"/>
  </w:style>
  <w:style w:type="character" w:customStyle="1" w:styleId="eop">
    <w:name w:val="eop"/>
    <w:basedOn w:val="DefaultParagraphFont"/>
    <w:rsid w:val="009E2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8E910-B4CA-4025-B2E3-1556FCA8F60D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2.xml><?xml version="1.0" encoding="utf-8"?>
<ds:datastoreItem xmlns:ds="http://schemas.openxmlformats.org/officeDocument/2006/customXml" ds:itemID="{BF5342AD-41CB-47AC-9A26-D9F3F6A4D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FBA6B-7F23-4A5B-B84A-E1CF04CFE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May 20, 2025 Regular Meeting Item 4 Attachment: Summary of Public Comment</dc:title>
  <dc:subject/>
  <dc:creator>DESE</dc:creator>
  <cp:keywords/>
  <dc:description/>
  <cp:lastModifiedBy>Zou, Dong (EOE)</cp:lastModifiedBy>
  <cp:revision>4</cp:revision>
  <dcterms:created xsi:type="dcterms:W3CDTF">2025-05-13T19:51:00Z</dcterms:created>
  <dcterms:modified xsi:type="dcterms:W3CDTF">2025-05-13T21:11:00Z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13 2025 12:00AM</vt:lpwstr>
  </property>
</Properties>
</file>