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Default="00032C6B"/>
    <w:p w14:paraId="4569BE3F" w14:textId="77777777" w:rsidR="00C84EE3" w:rsidRDefault="00C84EE3"/>
    <w:p w14:paraId="66DAF1F0" w14:textId="77777777" w:rsidR="000F11A7" w:rsidRDefault="000F11A7">
      <w:pPr>
        <w:sectPr w:rsidR="000F11A7" w:rsidSect="00C84E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68D22E6" w14:textId="77777777" w:rsidR="00A07541" w:rsidRDefault="00A07541" w:rsidP="009F7B99">
      <w:pPr>
        <w:pStyle w:val="Heading1"/>
        <w:spacing w:line="240" w:lineRule="auto"/>
        <w:jc w:val="center"/>
      </w:pPr>
      <w:r>
        <w:t>MEMORANDUM</w:t>
      </w:r>
    </w:p>
    <w:p w14:paraId="3F8089D4" w14:textId="77777777" w:rsidR="00A07541" w:rsidRDefault="00A07541" w:rsidP="009F7B99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A07541" w14:paraId="3AFCF9D8" w14:textId="77777777" w:rsidTr="5FA77211">
        <w:trPr>
          <w:trHeight w:val="302"/>
        </w:trPr>
        <w:tc>
          <w:tcPr>
            <w:tcW w:w="1184" w:type="dxa"/>
          </w:tcPr>
          <w:p w14:paraId="0E866129" w14:textId="2C887F8C" w:rsidR="00A07541" w:rsidRDefault="00A07541" w:rsidP="00CE707C">
            <w:pPr>
              <w:spacing w:line="240" w:lineRule="auto"/>
              <w:rPr>
                <w:b/>
                <w:bCs/>
              </w:rPr>
            </w:pPr>
            <w:r w:rsidRPr="16C2C5E3">
              <w:rPr>
                <w:b/>
                <w:bCs/>
              </w:rPr>
              <w:t>To:</w:t>
            </w:r>
          </w:p>
        </w:tc>
        <w:tc>
          <w:tcPr>
            <w:tcW w:w="8176" w:type="dxa"/>
          </w:tcPr>
          <w:p w14:paraId="544A21BC" w14:textId="77777777" w:rsidR="00A07541" w:rsidRDefault="00A07541" w:rsidP="00CE707C">
            <w:pPr>
              <w:pStyle w:val="Footer"/>
              <w:widowControl w:val="0"/>
            </w:pPr>
            <w:r w:rsidRPr="24F27C9E">
              <w:t>Members of the Board of Elementary and Secondary Education</w:t>
            </w:r>
          </w:p>
        </w:tc>
      </w:tr>
      <w:tr w:rsidR="00A07541" w14:paraId="1D1EA185" w14:textId="77777777" w:rsidTr="5FA77211">
        <w:trPr>
          <w:trHeight w:val="302"/>
        </w:trPr>
        <w:tc>
          <w:tcPr>
            <w:tcW w:w="1184" w:type="dxa"/>
          </w:tcPr>
          <w:p w14:paraId="0DCE8FEA" w14:textId="0775624E" w:rsidR="00A07541" w:rsidRDefault="00A07541" w:rsidP="00CE707C">
            <w:pPr>
              <w:spacing w:line="240" w:lineRule="auto"/>
              <w:rPr>
                <w:b/>
                <w:bCs/>
              </w:rPr>
            </w:pPr>
            <w:r w:rsidRPr="2068EB6D">
              <w:rPr>
                <w:b/>
                <w:bCs/>
              </w:rPr>
              <w:t>From:</w:t>
            </w:r>
          </w:p>
        </w:tc>
        <w:tc>
          <w:tcPr>
            <w:tcW w:w="8176" w:type="dxa"/>
          </w:tcPr>
          <w:p w14:paraId="4873CA24" w14:textId="120DEE02" w:rsidR="00A07541" w:rsidRPr="00947C0C" w:rsidRDefault="00A07541" w:rsidP="00CE707C">
            <w:pPr>
              <w:pStyle w:val="Footer"/>
              <w:widowControl w:val="0"/>
            </w:pPr>
            <w:r>
              <w:t>Patrick Tutwiler</w:t>
            </w:r>
            <w:r w:rsidRPr="24F27C9E">
              <w:t xml:space="preserve">, </w:t>
            </w:r>
            <w:r>
              <w:t>Interim</w:t>
            </w:r>
            <w:r w:rsidRPr="24F27C9E">
              <w:t xml:space="preserve"> Commissioner  </w:t>
            </w:r>
          </w:p>
        </w:tc>
      </w:tr>
      <w:tr w:rsidR="00A07541" w14:paraId="08FAF682" w14:textId="77777777" w:rsidTr="5FA77211">
        <w:trPr>
          <w:trHeight w:val="302"/>
        </w:trPr>
        <w:tc>
          <w:tcPr>
            <w:tcW w:w="1184" w:type="dxa"/>
          </w:tcPr>
          <w:p w14:paraId="6836B382" w14:textId="4C0D74F8" w:rsidR="00A07541" w:rsidRDefault="00A07541" w:rsidP="00CE707C">
            <w:pPr>
              <w:spacing w:line="240" w:lineRule="auto"/>
              <w:rPr>
                <w:b/>
                <w:bCs/>
              </w:rPr>
            </w:pPr>
            <w:r w:rsidRPr="2068EB6D">
              <w:rPr>
                <w:b/>
                <w:bCs/>
              </w:rPr>
              <w:t>Date:</w:t>
            </w:r>
          </w:p>
        </w:tc>
        <w:tc>
          <w:tcPr>
            <w:tcW w:w="8176" w:type="dxa"/>
          </w:tcPr>
          <w:p w14:paraId="159179D1" w14:textId="626DCEF0" w:rsidR="00A07541" w:rsidRDefault="133A3A11" w:rsidP="00CE707C">
            <w:pPr>
              <w:pStyle w:val="Footer"/>
              <w:widowControl w:val="0"/>
            </w:pPr>
            <w:r>
              <w:t xml:space="preserve">May </w:t>
            </w:r>
            <w:r w:rsidR="000C0090">
              <w:t>13</w:t>
            </w:r>
            <w:r>
              <w:t>, 2025</w:t>
            </w:r>
          </w:p>
        </w:tc>
      </w:tr>
      <w:tr w:rsidR="00A07541" w14:paraId="22194D12" w14:textId="77777777" w:rsidTr="5FA77211">
        <w:trPr>
          <w:trHeight w:val="302"/>
        </w:trPr>
        <w:tc>
          <w:tcPr>
            <w:tcW w:w="1184" w:type="dxa"/>
          </w:tcPr>
          <w:p w14:paraId="1ECF99D1" w14:textId="77777777" w:rsidR="00A07541" w:rsidRDefault="00A07541" w:rsidP="00CE707C">
            <w:pPr>
              <w:spacing w:line="240" w:lineRule="auto"/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4CB06F" w14:textId="13A55896" w:rsidR="00A07541" w:rsidRPr="00E83D6A" w:rsidRDefault="00A07541" w:rsidP="00CE707C">
            <w:pPr>
              <w:spacing w:line="240" w:lineRule="auto"/>
            </w:pPr>
            <w:r w:rsidRPr="5FA77211">
              <w:rPr>
                <w:rStyle w:val="eop"/>
                <w:rFonts w:ascii="Aptos" w:eastAsia="Aptos" w:hAnsi="Aptos" w:cs="Aptos"/>
                <w:color w:val="000000" w:themeColor="text1"/>
              </w:rPr>
              <w:t>Educator Licensure: Amendments to Regulations on Educator Licensure and Preparation Program Approval, 603 CMR 7.00 (MTEL Alternatives and Other Updates)</w:t>
            </w:r>
            <w:r w:rsidR="3F472672" w:rsidRPr="5FA77211">
              <w:rPr>
                <w:rStyle w:val="eop"/>
                <w:rFonts w:ascii="Aptos" w:eastAsia="Aptos" w:hAnsi="Aptos" w:cs="Aptos"/>
                <w:color w:val="000000" w:themeColor="text1"/>
              </w:rPr>
              <w:t>, for Final Adoption</w:t>
            </w:r>
          </w:p>
        </w:tc>
      </w:tr>
    </w:tbl>
    <w:p w14:paraId="3FAE6E9A" w14:textId="77777777" w:rsidR="00A07541" w:rsidRDefault="00A07541" w:rsidP="00CE707C">
      <w:pPr>
        <w:pBdr>
          <w:bottom w:val="single" w:sz="4" w:space="1" w:color="auto"/>
        </w:pBdr>
        <w:spacing w:line="240" w:lineRule="auto"/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1D5D33A" w14:textId="77777777" w:rsidR="00A07541" w:rsidRDefault="00A07541" w:rsidP="00CE707C">
      <w:pPr>
        <w:spacing w:line="240" w:lineRule="auto"/>
        <w:rPr>
          <w:sz w:val="16"/>
        </w:rPr>
        <w:sectPr w:rsidR="00A07541" w:rsidSect="00A07541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DA9C805" w14:textId="16F3D951" w:rsidR="00F448E4" w:rsidRDefault="0F8235EC" w:rsidP="00CE707C">
      <w:pPr>
        <w:spacing w:line="240" w:lineRule="auto"/>
        <w:rPr>
          <w:rFonts w:cs="Calibri"/>
        </w:rPr>
      </w:pPr>
      <w:r w:rsidRPr="29EDA3BD">
        <w:rPr>
          <w:rFonts w:cs="Calibri"/>
        </w:rPr>
        <w:t>In</w:t>
      </w:r>
      <w:r w:rsidR="00F448E4" w:rsidRPr="29EDA3BD">
        <w:rPr>
          <w:rFonts w:cs="Calibri"/>
        </w:rPr>
        <w:t xml:space="preserve"> February 20</w:t>
      </w:r>
      <w:r w:rsidR="5AD1CC58" w:rsidRPr="29EDA3BD">
        <w:rPr>
          <w:rFonts w:cs="Calibri"/>
        </w:rPr>
        <w:t>2</w:t>
      </w:r>
      <w:r w:rsidR="00F448E4" w:rsidRPr="29EDA3BD">
        <w:rPr>
          <w:rFonts w:cs="Calibri"/>
        </w:rPr>
        <w:t>5, the Board of Elementary and Secondary Education (Board) voted to solicit public comment on proposed amendments to</w:t>
      </w:r>
      <w:r w:rsidR="351818C5" w:rsidRPr="29EDA3BD">
        <w:rPr>
          <w:rFonts w:cs="Calibri"/>
        </w:rPr>
        <w:t xml:space="preserve"> the regulations on Educator Licensure and Preparation Program Approval (</w:t>
      </w:r>
      <w:r w:rsidR="00F448E4" w:rsidRPr="29EDA3BD">
        <w:rPr>
          <w:rFonts w:cs="Calibri"/>
        </w:rPr>
        <w:t>603 CMR 7.00</w:t>
      </w:r>
      <w:r w:rsidR="1DF41077" w:rsidRPr="29EDA3BD">
        <w:rPr>
          <w:rFonts w:cs="Calibri"/>
        </w:rPr>
        <w:t>)</w:t>
      </w:r>
      <w:r w:rsidR="00F448E4" w:rsidRPr="29EDA3BD">
        <w:rPr>
          <w:rFonts w:cs="Calibri"/>
        </w:rPr>
        <w:t>.</w:t>
      </w:r>
      <w:r w:rsidR="2EF55B23" w:rsidRPr="29EDA3BD">
        <w:rPr>
          <w:rFonts w:cs="Calibri"/>
        </w:rPr>
        <w:t xml:space="preserve"> The Department of Elementary and Secondary Education (Department) invited public comment on the proposed regulatory changes from </w:t>
      </w:r>
      <w:r w:rsidR="5D8CFDE6" w:rsidRPr="29EDA3BD">
        <w:rPr>
          <w:rFonts w:cs="Calibri"/>
        </w:rPr>
        <w:t xml:space="preserve">February </w:t>
      </w:r>
      <w:r w:rsidR="3496A0DF" w:rsidRPr="29EDA3BD">
        <w:rPr>
          <w:rFonts w:cs="Calibri"/>
        </w:rPr>
        <w:t>26</w:t>
      </w:r>
      <w:r w:rsidR="2EF55B23" w:rsidRPr="29EDA3BD">
        <w:rPr>
          <w:rFonts w:cs="Calibri"/>
        </w:rPr>
        <w:t xml:space="preserve"> </w:t>
      </w:r>
      <w:r w:rsidR="462EBA43" w:rsidRPr="29EDA3BD">
        <w:rPr>
          <w:rFonts w:cs="Calibri"/>
        </w:rPr>
        <w:t>through</w:t>
      </w:r>
      <w:r w:rsidR="2EF55B23" w:rsidRPr="29EDA3BD">
        <w:rPr>
          <w:rFonts w:cs="Calibri"/>
        </w:rPr>
        <w:t xml:space="preserve"> April </w:t>
      </w:r>
      <w:r w:rsidR="0EEC3E67" w:rsidRPr="29EDA3BD">
        <w:rPr>
          <w:rFonts w:cs="Calibri"/>
        </w:rPr>
        <w:t>4</w:t>
      </w:r>
      <w:r w:rsidR="2EF55B23" w:rsidRPr="29EDA3BD">
        <w:rPr>
          <w:rFonts w:cs="Calibri"/>
        </w:rPr>
        <w:t>, 2025. As discussed below, based on the comments received, I am recommending one additional change to the reg</w:t>
      </w:r>
      <w:r w:rsidR="2ACB5246" w:rsidRPr="29EDA3BD">
        <w:rPr>
          <w:rFonts w:cs="Calibri"/>
        </w:rPr>
        <w:t xml:space="preserve">ulation. Enclosed with this memorandum are the amended regulations, 603 CMR 7.00, for final adoption. </w:t>
      </w:r>
      <w:r w:rsidR="00F448E4" w:rsidRPr="29EDA3BD">
        <w:rPr>
          <w:rFonts w:cs="Calibri"/>
        </w:rPr>
        <w:t xml:space="preserve"> </w:t>
      </w:r>
    </w:p>
    <w:p w14:paraId="24C4E9D6" w14:textId="2B9A3EC2" w:rsidR="7D99FE3F" w:rsidRDefault="7D99FE3F" w:rsidP="29EDA3BD">
      <w:pPr>
        <w:spacing w:line="240" w:lineRule="auto"/>
        <w:rPr>
          <w:rFonts w:cs="Calibri"/>
          <w:b/>
          <w:bCs/>
        </w:rPr>
      </w:pPr>
      <w:r w:rsidRPr="29EDA3BD">
        <w:rPr>
          <w:rFonts w:cs="Calibri"/>
          <w:b/>
          <w:bCs/>
        </w:rPr>
        <w:t>Background</w:t>
      </w:r>
    </w:p>
    <w:p w14:paraId="16D7B3E0" w14:textId="0F83F00D" w:rsidR="00AF0900" w:rsidRDefault="003E4575" w:rsidP="00CE707C">
      <w:pPr>
        <w:spacing w:line="240" w:lineRule="auto"/>
        <w:rPr>
          <w:rFonts w:cs="Calibri"/>
        </w:rPr>
      </w:pPr>
      <w:r w:rsidRPr="29EDA3BD">
        <w:rPr>
          <w:rFonts w:cs="Calibri"/>
        </w:rPr>
        <w:t>At the February 2025 Board meeting, the Board voted to release for public comment proposed amendments to the Regulations for Educator Licensure and Preparation Program Approval, 603 CMR 7.00.</w:t>
      </w:r>
      <w:r w:rsidR="001217C9" w:rsidRPr="29EDA3BD">
        <w:rPr>
          <w:rFonts w:cs="Calibri"/>
        </w:rPr>
        <w:t xml:space="preserve"> </w:t>
      </w:r>
      <w:r w:rsidR="0822425F" w:rsidRPr="29EDA3BD">
        <w:rPr>
          <w:rFonts w:cs="Calibri"/>
        </w:rPr>
        <w:t xml:space="preserve"> Key provisions of the proposed amendments</w:t>
      </w:r>
      <w:r w:rsidR="009B0582">
        <w:rPr>
          <w:rFonts w:cs="Calibri"/>
        </w:rPr>
        <w:t xml:space="preserve"> that went out for public comment</w:t>
      </w:r>
      <w:r w:rsidR="0822425F" w:rsidRPr="29EDA3BD">
        <w:rPr>
          <w:rFonts w:cs="Calibri"/>
        </w:rPr>
        <w:t xml:space="preserve"> include the following:</w:t>
      </w:r>
      <w:r w:rsidR="001217C9" w:rsidRPr="29EDA3BD">
        <w:rPr>
          <w:rFonts w:cs="Calibri"/>
        </w:rPr>
        <w:t xml:space="preserve"> </w:t>
      </w:r>
    </w:p>
    <w:p w14:paraId="339BB605" w14:textId="088F27DA" w:rsidR="00B050E0" w:rsidRDefault="00B050E0" w:rsidP="00CE707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Continu</w:t>
      </w:r>
      <w:r w:rsidR="00C053C3">
        <w:rPr>
          <w:rFonts w:cs="Calibri"/>
        </w:rPr>
        <w:t>ing</w:t>
      </w:r>
      <w:r>
        <w:rPr>
          <w:rFonts w:cs="Calibri"/>
        </w:rPr>
        <w:t xml:space="preserve"> authorization of alternative assessments for educator licensure</w:t>
      </w:r>
      <w:r w:rsidR="004978DC">
        <w:rPr>
          <w:rFonts w:cs="Calibri"/>
        </w:rPr>
        <w:t xml:space="preserve"> (603 CMR</w:t>
      </w:r>
      <w:r w:rsidR="00CC3FCE">
        <w:rPr>
          <w:rFonts w:cs="Calibri"/>
        </w:rPr>
        <w:t xml:space="preserve"> </w:t>
      </w:r>
      <w:r w:rsidR="00E671BE">
        <w:rPr>
          <w:rFonts w:cs="Calibri"/>
        </w:rPr>
        <w:t>7.03</w:t>
      </w:r>
      <w:r w:rsidR="00CC3FCE">
        <w:rPr>
          <w:rFonts w:cs="Calibri"/>
        </w:rPr>
        <w:t>)</w:t>
      </w:r>
      <w:r>
        <w:rPr>
          <w:rFonts w:cs="Calibri"/>
        </w:rPr>
        <w:t>;</w:t>
      </w:r>
    </w:p>
    <w:p w14:paraId="3FADBF3F" w14:textId="58716188" w:rsidR="00A07541" w:rsidRDefault="00A07541" w:rsidP="00CE707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26E8F69E">
        <w:rPr>
          <w:rFonts w:cs="Calibri"/>
        </w:rPr>
        <w:t>Creat</w:t>
      </w:r>
      <w:r w:rsidR="000A32AA">
        <w:rPr>
          <w:rFonts w:cs="Calibri"/>
        </w:rPr>
        <w:t>ing</w:t>
      </w:r>
      <w:r w:rsidRPr="26E8F69E">
        <w:rPr>
          <w:rFonts w:cs="Calibri"/>
        </w:rPr>
        <w:t xml:space="preserve"> a new Media Arts Endorsement to allow teachers to demonstrate a body of knowledge that aligns to the MA Arts Curriculum Framework</w:t>
      </w:r>
      <w:r w:rsidR="00B54A56">
        <w:rPr>
          <w:rFonts w:cs="Calibri"/>
        </w:rPr>
        <w:t xml:space="preserve"> </w:t>
      </w:r>
      <w:r>
        <w:rPr>
          <w:rFonts w:cs="Calibri"/>
        </w:rPr>
        <w:t xml:space="preserve">(603 CMR </w:t>
      </w:r>
      <w:r w:rsidRPr="26E8F69E">
        <w:rPr>
          <w:rFonts w:cs="Calibri"/>
        </w:rPr>
        <w:t>7.04, 7.14</w:t>
      </w:r>
      <w:r>
        <w:rPr>
          <w:rFonts w:cs="Calibri"/>
        </w:rPr>
        <w:t>)</w:t>
      </w:r>
      <w:r w:rsidRPr="26E8F69E">
        <w:rPr>
          <w:rFonts w:cs="Calibri"/>
        </w:rPr>
        <w:t>;</w:t>
      </w:r>
    </w:p>
    <w:p w14:paraId="078E9B72" w14:textId="0EDCC562" w:rsidR="00A07541" w:rsidRDefault="00A07541" w:rsidP="00CE707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26E8F69E">
        <w:rPr>
          <w:rFonts w:eastAsiaTheme="minorEastAsia"/>
        </w:rPr>
        <w:t>Creat</w:t>
      </w:r>
      <w:r w:rsidR="000A32AA">
        <w:rPr>
          <w:rFonts w:eastAsiaTheme="minorEastAsia"/>
        </w:rPr>
        <w:t>ing</w:t>
      </w:r>
      <w:r w:rsidRPr="26E8F69E">
        <w:rPr>
          <w:rFonts w:eastAsiaTheme="minorEastAsia"/>
        </w:rPr>
        <w:t xml:space="preserve"> additional flexibilities in coursework for professional licensure </w:t>
      </w:r>
      <w:r>
        <w:rPr>
          <w:rFonts w:eastAsiaTheme="minorEastAsia"/>
        </w:rPr>
        <w:t xml:space="preserve">(603 CMR </w:t>
      </w:r>
      <w:r w:rsidRPr="26E8F69E">
        <w:rPr>
          <w:rFonts w:eastAsiaTheme="minorEastAsia"/>
        </w:rPr>
        <w:t>7.04</w:t>
      </w:r>
      <w:r>
        <w:rPr>
          <w:rFonts w:eastAsiaTheme="minorEastAsia"/>
        </w:rPr>
        <w:t>)</w:t>
      </w:r>
      <w:r w:rsidRPr="26E8F69E">
        <w:rPr>
          <w:rFonts w:eastAsiaTheme="minorEastAsia"/>
        </w:rPr>
        <w:t>;</w:t>
      </w:r>
    </w:p>
    <w:p w14:paraId="04EE29CD" w14:textId="1C19C6D8" w:rsidR="00A07541" w:rsidRDefault="00A07541" w:rsidP="00CE707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26E8F69E">
        <w:rPr>
          <w:rFonts w:eastAsiaTheme="minorEastAsia"/>
        </w:rPr>
        <w:t>Chang</w:t>
      </w:r>
      <w:r w:rsidR="000A32AA">
        <w:rPr>
          <w:rFonts w:eastAsiaTheme="minorEastAsia"/>
        </w:rPr>
        <w:t>ing</w:t>
      </w:r>
      <w:r w:rsidRPr="26E8F69E">
        <w:rPr>
          <w:rFonts w:eastAsiaTheme="minorEastAsia"/>
        </w:rPr>
        <w:t xml:space="preserve"> the name of the Health/Family and Consumer Sciences license to Comprehensive Health in alignment with the MA </w:t>
      </w:r>
      <w:r>
        <w:rPr>
          <w:rFonts w:eastAsiaTheme="minorEastAsia"/>
        </w:rPr>
        <w:t xml:space="preserve">Comprehensive Health </w:t>
      </w:r>
      <w:r w:rsidRPr="26E8F69E">
        <w:rPr>
          <w:rFonts w:eastAsiaTheme="minorEastAsia"/>
        </w:rPr>
        <w:t>Curriculum Framework, and shift</w:t>
      </w:r>
      <w:r w:rsidR="00E709C3">
        <w:rPr>
          <w:rFonts w:eastAsiaTheme="minorEastAsia"/>
        </w:rPr>
        <w:t>ing</w:t>
      </w:r>
      <w:r w:rsidRPr="26E8F69E">
        <w:rPr>
          <w:rFonts w:eastAsiaTheme="minorEastAsia"/>
        </w:rPr>
        <w:t xml:space="preserve"> from All Levels to PK-8 and 5-12 </w:t>
      </w:r>
      <w:r>
        <w:rPr>
          <w:rFonts w:eastAsiaTheme="minorEastAsia"/>
        </w:rPr>
        <w:t xml:space="preserve">(603 CMR </w:t>
      </w:r>
      <w:r w:rsidRPr="26E8F69E">
        <w:rPr>
          <w:rFonts w:eastAsiaTheme="minorEastAsia"/>
        </w:rPr>
        <w:t>7.04</w:t>
      </w:r>
      <w:r>
        <w:rPr>
          <w:rFonts w:eastAsiaTheme="minorEastAsia"/>
        </w:rPr>
        <w:t>)</w:t>
      </w:r>
      <w:r w:rsidRPr="26E8F69E">
        <w:rPr>
          <w:rFonts w:eastAsiaTheme="minorEastAsia"/>
        </w:rPr>
        <w:t>;</w:t>
      </w:r>
    </w:p>
    <w:p w14:paraId="3FC65897" w14:textId="4876A86F" w:rsidR="00A07541" w:rsidRDefault="00A07541" w:rsidP="00CE707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78DE1EBB">
        <w:rPr>
          <w:rFonts w:cs="Calibri"/>
        </w:rPr>
        <w:t>Allow</w:t>
      </w:r>
      <w:r w:rsidR="000A32AA">
        <w:rPr>
          <w:rFonts w:cs="Calibri"/>
        </w:rPr>
        <w:t>ing</w:t>
      </w:r>
      <w:r w:rsidRPr="78DE1EBB">
        <w:rPr>
          <w:rFonts w:cs="Calibri"/>
        </w:rPr>
        <w:t xml:space="preserve"> the Bilingual Endorsement as an alternative to the Sheltered English Immersion Endorsement for initial licenses in core academic area</w:t>
      </w:r>
      <w:r>
        <w:rPr>
          <w:rFonts w:cs="Calibri"/>
        </w:rPr>
        <w:t>s (603 CMR 7.04)</w:t>
      </w:r>
      <w:r w:rsidRPr="78DE1EBB">
        <w:rPr>
          <w:rFonts w:cs="Calibri"/>
        </w:rPr>
        <w:t>;</w:t>
      </w:r>
    </w:p>
    <w:p w14:paraId="37417EC2" w14:textId="043691E2" w:rsidR="00A07541" w:rsidRDefault="00A07541" w:rsidP="00CE707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Specify</w:t>
      </w:r>
      <w:r w:rsidR="000A32AA">
        <w:rPr>
          <w:rFonts w:cs="Calibri"/>
        </w:rPr>
        <w:t>ing</w:t>
      </w:r>
      <w:r>
        <w:rPr>
          <w:rFonts w:cs="Calibri"/>
        </w:rPr>
        <w:t xml:space="preserve"> that </w:t>
      </w:r>
      <w:r w:rsidRPr="254D5782">
        <w:rPr>
          <w:rFonts w:cs="Calibri"/>
        </w:rPr>
        <w:t xml:space="preserve">Emergency licenses may not be extended beyond June 30, 2027 </w:t>
      </w:r>
      <w:r>
        <w:rPr>
          <w:rFonts w:cs="Calibri"/>
        </w:rPr>
        <w:t xml:space="preserve">(603 CMR </w:t>
      </w:r>
      <w:r w:rsidRPr="254D5782">
        <w:rPr>
          <w:rFonts w:cs="Calibri"/>
        </w:rPr>
        <w:t>7.15</w:t>
      </w:r>
      <w:r>
        <w:rPr>
          <w:rFonts w:cs="Calibri"/>
        </w:rPr>
        <w:t>); and</w:t>
      </w:r>
    </w:p>
    <w:p w14:paraId="66A8B383" w14:textId="2BE3E4A8" w:rsidR="00A07541" w:rsidRPr="000C1D07" w:rsidRDefault="00A07541" w:rsidP="00CE707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000C1D07">
        <w:rPr>
          <w:rFonts w:cs="Calibri"/>
        </w:rPr>
        <w:t>Remov</w:t>
      </w:r>
      <w:r w:rsidR="000A32AA">
        <w:rPr>
          <w:rFonts w:cs="Calibri"/>
        </w:rPr>
        <w:t>ing</w:t>
      </w:r>
      <w:r w:rsidRPr="000C1D07">
        <w:rPr>
          <w:rFonts w:cs="Calibri"/>
        </w:rPr>
        <w:t xml:space="preserve"> outdated language relating to licensure flexibilities that were available during the COVID-19 pandemic (603 CMR 7.02, 7.15), transition periods from past licensure changes that are no longer relevant (603 CMR 7.15), and a Performance Assessment Program that is no longer relevant (603 CMR 7.02).</w:t>
      </w:r>
    </w:p>
    <w:p w14:paraId="70FB9D07" w14:textId="77777777" w:rsidR="00A07541" w:rsidRDefault="00A07541" w:rsidP="00CE707C">
      <w:pPr>
        <w:spacing w:line="240" w:lineRule="auto"/>
        <w:rPr>
          <w:rFonts w:cs="Calibri"/>
        </w:rPr>
      </w:pPr>
    </w:p>
    <w:p w14:paraId="0407F1C7" w14:textId="63D0CA71" w:rsidR="36156877" w:rsidRDefault="36156877" w:rsidP="29EDA3BD">
      <w:pPr>
        <w:spacing w:line="240" w:lineRule="auto"/>
      </w:pPr>
      <w:r w:rsidRPr="29EDA3BD">
        <w:rPr>
          <w:rFonts w:cs="Calibri"/>
          <w:b/>
          <w:bCs/>
        </w:rPr>
        <w:t>Summary of Public Comment</w:t>
      </w:r>
    </w:p>
    <w:p w14:paraId="560E4DC0" w14:textId="7252225E" w:rsidR="005D45AA" w:rsidRDefault="36156877" w:rsidP="00CE707C">
      <w:pPr>
        <w:spacing w:line="240" w:lineRule="auto"/>
        <w:rPr>
          <w:rFonts w:cs="Calibri"/>
        </w:rPr>
      </w:pPr>
      <w:r w:rsidRPr="29EDA3BD">
        <w:rPr>
          <w:rFonts w:cs="Calibri"/>
        </w:rPr>
        <w:t xml:space="preserve">During the public comment period, the Department </w:t>
      </w:r>
      <w:r w:rsidR="009127FF" w:rsidRPr="29EDA3BD">
        <w:rPr>
          <w:rFonts w:cs="Calibri"/>
        </w:rPr>
        <w:t>received comments from over 90 commenters,</w:t>
      </w:r>
      <w:r w:rsidR="00C452B7" w:rsidRPr="29EDA3BD">
        <w:rPr>
          <w:rFonts w:cs="Calibri"/>
        </w:rPr>
        <w:t xml:space="preserve"> including both </w:t>
      </w:r>
      <w:r w:rsidR="009127FF" w:rsidRPr="29EDA3BD">
        <w:rPr>
          <w:rFonts w:cs="Calibri"/>
        </w:rPr>
        <w:t>individuals</w:t>
      </w:r>
      <w:r w:rsidR="00C452B7" w:rsidRPr="29EDA3BD">
        <w:rPr>
          <w:rFonts w:cs="Calibri"/>
        </w:rPr>
        <w:t xml:space="preserve"> and in</w:t>
      </w:r>
      <w:r w:rsidR="00093738">
        <w:rPr>
          <w:rFonts w:cs="Calibri"/>
        </w:rPr>
        <w:t>terest</w:t>
      </w:r>
      <w:r w:rsidR="00F42658" w:rsidRPr="29EDA3BD">
        <w:rPr>
          <w:rFonts w:cs="Calibri"/>
        </w:rPr>
        <w:t>ed organizations. Individuals included those w</w:t>
      </w:r>
      <w:r w:rsidR="001E0773" w:rsidRPr="29EDA3BD">
        <w:rPr>
          <w:rFonts w:cs="Calibri"/>
        </w:rPr>
        <w:t xml:space="preserve">ith </w:t>
      </w:r>
      <w:r w:rsidR="009127FF" w:rsidRPr="29EDA3BD">
        <w:rPr>
          <w:rFonts w:cs="Calibri"/>
        </w:rPr>
        <w:t xml:space="preserve">the following roles: teacher, </w:t>
      </w:r>
      <w:r w:rsidR="00511403" w:rsidRPr="29EDA3BD">
        <w:rPr>
          <w:rFonts w:cs="Calibri"/>
        </w:rPr>
        <w:t xml:space="preserve">parent/community member, </w:t>
      </w:r>
      <w:r w:rsidR="0003635E" w:rsidRPr="29EDA3BD">
        <w:rPr>
          <w:rFonts w:cs="Calibri"/>
        </w:rPr>
        <w:t xml:space="preserve">member of an </w:t>
      </w:r>
      <w:r w:rsidR="00511403" w:rsidRPr="29EDA3BD">
        <w:rPr>
          <w:rFonts w:cs="Calibri"/>
        </w:rPr>
        <w:t xml:space="preserve">advocacy organization, student, school administrator, </w:t>
      </w:r>
      <w:r w:rsidR="009127FF" w:rsidRPr="29EDA3BD">
        <w:rPr>
          <w:rFonts w:cs="Calibri"/>
        </w:rPr>
        <w:t xml:space="preserve">district administrator, </w:t>
      </w:r>
      <w:r w:rsidR="00511403" w:rsidRPr="29EDA3BD">
        <w:rPr>
          <w:rFonts w:cs="Calibri"/>
        </w:rPr>
        <w:t xml:space="preserve">and </w:t>
      </w:r>
      <w:r w:rsidR="009127FF" w:rsidRPr="29EDA3BD">
        <w:rPr>
          <w:rFonts w:cs="Calibri"/>
        </w:rPr>
        <w:t xml:space="preserve">educator preparation </w:t>
      </w:r>
      <w:r w:rsidR="0003635E" w:rsidRPr="29EDA3BD">
        <w:rPr>
          <w:rFonts w:cs="Calibri"/>
        </w:rPr>
        <w:t>program provider</w:t>
      </w:r>
      <w:r w:rsidR="009127FF" w:rsidRPr="29EDA3BD">
        <w:rPr>
          <w:rFonts w:cs="Calibri"/>
        </w:rPr>
        <w:t xml:space="preserve">. </w:t>
      </w:r>
      <w:r w:rsidR="6D9E4083" w:rsidRPr="29EDA3BD">
        <w:rPr>
          <w:rFonts w:cs="Calibri"/>
        </w:rPr>
        <w:t xml:space="preserve">A summary of the public comment and the Department’s response is enclosed. </w:t>
      </w:r>
    </w:p>
    <w:p w14:paraId="60DB32C5" w14:textId="1CF98187" w:rsidR="00F54EC6" w:rsidRDefault="6D9E4083" w:rsidP="29EDA3BD">
      <w:pPr>
        <w:spacing w:after="0" w:line="240" w:lineRule="auto"/>
        <w:rPr>
          <w:rFonts w:cs="Calibri"/>
          <w:b/>
          <w:bCs/>
        </w:rPr>
        <w:sectPr w:rsidR="00F54EC6" w:rsidSect="00725BB6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29EDA3BD">
        <w:rPr>
          <w:rFonts w:cs="Calibri"/>
          <w:b/>
          <w:bCs/>
        </w:rPr>
        <w:t>Response to Public Comment</w:t>
      </w:r>
    </w:p>
    <w:p w14:paraId="20557084" w14:textId="68466151" w:rsidR="009127FF" w:rsidRPr="009127FF" w:rsidRDefault="1AC9B211" w:rsidP="00CE707C">
      <w:pPr>
        <w:spacing w:line="240" w:lineRule="auto"/>
        <w:rPr>
          <w:rFonts w:cs="Calibri"/>
        </w:rPr>
      </w:pPr>
      <w:r w:rsidRPr="0E3C0C5A">
        <w:rPr>
          <w:rFonts w:cs="Calibri"/>
        </w:rPr>
        <w:t xml:space="preserve">Based on the public comment received, I am recommending </w:t>
      </w:r>
      <w:r w:rsidR="00B96573" w:rsidRPr="0E3C0C5A">
        <w:rPr>
          <w:rFonts w:cs="Calibri"/>
        </w:rPr>
        <w:t xml:space="preserve">one </w:t>
      </w:r>
      <w:r w:rsidRPr="0E3C0C5A">
        <w:rPr>
          <w:rFonts w:cs="Calibri"/>
        </w:rPr>
        <w:t>additional change to the regulations proposed at the February</w:t>
      </w:r>
      <w:r w:rsidR="69AF427D" w:rsidRPr="0E3C0C5A">
        <w:rPr>
          <w:rFonts w:cs="Calibri"/>
        </w:rPr>
        <w:t xml:space="preserve"> 25, 2025 Board meeting.</w:t>
      </w:r>
      <w:r w:rsidRPr="0E3C0C5A">
        <w:rPr>
          <w:rFonts w:cs="Calibri"/>
        </w:rPr>
        <w:t xml:space="preserve"> </w:t>
      </w:r>
      <w:r w:rsidR="1B8C2041" w:rsidRPr="0E3C0C5A">
        <w:rPr>
          <w:rFonts w:cs="Calibri"/>
        </w:rPr>
        <w:t>The proposed regulations</w:t>
      </w:r>
      <w:r w:rsidR="00833D5F" w:rsidRPr="0E3C0C5A">
        <w:rPr>
          <w:rFonts w:cs="Calibri"/>
        </w:rPr>
        <w:t>,</w:t>
      </w:r>
      <w:r w:rsidR="7D035D0B" w:rsidRPr="0E3C0C5A">
        <w:rPr>
          <w:rFonts w:cs="Calibri"/>
        </w:rPr>
        <w:t xml:space="preserve"> in section</w:t>
      </w:r>
      <w:r w:rsidR="1B8C2041" w:rsidRPr="0E3C0C5A">
        <w:rPr>
          <w:rFonts w:cs="Calibri"/>
        </w:rPr>
        <w:t xml:space="preserve"> 603 CMR 7.15, included a new Media Arts Endorsement and included a list of prerequisite license options. </w:t>
      </w:r>
      <w:r w:rsidR="4074F409" w:rsidRPr="0E3C0C5A">
        <w:rPr>
          <w:rFonts w:cs="Calibri"/>
        </w:rPr>
        <w:t xml:space="preserve"> To address the concern about the list of vocational teacher licenses, we have </w:t>
      </w:r>
      <w:r w:rsidR="2B5A6284" w:rsidRPr="0E3C0C5A">
        <w:rPr>
          <w:rFonts w:cs="Calibri"/>
        </w:rPr>
        <w:t>expanded the list of</w:t>
      </w:r>
      <w:r w:rsidR="4074F409" w:rsidRPr="0E3C0C5A">
        <w:rPr>
          <w:rFonts w:cs="Calibri"/>
        </w:rPr>
        <w:t xml:space="preserve"> prerequisite license options.   </w:t>
      </w:r>
    </w:p>
    <w:p w14:paraId="123337AF" w14:textId="7B7140ED" w:rsidR="00E63E19" w:rsidRDefault="4ECEF0D9" w:rsidP="29EDA3BD">
      <w:pPr>
        <w:spacing w:line="240" w:lineRule="auto"/>
        <w:rPr>
          <w:rFonts w:ascii="Aptos" w:eastAsia="Aptos" w:hAnsi="Aptos" w:cs="Aptos"/>
        </w:rPr>
      </w:pPr>
      <w:r w:rsidRPr="0E3C0C5A">
        <w:rPr>
          <w:rFonts w:cs="Calibri"/>
        </w:rPr>
        <w:t xml:space="preserve">At the May 20, 2025 Board meeting, </w:t>
      </w:r>
      <w:r w:rsidR="00A07541" w:rsidRPr="0E3C0C5A">
        <w:rPr>
          <w:rFonts w:cs="Calibri"/>
        </w:rPr>
        <w:t xml:space="preserve">Claire Abbott, Director of Educator Effectiveness, </w:t>
      </w:r>
      <w:r w:rsidR="00A927D2" w:rsidRPr="0E3C0C5A">
        <w:rPr>
          <w:rFonts w:cs="Calibri"/>
        </w:rPr>
        <w:t xml:space="preserve">Allison Balter, </w:t>
      </w:r>
      <w:r w:rsidR="00C14FDD" w:rsidRPr="0E3C0C5A">
        <w:rPr>
          <w:rFonts w:cs="Calibri"/>
        </w:rPr>
        <w:t xml:space="preserve">Director of the Office of Language Acquisition, </w:t>
      </w:r>
      <w:r w:rsidR="00A07541" w:rsidRPr="0E3C0C5A">
        <w:rPr>
          <w:rFonts w:cs="Calibri"/>
        </w:rPr>
        <w:t xml:space="preserve">Brian Devine, Director of Licensure, Liz Losee, Director of Educator Effectiveness Policy, </w:t>
      </w:r>
      <w:r w:rsidR="00EE391C" w:rsidRPr="0E3C0C5A">
        <w:rPr>
          <w:rFonts w:cs="Calibri"/>
        </w:rPr>
        <w:t xml:space="preserve">and </w:t>
      </w:r>
      <w:r w:rsidR="00A07541" w:rsidRPr="0E3C0C5A">
        <w:rPr>
          <w:rFonts w:cs="Calibri"/>
        </w:rPr>
        <w:t>Lucy Wall</w:t>
      </w:r>
      <w:r w:rsidR="53B77FF2" w:rsidRPr="0E3C0C5A">
        <w:rPr>
          <w:rFonts w:cs="Calibri"/>
        </w:rPr>
        <w:t xml:space="preserve"> of our legal staff</w:t>
      </w:r>
      <w:r w:rsidR="00A07541" w:rsidRPr="0E3C0C5A">
        <w:rPr>
          <w:rFonts w:cs="Calibri"/>
        </w:rPr>
        <w:t xml:space="preserve"> </w:t>
      </w:r>
      <w:r w:rsidR="10347DDC" w:rsidRPr="0E3C0C5A">
        <w:rPr>
          <w:rFonts w:ascii="Aptos" w:eastAsia="Aptos" w:hAnsi="Aptos" w:cs="Aptos"/>
          <w:color w:val="000000" w:themeColor="text1"/>
        </w:rPr>
        <w:t>will present a summary of the public comment as well as the additional proposed change to the regulations.</w:t>
      </w:r>
    </w:p>
    <w:p w14:paraId="0B2C5D0B" w14:textId="742A7BA4" w:rsidR="00E63E19" w:rsidRDefault="10347DDC" w:rsidP="6991DCC9">
      <w:pPr>
        <w:spacing w:line="240" w:lineRule="auto"/>
        <w:rPr>
          <w:rFonts w:ascii="Aptos" w:eastAsia="Aptos" w:hAnsi="Aptos" w:cs="Aptos"/>
        </w:rPr>
      </w:pPr>
      <w:r w:rsidRPr="6991DCC9">
        <w:rPr>
          <w:rFonts w:ascii="Aptos" w:eastAsia="Aptos" w:hAnsi="Aptos" w:cs="Aptos"/>
          <w:color w:val="000000" w:themeColor="text1"/>
        </w:rPr>
        <w:t xml:space="preserve">Attached are </w:t>
      </w:r>
      <w:r w:rsidR="70DDED99" w:rsidRPr="6991DCC9">
        <w:rPr>
          <w:rFonts w:ascii="Aptos" w:eastAsia="Aptos" w:hAnsi="Aptos" w:cs="Aptos"/>
          <w:color w:val="000000" w:themeColor="text1"/>
        </w:rPr>
        <w:t xml:space="preserve">four </w:t>
      </w:r>
      <w:r w:rsidRPr="6991DCC9">
        <w:rPr>
          <w:rFonts w:ascii="Aptos" w:eastAsia="Aptos" w:hAnsi="Aptos" w:cs="Aptos"/>
          <w:color w:val="000000" w:themeColor="text1"/>
        </w:rPr>
        <w:t>documents: the February 19, 2025 memorandum from Acting Commissioner Johnston outlining the proposed revisions to 603 CMR 7.00; a summary of public comment received and the Department’s response; the proposed final regulations; and a motion to adopt the regulations.</w:t>
      </w:r>
      <w:r w:rsidR="3433CDF6" w:rsidRPr="6991DCC9">
        <w:rPr>
          <w:rFonts w:ascii="Aptos" w:eastAsia="Aptos" w:hAnsi="Aptos" w:cs="Aptos"/>
          <w:color w:val="000000" w:themeColor="text1"/>
        </w:rPr>
        <w:t xml:space="preserve"> All comments, with personal data redacted as required, are available upon request.</w:t>
      </w:r>
    </w:p>
    <w:p w14:paraId="752C2DE1" w14:textId="0A31F8CB" w:rsidR="00E63E19" w:rsidRDefault="00E63E19" w:rsidP="29EDA3BD">
      <w:pPr>
        <w:spacing w:line="240" w:lineRule="auto"/>
        <w:rPr>
          <w:rFonts w:ascii="Aptos" w:eastAsia="Aptos" w:hAnsi="Aptos" w:cs="Aptos"/>
          <w:color w:val="000000" w:themeColor="text1"/>
        </w:rPr>
      </w:pPr>
    </w:p>
    <w:p w14:paraId="566B55C4" w14:textId="2D1268E3" w:rsidR="00E63E19" w:rsidRDefault="10347DDC" w:rsidP="29EDA3BD">
      <w:pPr>
        <w:spacing w:line="240" w:lineRule="auto"/>
        <w:rPr>
          <w:rFonts w:ascii="Aptos" w:eastAsia="Aptos" w:hAnsi="Aptos" w:cs="Aptos"/>
          <w:color w:val="000000" w:themeColor="text1"/>
        </w:rPr>
      </w:pPr>
      <w:r w:rsidRPr="29EDA3BD">
        <w:rPr>
          <w:rFonts w:ascii="Aptos" w:eastAsia="Aptos" w:hAnsi="Aptos" w:cs="Aptos"/>
          <w:color w:val="000000" w:themeColor="text1"/>
        </w:rPr>
        <w:t>Attachments:</w:t>
      </w:r>
    </w:p>
    <w:p w14:paraId="39CE400A" w14:textId="1EAD48E6" w:rsidR="00E63E19" w:rsidRDefault="10347DDC" w:rsidP="29EDA3BD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29EDA3BD">
        <w:rPr>
          <w:rFonts w:ascii="Aptos" w:eastAsia="Aptos" w:hAnsi="Aptos" w:cs="Aptos"/>
          <w:color w:val="000000" w:themeColor="text1"/>
        </w:rPr>
        <w:t>February 19, 2025 memorandum</w:t>
      </w:r>
    </w:p>
    <w:p w14:paraId="0D593086" w14:textId="323E25E5" w:rsidR="00E63E19" w:rsidRDefault="10347DDC" w:rsidP="29EDA3BD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6991DCC9">
        <w:rPr>
          <w:rFonts w:ascii="Aptos" w:eastAsia="Aptos" w:hAnsi="Aptos" w:cs="Aptos"/>
          <w:color w:val="000000" w:themeColor="text1"/>
        </w:rPr>
        <w:t>Summary of Public Comment</w:t>
      </w:r>
    </w:p>
    <w:p w14:paraId="32251947" w14:textId="652A3D6A" w:rsidR="00E63E19" w:rsidRDefault="10347DDC" w:rsidP="29EDA3BD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29EDA3BD">
        <w:rPr>
          <w:rFonts w:ascii="Aptos" w:eastAsia="Aptos" w:hAnsi="Aptos" w:cs="Aptos"/>
          <w:color w:val="000000" w:themeColor="text1"/>
        </w:rPr>
        <w:t>Proposed Final Regulations</w:t>
      </w:r>
    </w:p>
    <w:p w14:paraId="5DEBC189" w14:textId="5F18C5A1" w:rsidR="00E63E19" w:rsidRDefault="10347DDC" w:rsidP="29EDA3BD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7D9FAEAA">
        <w:rPr>
          <w:rFonts w:ascii="Aptos" w:eastAsia="Aptos" w:hAnsi="Aptos" w:cs="Aptos"/>
          <w:color w:val="000000" w:themeColor="text1"/>
        </w:rPr>
        <w:t xml:space="preserve">Motion </w:t>
      </w:r>
      <w:r w:rsidR="004563E7">
        <w:rPr>
          <w:rFonts w:ascii="Aptos" w:eastAsia="Aptos" w:hAnsi="Aptos" w:cs="Aptos"/>
          <w:color w:val="000000" w:themeColor="text1"/>
        </w:rPr>
        <w:t>6</w:t>
      </w:r>
      <w:r w:rsidR="5180E3EA" w:rsidRPr="7D9FAEAA">
        <w:rPr>
          <w:rFonts w:ascii="Aptos" w:eastAsia="Aptos" w:hAnsi="Aptos" w:cs="Aptos"/>
          <w:color w:val="000000" w:themeColor="text1"/>
        </w:rPr>
        <w:t>03 CMR 7.00</w:t>
      </w:r>
    </w:p>
    <w:p w14:paraId="1258AC9C" w14:textId="0CFA33D6" w:rsidR="00E63E19" w:rsidRDefault="00E63E19" w:rsidP="29EDA3BD">
      <w:pPr>
        <w:spacing w:line="240" w:lineRule="auto"/>
        <w:rPr>
          <w:rFonts w:ascii="Aptos" w:eastAsia="Aptos" w:hAnsi="Aptos" w:cs="Aptos"/>
          <w:color w:val="000000" w:themeColor="text1"/>
        </w:rPr>
      </w:pPr>
    </w:p>
    <w:sectPr w:rsidR="00E63E19" w:rsidSect="00725B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8C02" w14:textId="77777777" w:rsidR="00540222" w:rsidRDefault="00540222" w:rsidP="00C84EE3">
      <w:pPr>
        <w:spacing w:after="0" w:line="240" w:lineRule="auto"/>
      </w:pPr>
      <w:r>
        <w:separator/>
      </w:r>
    </w:p>
  </w:endnote>
  <w:endnote w:type="continuationSeparator" w:id="0">
    <w:p w14:paraId="20F3DCC8" w14:textId="77777777" w:rsidR="00540222" w:rsidRDefault="00540222" w:rsidP="00C84EE3">
      <w:pPr>
        <w:spacing w:after="0" w:line="240" w:lineRule="auto"/>
      </w:pPr>
      <w:r>
        <w:continuationSeparator/>
      </w:r>
    </w:p>
  </w:endnote>
  <w:endnote w:type="continuationNotice" w:id="1">
    <w:p w14:paraId="5F53DB9D" w14:textId="77777777" w:rsidR="00540222" w:rsidRDefault="00540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B14F5DE" wp14:editId="781945F4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7" cy="495510"/>
          <wp:effectExtent l="0" t="0" r="0" b="0"/>
          <wp:wrapNone/>
          <wp:docPr id="97760463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0463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7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2" behindDoc="1" locked="0" layoutInCell="1" allowOverlap="1" wp14:anchorId="291FC6C5" wp14:editId="0BC428F2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0778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B1065" w14:textId="77777777" w:rsidR="00540222" w:rsidRDefault="00540222" w:rsidP="00C84EE3">
      <w:pPr>
        <w:spacing w:after="0" w:line="240" w:lineRule="auto"/>
      </w:pPr>
      <w:r>
        <w:separator/>
      </w:r>
    </w:p>
  </w:footnote>
  <w:footnote w:type="continuationSeparator" w:id="0">
    <w:p w14:paraId="63A28404" w14:textId="77777777" w:rsidR="00540222" w:rsidRDefault="00540222" w:rsidP="00C84EE3">
      <w:pPr>
        <w:spacing w:after="0" w:line="240" w:lineRule="auto"/>
      </w:pPr>
      <w:r>
        <w:continuationSeparator/>
      </w:r>
    </w:p>
  </w:footnote>
  <w:footnote w:type="continuationNotice" w:id="1">
    <w:p w14:paraId="24C08461" w14:textId="77777777" w:rsidR="00540222" w:rsidRDefault="005402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3DD894B" wp14:editId="47CC5C67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5" cy="1541847"/>
          <wp:effectExtent l="0" t="0" r="0" b="0"/>
          <wp:wrapNone/>
          <wp:docPr id="6715288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5288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5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27A"/>
    <w:multiLevelType w:val="multilevel"/>
    <w:tmpl w:val="3EA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4647B"/>
    <w:multiLevelType w:val="multilevel"/>
    <w:tmpl w:val="3368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D64AB7"/>
    <w:multiLevelType w:val="multilevel"/>
    <w:tmpl w:val="251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F0555"/>
    <w:multiLevelType w:val="multilevel"/>
    <w:tmpl w:val="742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B37A6"/>
    <w:multiLevelType w:val="multilevel"/>
    <w:tmpl w:val="4B78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9B5881"/>
    <w:multiLevelType w:val="multilevel"/>
    <w:tmpl w:val="24CC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9251C"/>
    <w:multiLevelType w:val="multilevel"/>
    <w:tmpl w:val="95D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D73572"/>
    <w:multiLevelType w:val="multilevel"/>
    <w:tmpl w:val="0D7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03CA3"/>
    <w:multiLevelType w:val="multilevel"/>
    <w:tmpl w:val="DF0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245D2"/>
    <w:multiLevelType w:val="multilevel"/>
    <w:tmpl w:val="AA12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0820A4"/>
    <w:multiLevelType w:val="multilevel"/>
    <w:tmpl w:val="D018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D37452"/>
    <w:multiLevelType w:val="multilevel"/>
    <w:tmpl w:val="72A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614C49"/>
    <w:multiLevelType w:val="multilevel"/>
    <w:tmpl w:val="B270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AE49E7"/>
    <w:multiLevelType w:val="multilevel"/>
    <w:tmpl w:val="CF10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F7F700"/>
    <w:multiLevelType w:val="hybridMultilevel"/>
    <w:tmpl w:val="B8CCD9F0"/>
    <w:lvl w:ilvl="0" w:tplc="48AE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C4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E7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2D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8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2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0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848FE"/>
    <w:multiLevelType w:val="multilevel"/>
    <w:tmpl w:val="D70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9A671E"/>
    <w:multiLevelType w:val="multilevel"/>
    <w:tmpl w:val="8794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CF0E91"/>
    <w:multiLevelType w:val="hybridMultilevel"/>
    <w:tmpl w:val="FFFFFFFF"/>
    <w:lvl w:ilvl="0" w:tplc="41DC0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8E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8C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0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A0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45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0F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86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27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80C02"/>
    <w:multiLevelType w:val="multilevel"/>
    <w:tmpl w:val="97D0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E93175"/>
    <w:multiLevelType w:val="multilevel"/>
    <w:tmpl w:val="31E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804D59"/>
    <w:multiLevelType w:val="multilevel"/>
    <w:tmpl w:val="0E3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4B65E2"/>
    <w:multiLevelType w:val="multilevel"/>
    <w:tmpl w:val="D8E0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93497D"/>
    <w:multiLevelType w:val="multilevel"/>
    <w:tmpl w:val="220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721F2B"/>
    <w:multiLevelType w:val="multilevel"/>
    <w:tmpl w:val="F51A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E20FD3"/>
    <w:multiLevelType w:val="multilevel"/>
    <w:tmpl w:val="87C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5E56C9"/>
    <w:multiLevelType w:val="multilevel"/>
    <w:tmpl w:val="6378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CB7AB8"/>
    <w:multiLevelType w:val="multilevel"/>
    <w:tmpl w:val="5FEE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1A49E0"/>
    <w:multiLevelType w:val="multilevel"/>
    <w:tmpl w:val="A4B6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295629"/>
    <w:multiLevelType w:val="multilevel"/>
    <w:tmpl w:val="536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6B5D71"/>
    <w:multiLevelType w:val="multilevel"/>
    <w:tmpl w:val="E26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E91CA5"/>
    <w:multiLevelType w:val="multilevel"/>
    <w:tmpl w:val="3F7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F52F30"/>
    <w:multiLevelType w:val="multilevel"/>
    <w:tmpl w:val="F5E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E0367A"/>
    <w:multiLevelType w:val="multilevel"/>
    <w:tmpl w:val="3EC8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870918"/>
    <w:multiLevelType w:val="multilevel"/>
    <w:tmpl w:val="3340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D56AFE"/>
    <w:multiLevelType w:val="multilevel"/>
    <w:tmpl w:val="E6D4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5429DD"/>
    <w:multiLevelType w:val="multilevel"/>
    <w:tmpl w:val="83F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8160409">
    <w:abstractNumId w:val="17"/>
  </w:num>
  <w:num w:numId="2" w16cid:durableId="705637439">
    <w:abstractNumId w:val="14"/>
  </w:num>
  <w:num w:numId="3" w16cid:durableId="1234854240">
    <w:abstractNumId w:val="34"/>
  </w:num>
  <w:num w:numId="4" w16cid:durableId="1131633449">
    <w:abstractNumId w:val="33"/>
  </w:num>
  <w:num w:numId="5" w16cid:durableId="635843561">
    <w:abstractNumId w:val="4"/>
  </w:num>
  <w:num w:numId="6" w16cid:durableId="759371768">
    <w:abstractNumId w:val="12"/>
  </w:num>
  <w:num w:numId="7" w16cid:durableId="1766731851">
    <w:abstractNumId w:val="16"/>
  </w:num>
  <w:num w:numId="8" w16cid:durableId="1757894643">
    <w:abstractNumId w:val="29"/>
  </w:num>
  <w:num w:numId="9" w16cid:durableId="576982413">
    <w:abstractNumId w:val="27"/>
  </w:num>
  <w:num w:numId="10" w16cid:durableId="2044743535">
    <w:abstractNumId w:val="8"/>
  </w:num>
  <w:num w:numId="11" w16cid:durableId="815298268">
    <w:abstractNumId w:val="7"/>
  </w:num>
  <w:num w:numId="12" w16cid:durableId="726496775">
    <w:abstractNumId w:val="11"/>
  </w:num>
  <w:num w:numId="13" w16cid:durableId="1226800403">
    <w:abstractNumId w:val="22"/>
  </w:num>
  <w:num w:numId="14" w16cid:durableId="1299652521">
    <w:abstractNumId w:val="6"/>
  </w:num>
  <w:num w:numId="15" w16cid:durableId="502623195">
    <w:abstractNumId w:val="24"/>
  </w:num>
  <w:num w:numId="16" w16cid:durableId="1066149636">
    <w:abstractNumId w:val="31"/>
  </w:num>
  <w:num w:numId="17" w16cid:durableId="158160395">
    <w:abstractNumId w:val="2"/>
  </w:num>
  <w:num w:numId="18" w16cid:durableId="127820185">
    <w:abstractNumId w:val="19"/>
  </w:num>
  <w:num w:numId="19" w16cid:durableId="1916888843">
    <w:abstractNumId w:val="3"/>
  </w:num>
  <w:num w:numId="20" w16cid:durableId="48262161">
    <w:abstractNumId w:val="28"/>
  </w:num>
  <w:num w:numId="21" w16cid:durableId="962004071">
    <w:abstractNumId w:val="15"/>
  </w:num>
  <w:num w:numId="22" w16cid:durableId="164053627">
    <w:abstractNumId w:val="0"/>
  </w:num>
  <w:num w:numId="23" w16cid:durableId="184564290">
    <w:abstractNumId w:val="21"/>
  </w:num>
  <w:num w:numId="24" w16cid:durableId="1085372351">
    <w:abstractNumId w:val="18"/>
  </w:num>
  <w:num w:numId="25" w16cid:durableId="183590465">
    <w:abstractNumId w:val="23"/>
  </w:num>
  <w:num w:numId="26" w16cid:durableId="317080464">
    <w:abstractNumId w:val="9"/>
  </w:num>
  <w:num w:numId="27" w16cid:durableId="929506505">
    <w:abstractNumId w:val="10"/>
  </w:num>
  <w:num w:numId="28" w16cid:durableId="1253317184">
    <w:abstractNumId w:val="30"/>
  </w:num>
  <w:num w:numId="29" w16cid:durableId="1758744383">
    <w:abstractNumId w:val="26"/>
  </w:num>
  <w:num w:numId="30" w16cid:durableId="175776611">
    <w:abstractNumId w:val="32"/>
  </w:num>
  <w:num w:numId="31" w16cid:durableId="1025446279">
    <w:abstractNumId w:val="25"/>
  </w:num>
  <w:num w:numId="32" w16cid:durableId="1880969591">
    <w:abstractNumId w:val="5"/>
  </w:num>
  <w:num w:numId="33" w16cid:durableId="1480465602">
    <w:abstractNumId w:val="35"/>
  </w:num>
  <w:num w:numId="34" w16cid:durableId="1527019912">
    <w:abstractNumId w:val="1"/>
  </w:num>
  <w:num w:numId="35" w16cid:durableId="757287744">
    <w:abstractNumId w:val="13"/>
  </w:num>
  <w:num w:numId="36" w16cid:durableId="388236666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15380"/>
    <w:rsid w:val="000232AE"/>
    <w:rsid w:val="00023C14"/>
    <w:rsid w:val="00032C6B"/>
    <w:rsid w:val="00034BD2"/>
    <w:rsid w:val="0003635E"/>
    <w:rsid w:val="000436D4"/>
    <w:rsid w:val="00047187"/>
    <w:rsid w:val="00057AF2"/>
    <w:rsid w:val="0006006C"/>
    <w:rsid w:val="0006316E"/>
    <w:rsid w:val="00067286"/>
    <w:rsid w:val="00067C3D"/>
    <w:rsid w:val="00077645"/>
    <w:rsid w:val="000904D0"/>
    <w:rsid w:val="00090592"/>
    <w:rsid w:val="00093738"/>
    <w:rsid w:val="00093DA3"/>
    <w:rsid w:val="00094780"/>
    <w:rsid w:val="000A32AA"/>
    <w:rsid w:val="000B0A4E"/>
    <w:rsid w:val="000B3F06"/>
    <w:rsid w:val="000C0090"/>
    <w:rsid w:val="000C6927"/>
    <w:rsid w:val="000D328C"/>
    <w:rsid w:val="000D4A3D"/>
    <w:rsid w:val="000D4C5A"/>
    <w:rsid w:val="000D63ED"/>
    <w:rsid w:val="000E40AB"/>
    <w:rsid w:val="000F11A7"/>
    <w:rsid w:val="00107603"/>
    <w:rsid w:val="00110790"/>
    <w:rsid w:val="00110C89"/>
    <w:rsid w:val="00111040"/>
    <w:rsid w:val="00113CFD"/>
    <w:rsid w:val="00115E71"/>
    <w:rsid w:val="001217C9"/>
    <w:rsid w:val="00123845"/>
    <w:rsid w:val="00126373"/>
    <w:rsid w:val="00141DC7"/>
    <w:rsid w:val="001574A3"/>
    <w:rsid w:val="00157A66"/>
    <w:rsid w:val="00186C67"/>
    <w:rsid w:val="001A4622"/>
    <w:rsid w:val="001A713F"/>
    <w:rsid w:val="001B2CC0"/>
    <w:rsid w:val="001B3D3D"/>
    <w:rsid w:val="001B6830"/>
    <w:rsid w:val="001B7A6E"/>
    <w:rsid w:val="001C053C"/>
    <w:rsid w:val="001D3B1D"/>
    <w:rsid w:val="001E0773"/>
    <w:rsid w:val="001E16B3"/>
    <w:rsid w:val="001E7D0B"/>
    <w:rsid w:val="001F05FA"/>
    <w:rsid w:val="001F1F60"/>
    <w:rsid w:val="001F3F7A"/>
    <w:rsid w:val="00200A3E"/>
    <w:rsid w:val="002017DD"/>
    <w:rsid w:val="00203468"/>
    <w:rsid w:val="0023082D"/>
    <w:rsid w:val="00234339"/>
    <w:rsid w:val="00236504"/>
    <w:rsid w:val="00236B46"/>
    <w:rsid w:val="0024072E"/>
    <w:rsid w:val="002503E6"/>
    <w:rsid w:val="0025097A"/>
    <w:rsid w:val="002547CC"/>
    <w:rsid w:val="00254C32"/>
    <w:rsid w:val="00261898"/>
    <w:rsid w:val="00262353"/>
    <w:rsid w:val="00293788"/>
    <w:rsid w:val="002A022F"/>
    <w:rsid w:val="002A1F43"/>
    <w:rsid w:val="002B5808"/>
    <w:rsid w:val="002C0196"/>
    <w:rsid w:val="002C1902"/>
    <w:rsid w:val="002C6FA4"/>
    <w:rsid w:val="002D36B6"/>
    <w:rsid w:val="002E2E19"/>
    <w:rsid w:val="002E5B49"/>
    <w:rsid w:val="002F7834"/>
    <w:rsid w:val="00300E9F"/>
    <w:rsid w:val="003011A0"/>
    <w:rsid w:val="003027D2"/>
    <w:rsid w:val="003037C2"/>
    <w:rsid w:val="00304225"/>
    <w:rsid w:val="003055AF"/>
    <w:rsid w:val="00305A09"/>
    <w:rsid w:val="0030751B"/>
    <w:rsid w:val="00330E45"/>
    <w:rsid w:val="00336939"/>
    <w:rsid w:val="003405C1"/>
    <w:rsid w:val="0034532B"/>
    <w:rsid w:val="003541CB"/>
    <w:rsid w:val="00354559"/>
    <w:rsid w:val="0036191C"/>
    <w:rsid w:val="00380FD8"/>
    <w:rsid w:val="003919E3"/>
    <w:rsid w:val="003A639A"/>
    <w:rsid w:val="003B0A40"/>
    <w:rsid w:val="003B4C2C"/>
    <w:rsid w:val="003B4D24"/>
    <w:rsid w:val="003C1ADD"/>
    <w:rsid w:val="003C269B"/>
    <w:rsid w:val="003C55FF"/>
    <w:rsid w:val="003C6290"/>
    <w:rsid w:val="003C7057"/>
    <w:rsid w:val="003E2944"/>
    <w:rsid w:val="003E4575"/>
    <w:rsid w:val="003E5B24"/>
    <w:rsid w:val="003E7492"/>
    <w:rsid w:val="00403964"/>
    <w:rsid w:val="00405C70"/>
    <w:rsid w:val="0041320A"/>
    <w:rsid w:val="00414046"/>
    <w:rsid w:val="004174B8"/>
    <w:rsid w:val="0044224C"/>
    <w:rsid w:val="00442BFC"/>
    <w:rsid w:val="00443391"/>
    <w:rsid w:val="004563E7"/>
    <w:rsid w:val="004764C5"/>
    <w:rsid w:val="0048025A"/>
    <w:rsid w:val="00490224"/>
    <w:rsid w:val="0049472B"/>
    <w:rsid w:val="00497710"/>
    <w:rsid w:val="004978DC"/>
    <w:rsid w:val="004A615A"/>
    <w:rsid w:val="004B1F72"/>
    <w:rsid w:val="004B20B1"/>
    <w:rsid w:val="004C46FB"/>
    <w:rsid w:val="004D00A0"/>
    <w:rsid w:val="004D35BC"/>
    <w:rsid w:val="004D5D93"/>
    <w:rsid w:val="004E334B"/>
    <w:rsid w:val="00511403"/>
    <w:rsid w:val="005117A5"/>
    <w:rsid w:val="005118F5"/>
    <w:rsid w:val="00524A87"/>
    <w:rsid w:val="005268CE"/>
    <w:rsid w:val="00526C51"/>
    <w:rsid w:val="00537C0E"/>
    <w:rsid w:val="00540222"/>
    <w:rsid w:val="0054618A"/>
    <w:rsid w:val="005553D7"/>
    <w:rsid w:val="0057132A"/>
    <w:rsid w:val="005817E1"/>
    <w:rsid w:val="0058293B"/>
    <w:rsid w:val="00585DBA"/>
    <w:rsid w:val="00587829"/>
    <w:rsid w:val="0059567C"/>
    <w:rsid w:val="005A1669"/>
    <w:rsid w:val="005C1761"/>
    <w:rsid w:val="005C5F9E"/>
    <w:rsid w:val="005C6582"/>
    <w:rsid w:val="005D45AA"/>
    <w:rsid w:val="005D70E4"/>
    <w:rsid w:val="005D7E7B"/>
    <w:rsid w:val="005E1712"/>
    <w:rsid w:val="005F30F7"/>
    <w:rsid w:val="005F3CE9"/>
    <w:rsid w:val="005F4466"/>
    <w:rsid w:val="00610ABB"/>
    <w:rsid w:val="00637953"/>
    <w:rsid w:val="00651F3E"/>
    <w:rsid w:val="00652693"/>
    <w:rsid w:val="006719D6"/>
    <w:rsid w:val="00680492"/>
    <w:rsid w:val="006840D5"/>
    <w:rsid w:val="006964E7"/>
    <w:rsid w:val="006A1184"/>
    <w:rsid w:val="006C4F95"/>
    <w:rsid w:val="006C6FBB"/>
    <w:rsid w:val="006D6F94"/>
    <w:rsid w:val="006E3050"/>
    <w:rsid w:val="006E792F"/>
    <w:rsid w:val="006F35B6"/>
    <w:rsid w:val="00704350"/>
    <w:rsid w:val="00714473"/>
    <w:rsid w:val="00725BB6"/>
    <w:rsid w:val="007304E5"/>
    <w:rsid w:val="0073335D"/>
    <w:rsid w:val="007415A4"/>
    <w:rsid w:val="00742DDA"/>
    <w:rsid w:val="00747DE2"/>
    <w:rsid w:val="007555AD"/>
    <w:rsid w:val="007647E2"/>
    <w:rsid w:val="00766430"/>
    <w:rsid w:val="00766C39"/>
    <w:rsid w:val="007710AD"/>
    <w:rsid w:val="0079317E"/>
    <w:rsid w:val="007A0768"/>
    <w:rsid w:val="007A28B9"/>
    <w:rsid w:val="007A6386"/>
    <w:rsid w:val="007A69FE"/>
    <w:rsid w:val="007B2EF2"/>
    <w:rsid w:val="007B4052"/>
    <w:rsid w:val="007B6D6B"/>
    <w:rsid w:val="007C6450"/>
    <w:rsid w:val="007E220A"/>
    <w:rsid w:val="007F1730"/>
    <w:rsid w:val="008108A0"/>
    <w:rsid w:val="008144A5"/>
    <w:rsid w:val="008225DA"/>
    <w:rsid w:val="0083252E"/>
    <w:rsid w:val="00833D5F"/>
    <w:rsid w:val="0083522C"/>
    <w:rsid w:val="00835588"/>
    <w:rsid w:val="00840AFB"/>
    <w:rsid w:val="00873AF4"/>
    <w:rsid w:val="008824AB"/>
    <w:rsid w:val="00882CBD"/>
    <w:rsid w:val="00896BF6"/>
    <w:rsid w:val="008A0179"/>
    <w:rsid w:val="008A0F8D"/>
    <w:rsid w:val="008B6059"/>
    <w:rsid w:val="008C0A88"/>
    <w:rsid w:val="008D058B"/>
    <w:rsid w:val="008D3E35"/>
    <w:rsid w:val="008D514B"/>
    <w:rsid w:val="008E19C3"/>
    <w:rsid w:val="008E1D08"/>
    <w:rsid w:val="008F4613"/>
    <w:rsid w:val="0090202E"/>
    <w:rsid w:val="00903CB6"/>
    <w:rsid w:val="0090612F"/>
    <w:rsid w:val="009127FF"/>
    <w:rsid w:val="00913D00"/>
    <w:rsid w:val="00915993"/>
    <w:rsid w:val="00922FD3"/>
    <w:rsid w:val="00926334"/>
    <w:rsid w:val="00927DEE"/>
    <w:rsid w:val="0094001A"/>
    <w:rsid w:val="0094641F"/>
    <w:rsid w:val="00947C59"/>
    <w:rsid w:val="009665D4"/>
    <w:rsid w:val="00966DA1"/>
    <w:rsid w:val="0097417F"/>
    <w:rsid w:val="00986838"/>
    <w:rsid w:val="009A28ED"/>
    <w:rsid w:val="009A2AFD"/>
    <w:rsid w:val="009A4820"/>
    <w:rsid w:val="009B0582"/>
    <w:rsid w:val="009D547F"/>
    <w:rsid w:val="009E1452"/>
    <w:rsid w:val="009E7618"/>
    <w:rsid w:val="009F6B7C"/>
    <w:rsid w:val="009F7922"/>
    <w:rsid w:val="009F7B99"/>
    <w:rsid w:val="00A05EF1"/>
    <w:rsid w:val="00A06A8E"/>
    <w:rsid w:val="00A07541"/>
    <w:rsid w:val="00A07B19"/>
    <w:rsid w:val="00A109D8"/>
    <w:rsid w:val="00A12C92"/>
    <w:rsid w:val="00A13E57"/>
    <w:rsid w:val="00A14064"/>
    <w:rsid w:val="00A22E91"/>
    <w:rsid w:val="00A40C14"/>
    <w:rsid w:val="00A43857"/>
    <w:rsid w:val="00A47614"/>
    <w:rsid w:val="00A62C5D"/>
    <w:rsid w:val="00A716FF"/>
    <w:rsid w:val="00A751DB"/>
    <w:rsid w:val="00A83F9D"/>
    <w:rsid w:val="00A84EEE"/>
    <w:rsid w:val="00A87169"/>
    <w:rsid w:val="00A927D2"/>
    <w:rsid w:val="00A93A62"/>
    <w:rsid w:val="00A9628F"/>
    <w:rsid w:val="00AA19C3"/>
    <w:rsid w:val="00AA6E11"/>
    <w:rsid w:val="00AA7A6E"/>
    <w:rsid w:val="00AB15AD"/>
    <w:rsid w:val="00AB1D3E"/>
    <w:rsid w:val="00AB547A"/>
    <w:rsid w:val="00AC5B87"/>
    <w:rsid w:val="00AD0FA7"/>
    <w:rsid w:val="00AE125A"/>
    <w:rsid w:val="00AE235F"/>
    <w:rsid w:val="00AE5AE6"/>
    <w:rsid w:val="00AE756D"/>
    <w:rsid w:val="00AF0900"/>
    <w:rsid w:val="00AF4B4D"/>
    <w:rsid w:val="00B00911"/>
    <w:rsid w:val="00B050E0"/>
    <w:rsid w:val="00B10C39"/>
    <w:rsid w:val="00B150A1"/>
    <w:rsid w:val="00B27F5C"/>
    <w:rsid w:val="00B33BCD"/>
    <w:rsid w:val="00B53F3A"/>
    <w:rsid w:val="00B54A56"/>
    <w:rsid w:val="00B62493"/>
    <w:rsid w:val="00B765E9"/>
    <w:rsid w:val="00B9181F"/>
    <w:rsid w:val="00B924B9"/>
    <w:rsid w:val="00B96573"/>
    <w:rsid w:val="00BA0F72"/>
    <w:rsid w:val="00BA1E05"/>
    <w:rsid w:val="00BB60B0"/>
    <w:rsid w:val="00BD32D1"/>
    <w:rsid w:val="00BD760B"/>
    <w:rsid w:val="00BE0EFA"/>
    <w:rsid w:val="00BE3229"/>
    <w:rsid w:val="00BE33AD"/>
    <w:rsid w:val="00BF6B5B"/>
    <w:rsid w:val="00C053C3"/>
    <w:rsid w:val="00C14FDD"/>
    <w:rsid w:val="00C151AA"/>
    <w:rsid w:val="00C3208B"/>
    <w:rsid w:val="00C35831"/>
    <w:rsid w:val="00C452B7"/>
    <w:rsid w:val="00C50B11"/>
    <w:rsid w:val="00C53A2D"/>
    <w:rsid w:val="00C54784"/>
    <w:rsid w:val="00C550DC"/>
    <w:rsid w:val="00C55D7E"/>
    <w:rsid w:val="00C56DD6"/>
    <w:rsid w:val="00C57746"/>
    <w:rsid w:val="00C6456D"/>
    <w:rsid w:val="00C74D8E"/>
    <w:rsid w:val="00C824D2"/>
    <w:rsid w:val="00C826C2"/>
    <w:rsid w:val="00C84EE3"/>
    <w:rsid w:val="00C90B55"/>
    <w:rsid w:val="00C92486"/>
    <w:rsid w:val="00C93D88"/>
    <w:rsid w:val="00CA3AD0"/>
    <w:rsid w:val="00CC107F"/>
    <w:rsid w:val="00CC3FCE"/>
    <w:rsid w:val="00CC4EEF"/>
    <w:rsid w:val="00CD3AF1"/>
    <w:rsid w:val="00CE2157"/>
    <w:rsid w:val="00CE3D55"/>
    <w:rsid w:val="00CE5E2D"/>
    <w:rsid w:val="00CE707C"/>
    <w:rsid w:val="00CF1515"/>
    <w:rsid w:val="00CF1A39"/>
    <w:rsid w:val="00D1725B"/>
    <w:rsid w:val="00D279C8"/>
    <w:rsid w:val="00D51C66"/>
    <w:rsid w:val="00D52EE5"/>
    <w:rsid w:val="00D53409"/>
    <w:rsid w:val="00D53B04"/>
    <w:rsid w:val="00D60EEA"/>
    <w:rsid w:val="00D631A7"/>
    <w:rsid w:val="00D73248"/>
    <w:rsid w:val="00DA605C"/>
    <w:rsid w:val="00DC02A7"/>
    <w:rsid w:val="00DC2F48"/>
    <w:rsid w:val="00DC2F62"/>
    <w:rsid w:val="00DC4B1C"/>
    <w:rsid w:val="00DC6925"/>
    <w:rsid w:val="00DD6084"/>
    <w:rsid w:val="00DE247E"/>
    <w:rsid w:val="00E0326F"/>
    <w:rsid w:val="00E126BF"/>
    <w:rsid w:val="00E13BC3"/>
    <w:rsid w:val="00E261E5"/>
    <w:rsid w:val="00E356F8"/>
    <w:rsid w:val="00E368C5"/>
    <w:rsid w:val="00E368E7"/>
    <w:rsid w:val="00E458B6"/>
    <w:rsid w:val="00E47046"/>
    <w:rsid w:val="00E61C85"/>
    <w:rsid w:val="00E62906"/>
    <w:rsid w:val="00E63E19"/>
    <w:rsid w:val="00E671BE"/>
    <w:rsid w:val="00E67E90"/>
    <w:rsid w:val="00E709C3"/>
    <w:rsid w:val="00E73FA2"/>
    <w:rsid w:val="00E754A2"/>
    <w:rsid w:val="00E75CA7"/>
    <w:rsid w:val="00E90C66"/>
    <w:rsid w:val="00EB6076"/>
    <w:rsid w:val="00EC2780"/>
    <w:rsid w:val="00EC7408"/>
    <w:rsid w:val="00EE391C"/>
    <w:rsid w:val="00EE3E34"/>
    <w:rsid w:val="00F00022"/>
    <w:rsid w:val="00F1038F"/>
    <w:rsid w:val="00F146B9"/>
    <w:rsid w:val="00F15648"/>
    <w:rsid w:val="00F24E91"/>
    <w:rsid w:val="00F25794"/>
    <w:rsid w:val="00F3537B"/>
    <w:rsid w:val="00F42658"/>
    <w:rsid w:val="00F442B7"/>
    <w:rsid w:val="00F448E4"/>
    <w:rsid w:val="00F47031"/>
    <w:rsid w:val="00F54EC6"/>
    <w:rsid w:val="00F653ED"/>
    <w:rsid w:val="00F66B9E"/>
    <w:rsid w:val="00F745BA"/>
    <w:rsid w:val="00F77C3B"/>
    <w:rsid w:val="00F83D7D"/>
    <w:rsid w:val="00FA4675"/>
    <w:rsid w:val="00FB40E9"/>
    <w:rsid w:val="00FC2060"/>
    <w:rsid w:val="00FC3896"/>
    <w:rsid w:val="00FC7714"/>
    <w:rsid w:val="00FD1832"/>
    <w:rsid w:val="00FD1D9D"/>
    <w:rsid w:val="00FD372F"/>
    <w:rsid w:val="00FE171C"/>
    <w:rsid w:val="00FE595B"/>
    <w:rsid w:val="00FE7913"/>
    <w:rsid w:val="00FF748F"/>
    <w:rsid w:val="070745B6"/>
    <w:rsid w:val="0822425F"/>
    <w:rsid w:val="099902FF"/>
    <w:rsid w:val="0CE7E0C4"/>
    <w:rsid w:val="0CEA26EE"/>
    <w:rsid w:val="0CF2DF70"/>
    <w:rsid w:val="0D13182C"/>
    <w:rsid w:val="0E3C0C5A"/>
    <w:rsid w:val="0EEC3E67"/>
    <w:rsid w:val="0F8235EC"/>
    <w:rsid w:val="10347DDC"/>
    <w:rsid w:val="1250FB2B"/>
    <w:rsid w:val="12BA127B"/>
    <w:rsid w:val="133A3A11"/>
    <w:rsid w:val="13DDB27B"/>
    <w:rsid w:val="1494A732"/>
    <w:rsid w:val="14F30265"/>
    <w:rsid w:val="15007C95"/>
    <w:rsid w:val="16947991"/>
    <w:rsid w:val="16C2C5E3"/>
    <w:rsid w:val="191D1884"/>
    <w:rsid w:val="1A80E9D8"/>
    <w:rsid w:val="1AC9B211"/>
    <w:rsid w:val="1ADF4C22"/>
    <w:rsid w:val="1B8C2041"/>
    <w:rsid w:val="1DF41077"/>
    <w:rsid w:val="2068EB6D"/>
    <w:rsid w:val="23B65D0E"/>
    <w:rsid w:val="23CBA564"/>
    <w:rsid w:val="24BE7607"/>
    <w:rsid w:val="255DC2CC"/>
    <w:rsid w:val="26581C28"/>
    <w:rsid w:val="290D7F91"/>
    <w:rsid w:val="29EDA3BD"/>
    <w:rsid w:val="2ACB5246"/>
    <w:rsid w:val="2B5A6284"/>
    <w:rsid w:val="2EF55B23"/>
    <w:rsid w:val="33AEF776"/>
    <w:rsid w:val="3433CDF6"/>
    <w:rsid w:val="3496A0DF"/>
    <w:rsid w:val="351818C5"/>
    <w:rsid w:val="36156877"/>
    <w:rsid w:val="37CDB095"/>
    <w:rsid w:val="381B587A"/>
    <w:rsid w:val="3861BFF8"/>
    <w:rsid w:val="390910E7"/>
    <w:rsid w:val="3C86A298"/>
    <w:rsid w:val="3F365A9F"/>
    <w:rsid w:val="3F472672"/>
    <w:rsid w:val="4013075D"/>
    <w:rsid w:val="40686A50"/>
    <w:rsid w:val="4074F409"/>
    <w:rsid w:val="43503D87"/>
    <w:rsid w:val="462EBA43"/>
    <w:rsid w:val="4A40134F"/>
    <w:rsid w:val="4A54846F"/>
    <w:rsid w:val="4D37D199"/>
    <w:rsid w:val="4ECEF0D9"/>
    <w:rsid w:val="5180E3EA"/>
    <w:rsid w:val="5275D8A1"/>
    <w:rsid w:val="531ACDD1"/>
    <w:rsid w:val="53B77FF2"/>
    <w:rsid w:val="543B4B6E"/>
    <w:rsid w:val="56A86104"/>
    <w:rsid w:val="58371AEC"/>
    <w:rsid w:val="58E28651"/>
    <w:rsid w:val="5AD1CC58"/>
    <w:rsid w:val="5CDC82B1"/>
    <w:rsid w:val="5D8CFDE6"/>
    <w:rsid w:val="5EF441A6"/>
    <w:rsid w:val="5FA77211"/>
    <w:rsid w:val="6193B8DA"/>
    <w:rsid w:val="6857E79C"/>
    <w:rsid w:val="693F8CE6"/>
    <w:rsid w:val="6991DCC9"/>
    <w:rsid w:val="69AF427D"/>
    <w:rsid w:val="6A2CD333"/>
    <w:rsid w:val="6BC15D4A"/>
    <w:rsid w:val="6D9E4083"/>
    <w:rsid w:val="6E55D59D"/>
    <w:rsid w:val="6F3DBE04"/>
    <w:rsid w:val="70DDED99"/>
    <w:rsid w:val="71AE1263"/>
    <w:rsid w:val="72637BCE"/>
    <w:rsid w:val="7523B5A6"/>
    <w:rsid w:val="7543AFA9"/>
    <w:rsid w:val="7816CBF4"/>
    <w:rsid w:val="7854D387"/>
    <w:rsid w:val="78F17BEC"/>
    <w:rsid w:val="7AA76225"/>
    <w:rsid w:val="7D035D0B"/>
    <w:rsid w:val="7D99FE3F"/>
    <w:rsid w:val="7D9FA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1E34A501-B445-478E-8F4F-8D05F79B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customStyle="1" w:styleId="eop">
    <w:name w:val="eop"/>
    <w:basedOn w:val="DefaultParagraphFont"/>
    <w:uiPriority w:val="1"/>
    <w:rsid w:val="00A07541"/>
  </w:style>
  <w:style w:type="character" w:styleId="CommentReference">
    <w:name w:val="annotation reference"/>
    <w:basedOn w:val="DefaultParagraphFont"/>
    <w:uiPriority w:val="99"/>
    <w:semiHidden/>
    <w:unhideWhenUsed/>
    <w:rsid w:val="007B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5EF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4A7B6-AED2-4BD9-A41D-58927EA8D0E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827632FB-51A4-4822-970B-FCAF7657A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BE06-9DD5-4D92-9CA7-08B95B6A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20, 2025 Regular Meeting Item 4: Educator Licensure: Amendments to Regulations on Educator Licensure and Preparation Program Approval, 603 CMR 7.00 (MTEL Alternatives and Other Updates)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20, 2025 Regular Meeting Item 4 Attachment: Proposed Final Regulations</dc:title>
  <dc:subject/>
  <dc:creator>DESE</dc:creator>
  <cp:keywords/>
  <dc:description/>
  <cp:lastModifiedBy>Zou, Dong (EOE)</cp:lastModifiedBy>
  <cp:revision>7</cp:revision>
  <dcterms:created xsi:type="dcterms:W3CDTF">2025-05-13T19:43:00Z</dcterms:created>
  <dcterms:modified xsi:type="dcterms:W3CDTF">2025-05-15T03:19:00Z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2025 12:00AM</vt:lpwstr>
  </property>
</Properties>
</file>