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F3508" w14:textId="77777777" w:rsidR="00C3665B" w:rsidRPr="00C3665B" w:rsidRDefault="00C3665B" w:rsidP="00C3665B">
      <w:pPr>
        <w:keepNext/>
        <w:keepLines/>
        <w:spacing w:before="36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3665B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C3665B" w:rsidRDefault="00C3665B" w:rsidP="00C3665B">
      <w:pPr>
        <w:widowControl w:val="0"/>
        <w:tabs>
          <w:tab w:val="center" w:pos="4680"/>
          <w:tab w:val="right" w:pos="9360"/>
        </w:tabs>
        <w:spacing w:after="0" w:line="240" w:lineRule="auto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3665B" w:rsidRPr="00C3665B" w14:paraId="30B0F129" w14:textId="77777777" w:rsidTr="40387C09">
        <w:tc>
          <w:tcPr>
            <w:tcW w:w="1184" w:type="dxa"/>
          </w:tcPr>
          <w:p w14:paraId="4BEB8732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To:</w:t>
            </w:r>
          </w:p>
        </w:tc>
        <w:tc>
          <w:tcPr>
            <w:tcW w:w="8176" w:type="dxa"/>
          </w:tcPr>
          <w:p w14:paraId="25AE7450" w14:textId="5316704E" w:rsidR="00C3665B" w:rsidRPr="00C3665B" w:rsidRDefault="00C148FC" w:rsidP="7490E63A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ptos" w:eastAsia="Aptos" w:hAnsi="Aptos" w:cs="Aptos"/>
                <w:snapToGrid w:val="0"/>
              </w:rPr>
            </w:pPr>
            <w:r w:rsidRPr="00C148FC">
              <w:rPr>
                <w:rFonts w:ascii="Aptos" w:eastAsia="Aptos" w:hAnsi="Aptos" w:cs="Aptos"/>
                <w:color w:val="000000" w:themeColor="text1"/>
              </w:rPr>
              <w:t>Members of the Board of Elementary and Secondary Education</w:t>
            </w:r>
          </w:p>
        </w:tc>
      </w:tr>
      <w:tr w:rsidR="00C3665B" w:rsidRPr="00C3665B" w14:paraId="014ADFC2" w14:textId="77777777" w:rsidTr="40387C09">
        <w:tc>
          <w:tcPr>
            <w:tcW w:w="1184" w:type="dxa"/>
          </w:tcPr>
          <w:p w14:paraId="0F20926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From:</w:t>
            </w:r>
            <w:r w:rsidRPr="00C3665B">
              <w:tab/>
            </w:r>
          </w:p>
        </w:tc>
        <w:tc>
          <w:tcPr>
            <w:tcW w:w="8176" w:type="dxa"/>
          </w:tcPr>
          <w:p w14:paraId="6F9D5175" w14:textId="10BBCD26" w:rsidR="00C3665B" w:rsidRPr="00C3665B" w:rsidRDefault="00E0707D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Patrick Tutwiler</w:t>
            </w:r>
            <w:r w:rsidR="00C3665B" w:rsidRPr="00C3665B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Interim</w:t>
            </w:r>
            <w:r w:rsidR="00C3665B" w:rsidRPr="00C3665B">
              <w:rPr>
                <w:bCs/>
                <w:snapToGrid w:val="0"/>
              </w:rPr>
              <w:t xml:space="preserve"> Commissioner</w:t>
            </w:r>
          </w:p>
        </w:tc>
      </w:tr>
      <w:tr w:rsidR="00C3665B" w:rsidRPr="00C3665B" w14:paraId="02FD8403" w14:textId="77777777" w:rsidTr="40387C09">
        <w:tc>
          <w:tcPr>
            <w:tcW w:w="1184" w:type="dxa"/>
          </w:tcPr>
          <w:p w14:paraId="3076B87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Date:</w:t>
            </w:r>
            <w:r w:rsidRPr="00C3665B">
              <w:tab/>
            </w:r>
          </w:p>
        </w:tc>
        <w:tc>
          <w:tcPr>
            <w:tcW w:w="8176" w:type="dxa"/>
          </w:tcPr>
          <w:p w14:paraId="558FA6C4" w14:textId="0D044254" w:rsidR="00C3665B" w:rsidRPr="00C3665B" w:rsidRDefault="002F2810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t xml:space="preserve">June </w:t>
            </w:r>
            <w:r w:rsidR="0A6202CE">
              <w:t>17</w:t>
            </w:r>
            <w:r w:rsidR="620257C7">
              <w:t>,</w:t>
            </w:r>
            <w:r w:rsidR="00C3665B">
              <w:t xml:space="preserve"> 202</w:t>
            </w:r>
            <w:r w:rsidR="72835579">
              <w:t>5</w:t>
            </w:r>
          </w:p>
        </w:tc>
      </w:tr>
      <w:tr w:rsidR="00C3665B" w:rsidRPr="00C3665B" w14:paraId="3A43128D" w14:textId="77777777" w:rsidTr="40387C09">
        <w:tc>
          <w:tcPr>
            <w:tcW w:w="1184" w:type="dxa"/>
          </w:tcPr>
          <w:p w14:paraId="52BE17F1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1A962E0" w14:textId="34E91CFF" w:rsidR="00C3665B" w:rsidRPr="00C3665B" w:rsidRDefault="65E1EEA8" w:rsidP="576581F6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Style w:val="normaltextrun"/>
                <w:rFonts w:ascii="Aptos" w:eastAsia="Aptos" w:hAnsi="Aptos" w:cs="Aptos"/>
                <w:snapToGrid w:val="0"/>
                <w:color w:val="000000" w:themeColor="text1"/>
              </w:rPr>
            </w:pPr>
            <w:r w:rsidRPr="40387C09">
              <w:rPr>
                <w:rStyle w:val="normaltextrun"/>
                <w:rFonts w:ascii="Aptos" w:eastAsia="Aptos" w:hAnsi="Aptos" w:cs="Aptos"/>
                <w:color w:val="000000" w:themeColor="text1"/>
              </w:rPr>
              <w:t>Exit</w:t>
            </w:r>
            <w:r w:rsidR="5059206D" w:rsidRPr="40387C09">
              <w:rPr>
                <w:rStyle w:val="normaltextrun"/>
                <w:rFonts w:ascii="Aptos" w:eastAsia="Aptos" w:hAnsi="Aptos" w:cs="Aptos"/>
                <w:color w:val="000000" w:themeColor="text1"/>
              </w:rPr>
              <w:t xml:space="preserve"> Determination on</w:t>
            </w:r>
            <w:r w:rsidRPr="40387C09">
              <w:rPr>
                <w:rStyle w:val="normaltextrun"/>
                <w:rFonts w:ascii="Aptos" w:eastAsia="Aptos" w:hAnsi="Aptos" w:cs="Aptos"/>
                <w:color w:val="000000" w:themeColor="text1"/>
              </w:rPr>
              <w:t xml:space="preserve"> the Holyoke Public Schools from Chronically Underperforming Status</w:t>
            </w:r>
          </w:p>
        </w:tc>
      </w:tr>
    </w:tbl>
    <w:p w14:paraId="3A2B89A2" w14:textId="77777777" w:rsidR="00C3665B" w:rsidRPr="00C3665B" w:rsidRDefault="00C3665B" w:rsidP="00C3665B">
      <w:pPr>
        <w:pBdr>
          <w:bottom w:val="single" w:sz="4" w:space="1" w:color="auto"/>
        </w:pBdr>
        <w:spacing w:after="0"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46FBEE1" w14:textId="77777777" w:rsidR="00B150A1" w:rsidRDefault="00B150A1"/>
    <w:p w14:paraId="454239BF" w14:textId="77777777" w:rsidR="002E4BDE" w:rsidRDefault="002E4BDE">
      <w:pPr>
        <w:sectPr w:rsidR="002E4BDE" w:rsidSect="00725BB6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6AAA2F" w14:textId="1BDF61F5" w:rsidR="00763B08" w:rsidRDefault="00F706AA">
      <w:r>
        <w:t xml:space="preserve">At </w:t>
      </w:r>
      <w:r w:rsidR="42329676">
        <w:t>the</w:t>
      </w:r>
      <w:r>
        <w:t xml:space="preserve"> June 24</w:t>
      </w:r>
      <w:r w:rsidR="5A75C54F">
        <w:t>,</w:t>
      </w:r>
      <w:r>
        <w:t xml:space="preserve"> </w:t>
      </w:r>
      <w:proofErr w:type="gramStart"/>
      <w:r w:rsidR="50D804A2">
        <w:t>2025</w:t>
      </w:r>
      <w:proofErr w:type="gramEnd"/>
      <w:r w:rsidR="50D804A2">
        <w:t xml:space="preserve"> </w:t>
      </w:r>
      <w:r>
        <w:t>meeting of the Board of Elementary and Secondary Education</w:t>
      </w:r>
      <w:r w:rsidR="796C57CB">
        <w:t xml:space="preserve"> (Board)</w:t>
      </w:r>
      <w:r>
        <w:t xml:space="preserve">, I </w:t>
      </w:r>
      <w:r w:rsidR="409197AF">
        <w:t xml:space="preserve">will provide </w:t>
      </w:r>
      <w:r w:rsidR="2EF4006B">
        <w:t xml:space="preserve">an update </w:t>
      </w:r>
      <w:r>
        <w:t>on the</w:t>
      </w:r>
      <w:r w:rsidR="00852FC4">
        <w:t xml:space="preserve"> </w:t>
      </w:r>
      <w:r w:rsidR="00FA5D3E">
        <w:t xml:space="preserve">status of </w:t>
      </w:r>
      <w:r w:rsidR="2D3B7BD8">
        <w:t xml:space="preserve">the </w:t>
      </w:r>
      <w:r w:rsidR="00FA5D3E">
        <w:t xml:space="preserve">Holyoke Public Schools’ </w:t>
      </w:r>
      <w:r w:rsidR="7E917C6B">
        <w:t xml:space="preserve">(HPS) </w:t>
      </w:r>
      <w:r w:rsidR="00FA5D3E">
        <w:t>transition out of state receivership.</w:t>
      </w:r>
      <w:r w:rsidR="002A087C">
        <w:t xml:space="preserve"> At the October 29, </w:t>
      </w:r>
      <w:proofErr w:type="gramStart"/>
      <w:r w:rsidR="002A087C">
        <w:t>2024</w:t>
      </w:r>
      <w:proofErr w:type="gramEnd"/>
      <w:r w:rsidR="002A087C">
        <w:t xml:space="preserve"> Board meeting, Acting Commissioner Russell Johnston announced his </w:t>
      </w:r>
      <w:r w:rsidR="00D83A2B">
        <w:t xml:space="preserve">provisional decision to </w:t>
      </w:r>
      <w:r w:rsidR="001A0BAB">
        <w:t>remove H</w:t>
      </w:r>
      <w:r w:rsidR="278CA460">
        <w:t>PS</w:t>
      </w:r>
      <w:r w:rsidR="001A0BAB">
        <w:t xml:space="preserve"> from chronically underperforming status</w:t>
      </w:r>
      <w:r w:rsidR="00324827">
        <w:t xml:space="preserve"> at the end of the school year, anticipated </w:t>
      </w:r>
      <w:r w:rsidR="4C216F3B">
        <w:t xml:space="preserve">to be </w:t>
      </w:r>
      <w:r w:rsidR="00324827">
        <w:t>July 1, 2025.</w:t>
      </w:r>
      <w:r w:rsidR="00952800">
        <w:t xml:space="preserve"> </w:t>
      </w:r>
      <w:r w:rsidR="0C7BA861">
        <w:t xml:space="preserve">Acting </w:t>
      </w:r>
      <w:r w:rsidR="00E13B52">
        <w:t>Commissioner Johnston specified in his announcement that the</w:t>
      </w:r>
      <w:r w:rsidR="005D50BB">
        <w:t xml:space="preserve"> provisional exit</w:t>
      </w:r>
      <w:r w:rsidR="00E13B52">
        <w:t xml:space="preserve"> decision </w:t>
      </w:r>
      <w:r w:rsidR="002A7BF8">
        <w:t xml:space="preserve">would be finalized in June 2025 based upon the Holyoke School Committee’s </w:t>
      </w:r>
      <w:r w:rsidR="7A5D1DF9">
        <w:t xml:space="preserve">(HSC) </w:t>
      </w:r>
      <w:r w:rsidR="002A7BF8">
        <w:t>progress toward implementing its capacity</w:t>
      </w:r>
      <w:r w:rsidR="00763B08">
        <w:t xml:space="preserve"> building plan.</w:t>
      </w:r>
    </w:p>
    <w:p w14:paraId="22A91E27" w14:textId="50D2825C" w:rsidR="00584FD4" w:rsidRDefault="005B5C05">
      <w:r>
        <w:t xml:space="preserve">Since the </w:t>
      </w:r>
      <w:r w:rsidR="00A23ADE">
        <w:t xml:space="preserve">announcement of the provisional exit decision, </w:t>
      </w:r>
      <w:r w:rsidR="00D22E9A">
        <w:t>the H</w:t>
      </w:r>
      <w:r w:rsidR="7B1142D3">
        <w:t>SC</w:t>
      </w:r>
      <w:r w:rsidR="00D22E9A">
        <w:t xml:space="preserve"> has </w:t>
      </w:r>
      <w:r w:rsidR="00C94B6F">
        <w:t xml:space="preserve">shared regular progress updates </w:t>
      </w:r>
      <w:r w:rsidR="00682223">
        <w:t xml:space="preserve">on the implementation of its capacity building plan </w:t>
      </w:r>
      <w:r w:rsidR="00C94B6F">
        <w:t xml:space="preserve">with </w:t>
      </w:r>
      <w:r w:rsidR="00682223">
        <w:t xml:space="preserve">then Acting Commissioner Johnston and now myself. As outlined in the plan, </w:t>
      </w:r>
      <w:proofErr w:type="gramStart"/>
      <w:r w:rsidR="00682223">
        <w:t>the</w:t>
      </w:r>
      <w:r w:rsidR="00943D5E">
        <w:t xml:space="preserve"> HSC</w:t>
      </w:r>
      <w:proofErr w:type="gramEnd"/>
      <w:r w:rsidR="00943D5E">
        <w:t xml:space="preserve"> has </w:t>
      </w:r>
      <w:r w:rsidR="00E10ECB">
        <w:t xml:space="preserve">systematically prepared to resume local control of </w:t>
      </w:r>
      <w:r w:rsidR="62FC2C64">
        <w:t>HPS</w:t>
      </w:r>
      <w:r w:rsidR="00AC432D">
        <w:t xml:space="preserve"> through </w:t>
      </w:r>
      <w:proofErr w:type="gramStart"/>
      <w:r w:rsidR="00AC432D">
        <w:t>trainings</w:t>
      </w:r>
      <w:proofErr w:type="gramEnd"/>
      <w:r w:rsidR="00AC432D">
        <w:t xml:space="preserve"> and governance activities </w:t>
      </w:r>
      <w:r w:rsidR="00081D37">
        <w:t xml:space="preserve">in the core areas of </w:t>
      </w:r>
      <w:r w:rsidR="007304DF">
        <w:t xml:space="preserve">policy development, finance and budget development, and superintendent hiring and evaluation. </w:t>
      </w:r>
    </w:p>
    <w:p w14:paraId="2C63699D" w14:textId="427BCEFC" w:rsidR="00D22E9A" w:rsidRDefault="00BC454B">
      <w:r>
        <w:t>During the discussion of this item at our</w:t>
      </w:r>
      <w:r w:rsidR="00B5032D">
        <w:t xml:space="preserve"> June 24</w:t>
      </w:r>
      <w:r w:rsidR="007F4181">
        <w:t xml:space="preserve"> meeting</w:t>
      </w:r>
      <w:r w:rsidR="00B5032D">
        <w:t xml:space="preserve">, </w:t>
      </w:r>
      <w:r w:rsidR="00E46354">
        <w:t xml:space="preserve">Mayor and Holyoke School Committee Chair Joshua A. Garcia, </w:t>
      </w:r>
      <w:r w:rsidR="002505F3">
        <w:t xml:space="preserve">Holyoke </w:t>
      </w:r>
      <w:r w:rsidR="00E46354">
        <w:t>School Committee Vice</w:t>
      </w:r>
      <w:r w:rsidR="002505F3">
        <w:t xml:space="preserve"> </w:t>
      </w:r>
      <w:r w:rsidR="00E46354">
        <w:t xml:space="preserve">Chair </w:t>
      </w:r>
      <w:r w:rsidR="002505F3">
        <w:t xml:space="preserve">Dr. </w:t>
      </w:r>
      <w:proofErr w:type="spellStart"/>
      <w:r w:rsidR="002505F3">
        <w:t>Yadilette</w:t>
      </w:r>
      <w:proofErr w:type="spellEnd"/>
      <w:r w:rsidR="002505F3">
        <w:t xml:space="preserve"> Rivera Colón, and H</w:t>
      </w:r>
      <w:r w:rsidR="11E23FB4">
        <w:t>olyoke Public Schools</w:t>
      </w:r>
      <w:r w:rsidR="002505F3">
        <w:t xml:space="preserve"> Receiver Anthony Soto </w:t>
      </w:r>
      <w:r w:rsidR="001129C9">
        <w:t>will be in attendance.</w:t>
      </w:r>
      <w:r w:rsidR="00682223">
        <w:t xml:space="preserve"> </w:t>
      </w:r>
    </w:p>
    <w:p w14:paraId="66232CDF" w14:textId="77777777" w:rsidR="00725BB6" w:rsidRDefault="00725BB6"/>
    <w:p w14:paraId="580527A8" w14:textId="77777777" w:rsidR="00725BB6" w:rsidRDefault="00725BB6"/>
    <w:p w14:paraId="21E0F0DB" w14:textId="77777777" w:rsidR="00725BB6" w:rsidRDefault="00725BB6"/>
    <w:p w14:paraId="05E98211" w14:textId="66CB6DBC" w:rsidR="00E63E19" w:rsidRDefault="00E63E19" w:rsidP="1549ED0D"/>
    <w:p w14:paraId="1258AC9C" w14:textId="11BBCF60" w:rsidR="00E63E19" w:rsidRDefault="00E63E19" w:rsidP="1549ED0D"/>
    <w:sectPr w:rsidR="00E63E19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0AFD" w14:textId="77777777" w:rsidR="004B0247" w:rsidRDefault="004B0247" w:rsidP="00C84EE3">
      <w:pPr>
        <w:spacing w:after="0" w:line="240" w:lineRule="auto"/>
      </w:pPr>
      <w:r>
        <w:separator/>
      </w:r>
    </w:p>
  </w:endnote>
  <w:endnote w:type="continuationSeparator" w:id="0">
    <w:p w14:paraId="3DA3EF64" w14:textId="77777777" w:rsidR="004B0247" w:rsidRDefault="004B0247" w:rsidP="00C8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14F5DE" wp14:editId="16DE362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91FC6C5" wp14:editId="4D60B8D2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A2E8" w14:textId="77777777" w:rsidR="004B0247" w:rsidRDefault="004B0247" w:rsidP="00C84EE3">
      <w:pPr>
        <w:spacing w:after="0" w:line="240" w:lineRule="auto"/>
      </w:pPr>
      <w:r>
        <w:separator/>
      </w:r>
    </w:p>
  </w:footnote>
  <w:footnote w:type="continuationSeparator" w:id="0">
    <w:p w14:paraId="4B22AEFA" w14:textId="77777777" w:rsidR="004B0247" w:rsidRDefault="004B0247" w:rsidP="00C8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7D3C57B9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15A37"/>
    <w:rsid w:val="00032C6B"/>
    <w:rsid w:val="00081D37"/>
    <w:rsid w:val="000F11A7"/>
    <w:rsid w:val="001129C9"/>
    <w:rsid w:val="00145BF2"/>
    <w:rsid w:val="00172054"/>
    <w:rsid w:val="001A0BAB"/>
    <w:rsid w:val="001B3D3D"/>
    <w:rsid w:val="001B536A"/>
    <w:rsid w:val="001C29AD"/>
    <w:rsid w:val="001D7537"/>
    <w:rsid w:val="002004B6"/>
    <w:rsid w:val="00204F1B"/>
    <w:rsid w:val="002505F3"/>
    <w:rsid w:val="0025580A"/>
    <w:rsid w:val="002A087C"/>
    <w:rsid w:val="002A7BF8"/>
    <w:rsid w:val="002B02E2"/>
    <w:rsid w:val="002E4BDE"/>
    <w:rsid w:val="002E7BD1"/>
    <w:rsid w:val="002F2810"/>
    <w:rsid w:val="002F5FAC"/>
    <w:rsid w:val="00324827"/>
    <w:rsid w:val="003516FF"/>
    <w:rsid w:val="003653B9"/>
    <w:rsid w:val="00423024"/>
    <w:rsid w:val="00474266"/>
    <w:rsid w:val="004B0247"/>
    <w:rsid w:val="004C46FB"/>
    <w:rsid w:val="00584FD4"/>
    <w:rsid w:val="005B5C05"/>
    <w:rsid w:val="005D50BB"/>
    <w:rsid w:val="00630A71"/>
    <w:rsid w:val="00682223"/>
    <w:rsid w:val="007120BD"/>
    <w:rsid w:val="00725BB6"/>
    <w:rsid w:val="007304DF"/>
    <w:rsid w:val="007415A4"/>
    <w:rsid w:val="007519D2"/>
    <w:rsid w:val="00763B08"/>
    <w:rsid w:val="007647E2"/>
    <w:rsid w:val="007C65DD"/>
    <w:rsid w:val="007F4181"/>
    <w:rsid w:val="00852FC4"/>
    <w:rsid w:val="008951AF"/>
    <w:rsid w:val="00922FD3"/>
    <w:rsid w:val="00943D5E"/>
    <w:rsid w:val="00952800"/>
    <w:rsid w:val="009A28ED"/>
    <w:rsid w:val="009F7726"/>
    <w:rsid w:val="00A23ADE"/>
    <w:rsid w:val="00A47614"/>
    <w:rsid w:val="00AB547A"/>
    <w:rsid w:val="00AC432D"/>
    <w:rsid w:val="00B150A1"/>
    <w:rsid w:val="00B4615F"/>
    <w:rsid w:val="00B5032D"/>
    <w:rsid w:val="00B81B99"/>
    <w:rsid w:val="00BC454B"/>
    <w:rsid w:val="00BE0EFA"/>
    <w:rsid w:val="00C148FC"/>
    <w:rsid w:val="00C3665B"/>
    <w:rsid w:val="00C824D2"/>
    <w:rsid w:val="00C84EE3"/>
    <w:rsid w:val="00C94B6F"/>
    <w:rsid w:val="00D22E9A"/>
    <w:rsid w:val="00D83A2B"/>
    <w:rsid w:val="00DD4701"/>
    <w:rsid w:val="00E0707D"/>
    <w:rsid w:val="00E10ECB"/>
    <w:rsid w:val="00E13B52"/>
    <w:rsid w:val="00E46354"/>
    <w:rsid w:val="00E63E19"/>
    <w:rsid w:val="00F00022"/>
    <w:rsid w:val="00F24E91"/>
    <w:rsid w:val="00F706AA"/>
    <w:rsid w:val="00FA5D3E"/>
    <w:rsid w:val="00FD6A96"/>
    <w:rsid w:val="034BDB87"/>
    <w:rsid w:val="04F66CFD"/>
    <w:rsid w:val="068B2C98"/>
    <w:rsid w:val="08937C04"/>
    <w:rsid w:val="098D5EF2"/>
    <w:rsid w:val="0A6202CE"/>
    <w:rsid w:val="0B23F0C0"/>
    <w:rsid w:val="0B7587BC"/>
    <w:rsid w:val="0B9BFC2C"/>
    <w:rsid w:val="0BAB9282"/>
    <w:rsid w:val="0C7BA861"/>
    <w:rsid w:val="0CBB060D"/>
    <w:rsid w:val="11E23FB4"/>
    <w:rsid w:val="145D735A"/>
    <w:rsid w:val="1549ED0D"/>
    <w:rsid w:val="20551977"/>
    <w:rsid w:val="244ABC2C"/>
    <w:rsid w:val="278CA460"/>
    <w:rsid w:val="29610792"/>
    <w:rsid w:val="2A5CEB0F"/>
    <w:rsid w:val="2CC8BAAE"/>
    <w:rsid w:val="2D3B7BD8"/>
    <w:rsid w:val="2EF4006B"/>
    <w:rsid w:val="30DB479F"/>
    <w:rsid w:val="332132A4"/>
    <w:rsid w:val="375B00D4"/>
    <w:rsid w:val="3C089AB4"/>
    <w:rsid w:val="3DFA4751"/>
    <w:rsid w:val="40387C09"/>
    <w:rsid w:val="409197AF"/>
    <w:rsid w:val="42329676"/>
    <w:rsid w:val="45A980F8"/>
    <w:rsid w:val="46A8C622"/>
    <w:rsid w:val="4B51388B"/>
    <w:rsid w:val="4C216F3B"/>
    <w:rsid w:val="4D370DA8"/>
    <w:rsid w:val="5059206D"/>
    <w:rsid w:val="50D804A2"/>
    <w:rsid w:val="520205C0"/>
    <w:rsid w:val="54537A78"/>
    <w:rsid w:val="55218FB9"/>
    <w:rsid w:val="55B73D35"/>
    <w:rsid w:val="576581F6"/>
    <w:rsid w:val="5A75C54F"/>
    <w:rsid w:val="5B69D71A"/>
    <w:rsid w:val="620257C7"/>
    <w:rsid w:val="62FC2C64"/>
    <w:rsid w:val="6538E24B"/>
    <w:rsid w:val="65E1EEA8"/>
    <w:rsid w:val="673C6F54"/>
    <w:rsid w:val="6C7F4CC6"/>
    <w:rsid w:val="72835579"/>
    <w:rsid w:val="7490E63A"/>
    <w:rsid w:val="796C57CB"/>
    <w:rsid w:val="7A5D1DF9"/>
    <w:rsid w:val="7B1142D3"/>
    <w:rsid w:val="7BA412E0"/>
    <w:rsid w:val="7CBB50B6"/>
    <w:rsid w:val="7E9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customStyle="1" w:styleId="normaltextrun">
    <w:name w:val="normaltextrun"/>
    <w:basedOn w:val="DefaultParagraphFont"/>
    <w:uiPriority w:val="1"/>
    <w:rsid w:val="7490E63A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7BA412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4C0F8569-A3F0-4CAA-AC3E-6311498C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24, 2025 Regular Meeting Item 2: Exit Determination on the Holyoke Public Schools from Chronically Underperforming Status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24, 2025 Regular Meeting Item 2: Exit Determination on the Holyoke Public Schools from Chronically Underperforming Status</dc:title>
  <dc:subject/>
  <dc:creator>DESE</dc:creator>
  <cp:keywords/>
  <dc:description/>
  <cp:lastModifiedBy>Zou, Dong (EOE)</cp:lastModifiedBy>
  <cp:revision>7</cp:revision>
  <dcterms:created xsi:type="dcterms:W3CDTF">2025-05-27T11:04:00Z</dcterms:created>
  <dcterms:modified xsi:type="dcterms:W3CDTF">2025-06-18T21:47:00Z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2025 12:00AM</vt:lpwstr>
  </property>
</Properties>
</file>