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ED6A" w14:textId="61F2F368" w:rsidR="00D848E2" w:rsidRPr="002005EA" w:rsidRDefault="00D232C2" w:rsidP="002005EA">
      <w:pPr>
        <w:pStyle w:val="Heading1"/>
      </w:pPr>
      <w:r w:rsidRPr="002005EA">
        <w:t>Propose</w:t>
      </w:r>
      <w:r w:rsidR="00153887" w:rsidRPr="002005EA">
        <w:t>d Am</w:t>
      </w:r>
      <w:r w:rsidR="00637184" w:rsidRPr="002005EA">
        <w:t>endment</w:t>
      </w:r>
      <w:r w:rsidR="000F42E3" w:rsidRPr="002005EA">
        <w:t xml:space="preserve">s to </w:t>
      </w:r>
      <w:r w:rsidR="008D46C0" w:rsidRPr="002005EA">
        <w:t>Re</w:t>
      </w:r>
      <w:r w:rsidR="005A4982" w:rsidRPr="002005EA">
        <w:t>gulati</w:t>
      </w:r>
      <w:r w:rsidR="009165F2" w:rsidRPr="002005EA">
        <w:t xml:space="preserve">ons on </w:t>
      </w:r>
      <w:r w:rsidR="002A3568" w:rsidRPr="002005EA">
        <w:t>St</w:t>
      </w:r>
      <w:r w:rsidR="003C2DCE" w:rsidRPr="002005EA">
        <w:t xml:space="preserve">ate </w:t>
      </w:r>
      <w:r w:rsidR="00CA7AE4" w:rsidRPr="002005EA">
        <w:t>Sea</w:t>
      </w:r>
      <w:r w:rsidR="009C1D57" w:rsidRPr="002005EA">
        <w:t xml:space="preserve">l of </w:t>
      </w:r>
      <w:r w:rsidR="005548A2" w:rsidRPr="002005EA">
        <w:t xml:space="preserve">Biliteracy, </w:t>
      </w:r>
      <w:r w:rsidR="009D522C" w:rsidRPr="002005EA">
        <w:t>60</w:t>
      </w:r>
      <w:r w:rsidR="0083605D" w:rsidRPr="002005EA">
        <w:t xml:space="preserve">3 </w:t>
      </w:r>
      <w:r w:rsidR="00963D5F" w:rsidRPr="002005EA">
        <w:t>C</w:t>
      </w:r>
      <w:r w:rsidR="00AA209A" w:rsidRPr="002005EA">
        <w:t>MR</w:t>
      </w:r>
      <w:r w:rsidR="00431D63" w:rsidRPr="002005EA">
        <w:t xml:space="preserve"> </w:t>
      </w:r>
      <w:r w:rsidR="00926826" w:rsidRPr="002005EA">
        <w:t>31</w:t>
      </w:r>
      <w:r w:rsidR="000479BC" w:rsidRPr="002005EA">
        <w:t>.04</w:t>
      </w:r>
    </w:p>
    <w:p w14:paraId="56AD6947" w14:textId="3C697EC6" w:rsidR="007A2279" w:rsidRPr="0058751F" w:rsidRDefault="007A2279" w:rsidP="30A11BD1">
      <w:pPr>
        <w:spacing w:after="0"/>
        <w:rPr>
          <w:rFonts w:ascii="Arial" w:eastAsia="Arial" w:hAnsi="Arial" w:cs="Arial"/>
          <w:b/>
          <w:bCs/>
          <w:sz w:val="23"/>
          <w:szCs w:val="23"/>
        </w:rPr>
      </w:pPr>
      <w:r w:rsidRPr="30A11BD1">
        <w:rPr>
          <w:rFonts w:ascii="Arial" w:eastAsia="Arial" w:hAnsi="Arial" w:cs="Arial"/>
          <w:b/>
          <w:bCs/>
          <w:sz w:val="23"/>
          <w:szCs w:val="23"/>
        </w:rPr>
        <w:t>For consideration and initial action by the Board of Elementary and Secondary Education</w:t>
      </w:r>
      <w:r w:rsidR="00BD3647" w:rsidRPr="30A11BD1">
        <w:rPr>
          <w:rFonts w:ascii="Arial" w:eastAsia="Arial" w:hAnsi="Arial" w:cs="Arial"/>
          <w:b/>
          <w:bCs/>
          <w:sz w:val="23"/>
          <w:szCs w:val="23"/>
        </w:rPr>
        <w:t>: October 28, 2025</w:t>
      </w:r>
    </w:p>
    <w:p w14:paraId="19A253DB" w14:textId="29BB1E6D" w:rsidR="00BD3647" w:rsidRPr="0058751F" w:rsidRDefault="00BD3647" w:rsidP="30A11BD1">
      <w:pPr>
        <w:spacing w:after="0"/>
        <w:rPr>
          <w:rFonts w:ascii="Arial" w:eastAsia="Arial" w:hAnsi="Arial" w:cs="Arial"/>
          <w:b/>
          <w:bCs/>
          <w:sz w:val="23"/>
          <w:szCs w:val="23"/>
        </w:rPr>
      </w:pPr>
      <w:r w:rsidRPr="1137C667">
        <w:rPr>
          <w:rFonts w:ascii="Arial" w:eastAsia="Arial" w:hAnsi="Arial" w:cs="Arial"/>
          <w:b/>
          <w:bCs/>
          <w:sz w:val="23"/>
          <w:szCs w:val="23"/>
        </w:rPr>
        <w:t xml:space="preserve">Period of public comment: </w:t>
      </w:r>
      <w:r w:rsidR="00AD01BC" w:rsidRPr="1137C667">
        <w:rPr>
          <w:rFonts w:ascii="Arial" w:eastAsia="Arial" w:hAnsi="Arial" w:cs="Arial"/>
          <w:b/>
          <w:bCs/>
          <w:sz w:val="23"/>
          <w:szCs w:val="23"/>
        </w:rPr>
        <w:t>through December 5, 2025</w:t>
      </w:r>
    </w:p>
    <w:p w14:paraId="4BFC04FA" w14:textId="4128FA29" w:rsidR="00AD01BC" w:rsidRPr="0058751F" w:rsidRDefault="00C81C5A" w:rsidP="30A11BD1">
      <w:pPr>
        <w:spacing w:after="0"/>
        <w:rPr>
          <w:rFonts w:ascii="Arial" w:eastAsia="Arial" w:hAnsi="Arial" w:cs="Arial"/>
          <w:sz w:val="23"/>
          <w:szCs w:val="23"/>
        </w:rPr>
      </w:pPr>
      <w:r w:rsidRPr="30A11BD1">
        <w:rPr>
          <w:rFonts w:ascii="Arial" w:eastAsia="Arial" w:hAnsi="Arial" w:cs="Arial"/>
          <w:b/>
          <w:bCs/>
          <w:sz w:val="23"/>
          <w:szCs w:val="23"/>
        </w:rPr>
        <w:t>Final action by the Board of Elementary and Secondary Education anticipated: January 27, 2026</w:t>
      </w:r>
    </w:p>
    <w:p w14:paraId="0A332876" w14:textId="274F669B" w:rsidR="30A11BD1" w:rsidRDefault="30A11BD1" w:rsidP="30A11BD1"/>
    <w:p w14:paraId="58B9A044" w14:textId="07C44D01" w:rsidR="00721E42" w:rsidRPr="0058751F" w:rsidRDefault="00C02476" w:rsidP="30A11BD1">
      <w:pPr>
        <w:rPr>
          <w:rFonts w:ascii="Arial" w:eastAsia="Arial" w:hAnsi="Arial" w:cs="Arial"/>
          <w:b/>
          <w:bCs/>
          <w:sz w:val="23"/>
          <w:szCs w:val="23"/>
        </w:rPr>
      </w:pPr>
      <w:r w:rsidRPr="30A11BD1">
        <w:rPr>
          <w:rFonts w:ascii="Arial" w:eastAsia="Arial" w:hAnsi="Arial" w:cs="Arial"/>
          <w:sz w:val="23"/>
          <w:szCs w:val="23"/>
        </w:rPr>
        <w:t xml:space="preserve">The proposed amendments </w:t>
      </w:r>
      <w:r w:rsidR="00336B79" w:rsidRPr="30A11BD1">
        <w:rPr>
          <w:rFonts w:ascii="Arial" w:eastAsia="Arial" w:hAnsi="Arial" w:cs="Arial"/>
          <w:sz w:val="23"/>
          <w:szCs w:val="23"/>
        </w:rPr>
        <w:t>relate to the criteria for the State Seal of Biliteracy</w:t>
      </w:r>
      <w:r w:rsidR="00EA5C28" w:rsidRPr="30A11BD1">
        <w:rPr>
          <w:rFonts w:ascii="Arial" w:eastAsia="Arial" w:hAnsi="Arial" w:cs="Arial"/>
          <w:sz w:val="23"/>
          <w:szCs w:val="23"/>
        </w:rPr>
        <w:t xml:space="preserve">. In accordance with </w:t>
      </w:r>
      <w:r w:rsidR="00721E42" w:rsidRPr="30A11BD1">
        <w:rPr>
          <w:rFonts w:ascii="Arial" w:eastAsia="Arial" w:hAnsi="Arial" w:cs="Arial"/>
          <w:sz w:val="23"/>
          <w:szCs w:val="23"/>
        </w:rPr>
        <w:t>the Administrative Procedure Act, M.G.L</w:t>
      </w:r>
      <w:proofErr w:type="gramStart"/>
      <w:r w:rsidR="00721E42" w:rsidRPr="30A11BD1">
        <w:rPr>
          <w:rFonts w:ascii="Arial" w:eastAsia="Arial" w:hAnsi="Arial" w:cs="Arial"/>
          <w:sz w:val="23"/>
          <w:szCs w:val="23"/>
        </w:rPr>
        <w:t>. c</w:t>
      </w:r>
      <w:proofErr w:type="gramEnd"/>
      <w:r w:rsidR="00721E42" w:rsidRPr="30A11BD1">
        <w:rPr>
          <w:rFonts w:ascii="Arial" w:eastAsia="Arial" w:hAnsi="Arial" w:cs="Arial"/>
          <w:sz w:val="23"/>
          <w:szCs w:val="23"/>
        </w:rPr>
        <w:t>. 30A, § 3, the Board of Elementary and Secondary Education invites written comments on the proposed amendments to these regulations. Following the period of public comment, the Board is expected to vote on the regulations in final form at its regular meeting in January 2026.</w:t>
      </w:r>
      <w:r w:rsidR="00721E42">
        <w:t xml:space="preserve"> </w:t>
      </w:r>
    </w:p>
    <w:p w14:paraId="64464511" w14:textId="6D9F4852" w:rsidR="00721E42" w:rsidRPr="0058751F" w:rsidRDefault="00721E42" w:rsidP="30A11BD1">
      <w:pPr>
        <w:spacing w:after="0"/>
        <w:rPr>
          <w:rFonts w:ascii="Arial" w:eastAsia="Arial" w:hAnsi="Arial" w:cs="Arial"/>
          <w:sz w:val="23"/>
          <w:szCs w:val="23"/>
        </w:rPr>
      </w:pPr>
      <w:r w:rsidRPr="30A11BD1">
        <w:rPr>
          <w:rFonts w:ascii="Arial" w:eastAsia="Arial" w:hAnsi="Arial" w:cs="Arial"/>
          <w:sz w:val="23"/>
          <w:szCs w:val="23"/>
        </w:rPr>
        <w:t xml:space="preserve">The proposed amendments to the regulations are indicated below by </w:t>
      </w:r>
      <w:r w:rsidRPr="30A11BD1">
        <w:rPr>
          <w:rFonts w:ascii="Arial" w:eastAsia="Arial" w:hAnsi="Arial" w:cs="Arial"/>
          <w:sz w:val="23"/>
          <w:szCs w:val="23"/>
          <w:u w:val="single"/>
        </w:rPr>
        <w:t>underscore</w:t>
      </w:r>
      <w:r w:rsidRPr="30A11BD1">
        <w:rPr>
          <w:rFonts w:ascii="Arial" w:eastAsia="Arial" w:hAnsi="Arial" w:cs="Arial"/>
          <w:sz w:val="23"/>
          <w:szCs w:val="23"/>
        </w:rPr>
        <w:t xml:space="preserve"> (new language) and </w:t>
      </w:r>
      <w:r w:rsidRPr="30A11BD1">
        <w:rPr>
          <w:rFonts w:ascii="Arial" w:eastAsia="Arial" w:hAnsi="Arial" w:cs="Arial"/>
          <w:strike/>
          <w:sz w:val="23"/>
          <w:szCs w:val="23"/>
        </w:rPr>
        <w:t>strikethrough</w:t>
      </w:r>
      <w:r w:rsidRPr="30A11BD1">
        <w:rPr>
          <w:rFonts w:ascii="Arial" w:eastAsia="Arial" w:hAnsi="Arial" w:cs="Arial"/>
          <w:sz w:val="23"/>
          <w:szCs w:val="23"/>
        </w:rPr>
        <w:t xml:space="preserve"> (deleted language).</w:t>
      </w:r>
      <w:r w:rsidRPr="30A11BD1">
        <w:rPr>
          <w:rFonts w:ascii="Arial" w:eastAsia="Arial" w:hAnsi="Arial" w:cs="Arial"/>
          <w:i/>
          <w:iCs/>
          <w:sz w:val="23"/>
          <w:szCs w:val="23"/>
        </w:rPr>
        <w:t xml:space="preserve"> </w:t>
      </w:r>
      <w:r w:rsidRPr="30A11BD1">
        <w:rPr>
          <w:rFonts w:ascii="Arial" w:eastAsia="Arial" w:hAnsi="Arial" w:cs="Arial"/>
          <w:sz w:val="23"/>
          <w:szCs w:val="23"/>
        </w:rPr>
        <w:t xml:space="preserve">The full current text of 603 CMR </w:t>
      </w:r>
      <w:r w:rsidR="0042053C" w:rsidRPr="30A11BD1">
        <w:rPr>
          <w:rFonts w:ascii="Arial" w:eastAsia="Arial" w:hAnsi="Arial" w:cs="Arial"/>
          <w:sz w:val="23"/>
          <w:szCs w:val="23"/>
        </w:rPr>
        <w:t>31.04</w:t>
      </w:r>
      <w:r w:rsidRPr="30A11BD1">
        <w:rPr>
          <w:rFonts w:ascii="Arial" w:eastAsia="Arial" w:hAnsi="Arial" w:cs="Arial"/>
          <w:sz w:val="23"/>
          <w:szCs w:val="23"/>
        </w:rPr>
        <w:t xml:space="preserve"> is available on the Department of Elementary and Secondary Education website at </w:t>
      </w:r>
      <w:hyperlink r:id="rId10">
        <w:r w:rsidR="0042053C" w:rsidRPr="30A11BD1">
          <w:rPr>
            <w:rStyle w:val="Hyperlink"/>
            <w:rFonts w:ascii="Arial" w:eastAsia="Arial" w:hAnsi="Arial" w:cs="Arial"/>
            <w:sz w:val="23"/>
            <w:szCs w:val="23"/>
          </w:rPr>
          <w:t>http://www.doe.mass.edu/lawsregs/603cmr31.html</w:t>
        </w:r>
      </w:hyperlink>
      <w:r w:rsidRPr="30A11BD1">
        <w:rPr>
          <w:rFonts w:ascii="Arial" w:eastAsia="Arial" w:hAnsi="Arial" w:cs="Arial"/>
          <w:sz w:val="23"/>
          <w:szCs w:val="23"/>
        </w:rPr>
        <w:t xml:space="preserve">.  </w:t>
      </w:r>
    </w:p>
    <w:p w14:paraId="4A1B18C3" w14:textId="799C947B" w:rsidR="00CF74AF" w:rsidRDefault="00CF74AF" w:rsidP="30A11BD1">
      <w:pPr>
        <w:rPr>
          <w:rFonts w:ascii="Arial" w:eastAsia="Arial" w:hAnsi="Arial" w:cs="Arial"/>
          <w:sz w:val="23"/>
          <w:szCs w:val="23"/>
        </w:rPr>
      </w:pPr>
    </w:p>
    <w:p w14:paraId="3A9AAFBA" w14:textId="2B9D3C32" w:rsidR="005F14D4" w:rsidRPr="005F14D4" w:rsidRDefault="005F14D4" w:rsidP="30A11BD1">
      <w:pPr>
        <w:rPr>
          <w:rFonts w:ascii="Arial" w:eastAsia="Arial" w:hAnsi="Arial" w:cs="Arial"/>
        </w:rPr>
      </w:pPr>
      <w:r w:rsidRPr="30A11BD1">
        <w:rPr>
          <w:rFonts w:ascii="Arial" w:eastAsia="Arial" w:hAnsi="Arial" w:cs="Arial"/>
        </w:rPr>
        <w:t>31.04: Criteria for the State Seal of Biliteracy</w:t>
      </w:r>
    </w:p>
    <w:p w14:paraId="5B545879" w14:textId="77777777" w:rsidR="005F14D4" w:rsidRPr="005F14D4" w:rsidRDefault="005F14D4" w:rsidP="30A11BD1">
      <w:pPr>
        <w:rPr>
          <w:rFonts w:ascii="Arial" w:eastAsia="Arial" w:hAnsi="Arial" w:cs="Arial"/>
        </w:rPr>
      </w:pPr>
      <w:r w:rsidRPr="30A11BD1">
        <w:rPr>
          <w:rFonts w:ascii="Arial" w:eastAsia="Arial" w:hAnsi="Arial" w:cs="Arial"/>
        </w:rPr>
        <w:t>(1) School District Participation in the State Seal of Biliteracy Program.</w:t>
      </w:r>
    </w:p>
    <w:p w14:paraId="4DD2F4FF" w14:textId="77777777" w:rsidR="005F14D4" w:rsidRPr="005F14D4" w:rsidRDefault="005F14D4" w:rsidP="30A11BD1">
      <w:pPr>
        <w:ind w:left="720"/>
        <w:rPr>
          <w:rFonts w:ascii="Arial" w:eastAsia="Arial" w:hAnsi="Arial" w:cs="Arial"/>
        </w:rPr>
      </w:pPr>
      <w:r w:rsidRPr="30A11BD1">
        <w:rPr>
          <w:rFonts w:ascii="Arial" w:eastAsia="Arial" w:hAnsi="Arial" w:cs="Arial"/>
        </w:rPr>
        <w:t>(a) School districts may award the State Seal of Biliteracy to students who meet the academic criteria listed in 603 CMR 31.04(2).</w:t>
      </w:r>
    </w:p>
    <w:p w14:paraId="310DA8B7" w14:textId="33515B62" w:rsidR="005F14D4" w:rsidRPr="005F14D4" w:rsidRDefault="005F14D4" w:rsidP="30A11BD1">
      <w:pPr>
        <w:ind w:left="720"/>
        <w:rPr>
          <w:rFonts w:ascii="Arial" w:eastAsia="Arial" w:hAnsi="Arial" w:cs="Arial"/>
        </w:rPr>
      </w:pPr>
      <w:r w:rsidRPr="30A11BD1">
        <w:rPr>
          <w:rFonts w:ascii="Arial" w:eastAsia="Arial" w:hAnsi="Arial" w:cs="Arial"/>
        </w:rPr>
        <w:t>(b) A school district participating in the State Seal of Biliteracy program shall provide</w:t>
      </w:r>
      <w:r w:rsidR="445700DF" w:rsidRPr="30A11BD1">
        <w:rPr>
          <w:rFonts w:ascii="Arial" w:eastAsia="Arial" w:hAnsi="Arial" w:cs="Arial"/>
        </w:rPr>
        <w:t xml:space="preserve"> </w:t>
      </w:r>
      <w:r w:rsidR="445700DF" w:rsidRPr="30A11BD1">
        <w:rPr>
          <w:rFonts w:ascii="Arial" w:eastAsia="Arial" w:hAnsi="Arial" w:cs="Arial"/>
          <w:u w:val="single"/>
        </w:rPr>
        <w:t>annual</w:t>
      </w:r>
      <w:r w:rsidRPr="30A11BD1">
        <w:rPr>
          <w:rFonts w:ascii="Arial" w:eastAsia="Arial" w:hAnsi="Arial" w:cs="Arial"/>
          <w:u w:val="single"/>
        </w:rPr>
        <w:t xml:space="preserve"> </w:t>
      </w:r>
      <w:r w:rsidRPr="30A11BD1">
        <w:rPr>
          <w:rFonts w:ascii="Arial" w:eastAsia="Arial" w:hAnsi="Arial" w:cs="Arial"/>
        </w:rPr>
        <w:t>written notification to parents or legal guardians of all students enrolled in the district about the State Seal of Biliteracy program, its purposes, and eligibility requirements, in a language that the parent or legal guardian can understand.</w:t>
      </w:r>
    </w:p>
    <w:p w14:paraId="740E324B" w14:textId="18EEB60A" w:rsidR="005F14D4" w:rsidRPr="005F14D4" w:rsidRDefault="005F14D4" w:rsidP="30A11BD1">
      <w:pPr>
        <w:ind w:left="720"/>
        <w:rPr>
          <w:rFonts w:ascii="Arial" w:eastAsia="Arial" w:hAnsi="Arial" w:cs="Arial"/>
        </w:rPr>
      </w:pPr>
      <w:r w:rsidRPr="30A11BD1">
        <w:rPr>
          <w:rFonts w:ascii="Arial" w:eastAsia="Arial" w:hAnsi="Arial" w:cs="Arial"/>
        </w:rPr>
        <w:t>(c) A school district that awards the State Seal of Biliteracy shall affix the unaltered state insignia developed by the Department on the</w:t>
      </w:r>
      <w:r w:rsidR="7782C54C" w:rsidRPr="30A11BD1">
        <w:rPr>
          <w:rFonts w:ascii="Arial" w:eastAsia="Arial" w:hAnsi="Arial" w:cs="Arial"/>
        </w:rPr>
        <w:t xml:space="preserve"> </w:t>
      </w:r>
      <w:r w:rsidR="7782C54C" w:rsidRPr="30A11BD1">
        <w:rPr>
          <w:rFonts w:ascii="Arial" w:eastAsia="Arial" w:hAnsi="Arial" w:cs="Arial"/>
          <w:strike/>
        </w:rPr>
        <w:t>diploma or the</w:t>
      </w:r>
      <w:r w:rsidR="7782C54C" w:rsidRPr="30A11BD1">
        <w:rPr>
          <w:rFonts w:ascii="Arial" w:eastAsia="Arial" w:hAnsi="Arial" w:cs="Arial"/>
        </w:rPr>
        <w:t xml:space="preserve"> transcript</w:t>
      </w:r>
      <w:r w:rsidR="7782C54C" w:rsidRPr="30A11BD1">
        <w:rPr>
          <w:rFonts w:ascii="Arial" w:eastAsia="Arial" w:hAnsi="Arial" w:cs="Arial"/>
          <w:strike/>
        </w:rPr>
        <w:t>, or both</w:t>
      </w:r>
      <w:r w:rsidRPr="30A11BD1">
        <w:rPr>
          <w:rFonts w:ascii="Arial" w:eastAsia="Arial" w:hAnsi="Arial" w:cs="Arial"/>
        </w:rPr>
        <w:t xml:space="preserve"> of students who meet the requirements listed in 603 CMR 31.04(2).</w:t>
      </w:r>
    </w:p>
    <w:p w14:paraId="5FAC61D4" w14:textId="77777777" w:rsidR="005F14D4" w:rsidRPr="005F14D4" w:rsidRDefault="005F14D4" w:rsidP="30A11BD1">
      <w:pPr>
        <w:rPr>
          <w:rFonts w:ascii="Arial" w:eastAsia="Arial" w:hAnsi="Arial" w:cs="Arial"/>
        </w:rPr>
      </w:pPr>
      <w:r w:rsidRPr="30A11BD1">
        <w:rPr>
          <w:rFonts w:ascii="Arial" w:eastAsia="Arial" w:hAnsi="Arial" w:cs="Arial"/>
        </w:rPr>
        <w:t>(2) Criteria. To qualify for the State Seal of Biliteracy, a student must meet all graduation requirements and the criteria listed in 603 CMR 31.04(2)(a) and (b).</w:t>
      </w:r>
    </w:p>
    <w:p w14:paraId="7331E225" w14:textId="77777777" w:rsidR="005F14D4" w:rsidRPr="005F14D4" w:rsidRDefault="005F14D4" w:rsidP="30A11BD1">
      <w:pPr>
        <w:ind w:left="720"/>
        <w:rPr>
          <w:rFonts w:ascii="Arial" w:eastAsia="Arial" w:hAnsi="Arial" w:cs="Arial"/>
        </w:rPr>
      </w:pPr>
      <w:r w:rsidRPr="30A11BD1">
        <w:rPr>
          <w:rFonts w:ascii="Arial" w:eastAsia="Arial" w:hAnsi="Arial" w:cs="Arial"/>
        </w:rPr>
        <w:t>(a) Demonstrate a high level of proficiency in English by satisfying one of the following:</w:t>
      </w:r>
    </w:p>
    <w:p w14:paraId="5BBDA75E" w14:textId="6696E33C" w:rsidR="005F14D4" w:rsidRPr="005F14D4" w:rsidRDefault="005F14D4" w:rsidP="30A11BD1">
      <w:pPr>
        <w:numPr>
          <w:ilvl w:val="1"/>
          <w:numId w:val="3"/>
        </w:numPr>
        <w:rPr>
          <w:rFonts w:ascii="Arial" w:eastAsia="Arial" w:hAnsi="Arial" w:cs="Arial"/>
          <w:strike/>
        </w:rPr>
      </w:pPr>
      <w:r w:rsidRPr="30A11BD1">
        <w:rPr>
          <w:rFonts w:ascii="Arial" w:eastAsia="Arial" w:hAnsi="Arial" w:cs="Arial"/>
          <w:strike/>
        </w:rPr>
        <w:lastRenderedPageBreak/>
        <w:t>The English Language Arts requirement of the Competency Determination described in 603 CMR 30.03(2)(a); or</w:t>
      </w:r>
    </w:p>
    <w:p w14:paraId="15CA99CB" w14:textId="77777777" w:rsidR="005F14D4" w:rsidRPr="005F14D4" w:rsidRDefault="005F14D4" w:rsidP="30A11BD1">
      <w:pPr>
        <w:numPr>
          <w:ilvl w:val="1"/>
          <w:numId w:val="3"/>
        </w:numPr>
        <w:rPr>
          <w:rFonts w:ascii="Arial" w:eastAsia="Arial" w:hAnsi="Arial" w:cs="Arial"/>
          <w:strike/>
        </w:rPr>
      </w:pPr>
      <w:r w:rsidRPr="30A11BD1">
        <w:rPr>
          <w:rFonts w:ascii="Arial" w:eastAsia="Arial" w:hAnsi="Arial" w:cs="Arial"/>
          <w:strike/>
        </w:rPr>
        <w:t>The English Language Arts requirement of the Competency Determination described in 603 CMR 30.03(3)(a); or</w:t>
      </w:r>
    </w:p>
    <w:p w14:paraId="187AAFA7" w14:textId="77777777" w:rsidR="005F14D4" w:rsidRPr="005F14D4" w:rsidRDefault="005F14D4" w:rsidP="30A11BD1">
      <w:pPr>
        <w:numPr>
          <w:ilvl w:val="1"/>
          <w:numId w:val="3"/>
        </w:numPr>
        <w:rPr>
          <w:rFonts w:ascii="Arial" w:eastAsia="Arial" w:hAnsi="Arial" w:cs="Arial"/>
          <w:strike/>
        </w:rPr>
      </w:pPr>
      <w:r w:rsidRPr="30A11BD1">
        <w:rPr>
          <w:rFonts w:ascii="Arial" w:eastAsia="Arial" w:hAnsi="Arial" w:cs="Arial"/>
          <w:strike/>
        </w:rPr>
        <w:t>The English Language Arts requirement of the Competency Determination described in 603 CMR 30.03(4)(a); or</w:t>
      </w:r>
    </w:p>
    <w:p w14:paraId="35B16845" w14:textId="77777777" w:rsidR="005F14D4" w:rsidRDefault="005F14D4" w:rsidP="30A11BD1">
      <w:pPr>
        <w:numPr>
          <w:ilvl w:val="1"/>
          <w:numId w:val="3"/>
        </w:numPr>
        <w:rPr>
          <w:rFonts w:ascii="Arial" w:eastAsia="Arial" w:hAnsi="Arial" w:cs="Arial"/>
          <w:strike/>
        </w:rPr>
      </w:pPr>
      <w:r w:rsidRPr="30A11BD1">
        <w:rPr>
          <w:rFonts w:ascii="Arial" w:eastAsia="Arial" w:hAnsi="Arial" w:cs="Arial"/>
          <w:strike/>
        </w:rPr>
        <w:t>Students who are required to complete an Educational Proficiency Plan pursuant to 603 CMR 30.03(2)(b), 30.03(3)(b), or 30.03(4)(</w:t>
      </w:r>
      <w:proofErr w:type="gramStart"/>
      <w:r w:rsidRPr="30A11BD1">
        <w:rPr>
          <w:rFonts w:ascii="Arial" w:eastAsia="Arial" w:hAnsi="Arial" w:cs="Arial"/>
          <w:strike/>
        </w:rPr>
        <w:t>b)_</w:t>
      </w:r>
      <w:proofErr w:type="gramEnd"/>
      <w:r w:rsidRPr="30A11BD1">
        <w:rPr>
          <w:rFonts w:ascii="Arial" w:eastAsia="Arial" w:hAnsi="Arial" w:cs="Arial"/>
          <w:strike/>
        </w:rPr>
        <w:t>to satisfy the requirements of the Competency Determination must attain a minimum score or level on a nationally recognized and readily available English proficiency assessment approved by the Department. The Commissioner shall determine the minimum score or level, which shall be comparable to the minimum scaled score on the grade 10 English Language Arts MCAS required to satisfy the requirements of the Competency Determination under 603 CMR 30.03(2)(a), 30.03(3)(a), and 30.03(4)(a).</w:t>
      </w:r>
    </w:p>
    <w:p w14:paraId="73032BB5" w14:textId="34FDC3DA" w:rsidR="005F14D4" w:rsidRPr="009B382D" w:rsidRDefault="005F14D4" w:rsidP="30A11BD1">
      <w:pPr>
        <w:pStyle w:val="ListParagraph"/>
        <w:numPr>
          <w:ilvl w:val="0"/>
          <w:numId w:val="2"/>
        </w:numPr>
        <w:rPr>
          <w:rFonts w:ascii="Arial" w:eastAsia="Arial" w:hAnsi="Arial" w:cs="Arial"/>
          <w:u w:val="single"/>
        </w:rPr>
      </w:pPr>
      <w:r w:rsidRPr="30A11BD1">
        <w:rPr>
          <w:rFonts w:ascii="Arial" w:eastAsia="Arial" w:hAnsi="Arial" w:cs="Arial"/>
          <w:u w:val="single"/>
        </w:rPr>
        <w:t xml:space="preserve">Attaining a score of Meeting Expectations or Exceeding Expectations on the grade </w:t>
      </w:r>
      <w:r w:rsidR="00C07A94" w:rsidRPr="30A11BD1">
        <w:rPr>
          <w:rFonts w:ascii="Arial" w:eastAsia="Arial" w:hAnsi="Arial" w:cs="Arial"/>
          <w:u w:val="single"/>
        </w:rPr>
        <w:t xml:space="preserve">10 </w:t>
      </w:r>
      <w:r w:rsidRPr="30A11BD1">
        <w:rPr>
          <w:rFonts w:ascii="Arial" w:eastAsia="Arial" w:hAnsi="Arial" w:cs="Arial"/>
          <w:u w:val="single"/>
        </w:rPr>
        <w:t>English Language Arts</w:t>
      </w:r>
      <w:r w:rsidR="00C07A94" w:rsidRPr="30A11BD1">
        <w:rPr>
          <w:rFonts w:ascii="Arial" w:eastAsia="Arial" w:hAnsi="Arial" w:cs="Arial"/>
          <w:u w:val="single"/>
        </w:rPr>
        <w:t xml:space="preserve"> MCAS</w:t>
      </w:r>
      <w:r w:rsidR="00DA5445" w:rsidRPr="30A11BD1">
        <w:rPr>
          <w:rFonts w:ascii="Arial" w:eastAsia="Arial" w:hAnsi="Arial" w:cs="Arial"/>
          <w:u w:val="single"/>
        </w:rPr>
        <w:t>;</w:t>
      </w:r>
      <w:r w:rsidRPr="30A11BD1">
        <w:rPr>
          <w:rFonts w:ascii="Arial" w:eastAsia="Arial" w:hAnsi="Arial" w:cs="Arial"/>
          <w:u w:val="single"/>
        </w:rPr>
        <w:t xml:space="preserve"> or</w:t>
      </w:r>
    </w:p>
    <w:p w14:paraId="6596F343" w14:textId="612652D7" w:rsidR="005F14D4" w:rsidRPr="009B382D" w:rsidRDefault="005F14D4" w:rsidP="30A11BD1">
      <w:pPr>
        <w:pStyle w:val="ListParagraph"/>
        <w:numPr>
          <w:ilvl w:val="0"/>
          <w:numId w:val="2"/>
        </w:numPr>
        <w:rPr>
          <w:rFonts w:ascii="Arial" w:eastAsia="Arial" w:hAnsi="Arial" w:cs="Arial"/>
          <w:u w:val="single"/>
        </w:rPr>
      </w:pPr>
      <w:r w:rsidRPr="30A11BD1">
        <w:rPr>
          <w:rFonts w:ascii="Arial" w:eastAsia="Arial" w:hAnsi="Arial" w:cs="Arial"/>
          <w:u w:val="single"/>
        </w:rPr>
        <w:t xml:space="preserve">Attaining a score of Partially Meeting Expectations on the grade </w:t>
      </w:r>
      <w:r w:rsidR="00DA5445" w:rsidRPr="30A11BD1">
        <w:rPr>
          <w:rFonts w:ascii="Arial" w:eastAsia="Arial" w:hAnsi="Arial" w:cs="Arial"/>
          <w:u w:val="single"/>
        </w:rPr>
        <w:t xml:space="preserve">10 </w:t>
      </w:r>
      <w:r w:rsidRPr="30A11BD1">
        <w:rPr>
          <w:rFonts w:ascii="Arial" w:eastAsia="Arial" w:hAnsi="Arial" w:cs="Arial"/>
          <w:u w:val="single"/>
        </w:rPr>
        <w:t xml:space="preserve">English Language Arts </w:t>
      </w:r>
      <w:r w:rsidR="00DA5445" w:rsidRPr="30A11BD1">
        <w:rPr>
          <w:rFonts w:ascii="Arial" w:eastAsia="Arial" w:hAnsi="Arial" w:cs="Arial"/>
          <w:u w:val="single"/>
        </w:rPr>
        <w:t>MCAS</w:t>
      </w:r>
      <w:r w:rsidRPr="30A11BD1">
        <w:rPr>
          <w:rFonts w:ascii="Arial" w:eastAsia="Arial" w:hAnsi="Arial" w:cs="Arial"/>
          <w:u w:val="single"/>
        </w:rPr>
        <w:t xml:space="preserve"> and meeting English language proficiency standards on the WIDA ACCESS assessment taken during high school; or </w:t>
      </w:r>
    </w:p>
    <w:p w14:paraId="7BAD2F1A" w14:textId="1C9C38B1" w:rsidR="005F14D4" w:rsidRPr="009B382D" w:rsidRDefault="005F14D4" w:rsidP="30A11BD1">
      <w:pPr>
        <w:pStyle w:val="ListParagraph"/>
        <w:numPr>
          <w:ilvl w:val="0"/>
          <w:numId w:val="2"/>
        </w:numPr>
        <w:rPr>
          <w:rFonts w:ascii="Arial" w:eastAsia="Arial" w:hAnsi="Arial" w:cs="Arial"/>
          <w:u w:val="single"/>
        </w:rPr>
      </w:pPr>
      <w:r w:rsidRPr="30A11BD1">
        <w:rPr>
          <w:rFonts w:ascii="Arial" w:eastAsia="Arial" w:hAnsi="Arial" w:cs="Arial"/>
          <w:u w:val="single"/>
        </w:rPr>
        <w:t xml:space="preserve">Attaining a minimum score or level on a nationally recognized and readily available assessment approved by the Department that measures proficiency in English.  The Commissioner shall determine the minimum score or level, which shall be aligned to the score of Meeting Expectations or Exceeding Expectations on the grade </w:t>
      </w:r>
      <w:r w:rsidR="003E282C" w:rsidRPr="30A11BD1">
        <w:rPr>
          <w:rFonts w:ascii="Arial" w:eastAsia="Arial" w:hAnsi="Arial" w:cs="Arial"/>
          <w:u w:val="single"/>
        </w:rPr>
        <w:t xml:space="preserve">10 </w:t>
      </w:r>
      <w:r w:rsidRPr="30A11BD1">
        <w:rPr>
          <w:rFonts w:ascii="Arial" w:eastAsia="Arial" w:hAnsi="Arial" w:cs="Arial"/>
          <w:u w:val="single"/>
        </w:rPr>
        <w:t xml:space="preserve">English Language Arts </w:t>
      </w:r>
      <w:r w:rsidR="003E282C" w:rsidRPr="30A11BD1">
        <w:rPr>
          <w:rFonts w:ascii="Arial" w:eastAsia="Arial" w:hAnsi="Arial" w:cs="Arial"/>
          <w:u w:val="single"/>
        </w:rPr>
        <w:t>MCAS</w:t>
      </w:r>
      <w:r w:rsidR="009B382D" w:rsidRPr="30A11BD1">
        <w:rPr>
          <w:rFonts w:ascii="Arial" w:eastAsia="Arial" w:hAnsi="Arial" w:cs="Arial"/>
          <w:u w:val="single"/>
        </w:rPr>
        <w:t xml:space="preserve"> or higher education standards for awarding advance</w:t>
      </w:r>
      <w:r w:rsidR="00F62311" w:rsidRPr="30A11BD1">
        <w:rPr>
          <w:rFonts w:ascii="Arial" w:eastAsia="Arial" w:hAnsi="Arial" w:cs="Arial"/>
          <w:u w:val="single"/>
        </w:rPr>
        <w:t>d</w:t>
      </w:r>
      <w:r w:rsidR="009B382D" w:rsidRPr="30A11BD1">
        <w:rPr>
          <w:rFonts w:ascii="Arial" w:eastAsia="Arial" w:hAnsi="Arial" w:cs="Arial"/>
          <w:u w:val="single"/>
        </w:rPr>
        <w:t xml:space="preserve"> credit.</w:t>
      </w:r>
    </w:p>
    <w:p w14:paraId="71F9E74B" w14:textId="656472B1" w:rsidR="005F14D4" w:rsidRPr="005F14D4" w:rsidRDefault="005F14D4" w:rsidP="30A11BD1">
      <w:pPr>
        <w:ind w:left="720"/>
        <w:rPr>
          <w:rFonts w:ascii="Arial" w:eastAsia="Arial" w:hAnsi="Arial" w:cs="Arial"/>
        </w:rPr>
      </w:pPr>
      <w:r w:rsidRPr="30A11BD1">
        <w:rPr>
          <w:rFonts w:ascii="Arial" w:eastAsia="Arial" w:hAnsi="Arial" w:cs="Arial"/>
        </w:rPr>
        <w:t xml:space="preserve">(b) Demonstrate a high level of proficiency in a </w:t>
      </w:r>
      <w:r w:rsidRPr="30A11BD1">
        <w:rPr>
          <w:rFonts w:ascii="Arial" w:eastAsia="Arial" w:hAnsi="Arial" w:cs="Arial"/>
          <w:strike/>
        </w:rPr>
        <w:t>foreign</w:t>
      </w:r>
      <w:r w:rsidRPr="30A11BD1">
        <w:rPr>
          <w:rFonts w:ascii="Arial" w:eastAsia="Arial" w:hAnsi="Arial" w:cs="Arial"/>
        </w:rPr>
        <w:t xml:space="preserve"> language</w:t>
      </w:r>
      <w:r w:rsidR="3C594355" w:rsidRPr="30A11BD1">
        <w:rPr>
          <w:rFonts w:ascii="Arial" w:eastAsia="Arial" w:hAnsi="Arial" w:cs="Arial"/>
        </w:rPr>
        <w:t xml:space="preserve"> </w:t>
      </w:r>
      <w:r w:rsidR="3C594355" w:rsidRPr="30A11BD1">
        <w:rPr>
          <w:rFonts w:ascii="Arial" w:eastAsia="Arial" w:hAnsi="Arial" w:cs="Arial"/>
          <w:u w:val="single"/>
        </w:rPr>
        <w:t>other than English</w:t>
      </w:r>
      <w:r w:rsidR="1174439E" w:rsidRPr="30A11BD1">
        <w:rPr>
          <w:rFonts w:ascii="Arial" w:eastAsia="Arial" w:hAnsi="Arial" w:cs="Arial"/>
        </w:rPr>
        <w:t xml:space="preserve"> </w:t>
      </w:r>
      <w:r w:rsidRPr="30A11BD1">
        <w:rPr>
          <w:rFonts w:ascii="Arial" w:eastAsia="Arial" w:hAnsi="Arial" w:cs="Arial"/>
        </w:rPr>
        <w:t>through one of the following:</w:t>
      </w:r>
    </w:p>
    <w:p w14:paraId="1B2B2C59" w14:textId="215F5E37" w:rsidR="005F14D4" w:rsidRPr="005F14D4" w:rsidRDefault="005F14D4" w:rsidP="30A11BD1">
      <w:pPr>
        <w:pStyle w:val="ListParagraph"/>
        <w:numPr>
          <w:ilvl w:val="0"/>
          <w:numId w:val="1"/>
        </w:numPr>
        <w:rPr>
          <w:rFonts w:ascii="Arial" w:eastAsia="Arial" w:hAnsi="Arial" w:cs="Arial"/>
          <w:u w:val="single"/>
        </w:rPr>
      </w:pPr>
      <w:r w:rsidRPr="30A11BD1">
        <w:rPr>
          <w:rFonts w:ascii="Arial" w:eastAsia="Arial" w:hAnsi="Arial" w:cs="Arial"/>
        </w:rPr>
        <w:t>Attaining a minimum score or level on a nationally recognized and readily available assessment approved by the Department</w:t>
      </w:r>
      <w:r w:rsidR="50915F93" w:rsidRPr="30A11BD1">
        <w:rPr>
          <w:rFonts w:ascii="Arial" w:eastAsia="Arial" w:hAnsi="Arial" w:cs="Arial"/>
        </w:rPr>
        <w:t xml:space="preserve"> </w:t>
      </w:r>
      <w:r w:rsidR="50915F93" w:rsidRPr="30A11BD1">
        <w:rPr>
          <w:rFonts w:ascii="Arial" w:eastAsia="Arial" w:hAnsi="Arial" w:cs="Arial"/>
          <w:u w:val="single"/>
        </w:rPr>
        <w:t>and taken during or after grade 8</w:t>
      </w:r>
      <w:r w:rsidRPr="30A11BD1">
        <w:rPr>
          <w:rFonts w:ascii="Arial" w:eastAsia="Arial" w:hAnsi="Arial" w:cs="Arial"/>
        </w:rPr>
        <w:t xml:space="preserve"> that measures literacy in a language other than English. The Commissioner shall determine the minimum score or level, which shall be aligned to higher education standards for awarding advanced credit by examination and ACTFL Proficiency Guidelines</w:t>
      </w:r>
      <w:r w:rsidRPr="30A11BD1">
        <w:rPr>
          <w:rFonts w:ascii="Arial" w:eastAsia="Arial" w:hAnsi="Arial" w:cs="Arial"/>
          <w:strike/>
        </w:rPr>
        <w:t>.</w:t>
      </w:r>
      <w:r w:rsidR="00451400" w:rsidRPr="30A11BD1">
        <w:rPr>
          <w:rFonts w:ascii="Arial" w:eastAsia="Arial" w:hAnsi="Arial" w:cs="Arial"/>
          <w:u w:val="single"/>
        </w:rPr>
        <w:t>; or</w:t>
      </w:r>
    </w:p>
    <w:p w14:paraId="62510ECC" w14:textId="77777777" w:rsidR="005F14D4" w:rsidRPr="005F14D4" w:rsidRDefault="005F14D4" w:rsidP="30A11BD1">
      <w:pPr>
        <w:numPr>
          <w:ilvl w:val="0"/>
          <w:numId w:val="1"/>
        </w:numPr>
        <w:rPr>
          <w:rFonts w:ascii="Arial" w:eastAsia="Arial" w:hAnsi="Arial" w:cs="Arial"/>
        </w:rPr>
      </w:pPr>
      <w:r w:rsidRPr="30A11BD1">
        <w:rPr>
          <w:rFonts w:ascii="Arial" w:eastAsia="Arial" w:hAnsi="Arial" w:cs="Arial"/>
        </w:rPr>
        <w:t>An alternative evidence method established by the Department in guidance.</w:t>
      </w:r>
    </w:p>
    <w:p w14:paraId="5AB1985A" w14:textId="77777777" w:rsidR="005F14D4" w:rsidRPr="005F14D4" w:rsidRDefault="005F14D4" w:rsidP="30A11BD1">
      <w:pPr>
        <w:rPr>
          <w:rFonts w:ascii="Arial" w:eastAsia="Arial" w:hAnsi="Arial" w:cs="Arial"/>
        </w:rPr>
      </w:pPr>
      <w:r w:rsidRPr="30A11BD1">
        <w:rPr>
          <w:rFonts w:ascii="Arial" w:eastAsia="Arial" w:hAnsi="Arial" w:cs="Arial"/>
        </w:rPr>
        <w:lastRenderedPageBreak/>
        <w:t>(3) The Department shall annually publish a list of approved assessments and acceptable minimum scores or levels for purposes of 603 CMR 31.04(2)(a), and 603 CMR 31.04(2)(b)1.</w:t>
      </w:r>
    </w:p>
    <w:p w14:paraId="6A2E9247" w14:textId="77777777" w:rsidR="005F14D4" w:rsidRPr="005F14D4" w:rsidRDefault="005F14D4" w:rsidP="30A11BD1">
      <w:pPr>
        <w:rPr>
          <w:rFonts w:ascii="Arial" w:eastAsia="Arial" w:hAnsi="Arial" w:cs="Arial"/>
        </w:rPr>
      </w:pPr>
      <w:r w:rsidRPr="30A11BD1">
        <w:rPr>
          <w:rFonts w:ascii="Arial" w:eastAsia="Arial" w:hAnsi="Arial" w:cs="Arial"/>
        </w:rPr>
        <w:t>(4) The Department shall establish levels of distinction for the State Seal of Biliteracy in guidance.</w:t>
      </w:r>
    </w:p>
    <w:p w14:paraId="17AEA8FA" w14:textId="77777777" w:rsidR="005F14D4" w:rsidRPr="005F14D4" w:rsidRDefault="005F14D4" w:rsidP="30A11BD1">
      <w:pPr>
        <w:rPr>
          <w:rFonts w:ascii="Arial" w:eastAsia="Arial" w:hAnsi="Arial" w:cs="Arial"/>
        </w:rPr>
      </w:pPr>
      <w:r w:rsidRPr="30A11BD1">
        <w:rPr>
          <w:rFonts w:ascii="Arial" w:eastAsia="Arial" w:hAnsi="Arial" w:cs="Arial"/>
        </w:rPr>
        <w:t>(5) School districts must ensure that low-income students as described in M.G.</w:t>
      </w:r>
      <w:proofErr w:type="gramStart"/>
      <w:r w:rsidRPr="30A11BD1">
        <w:rPr>
          <w:rFonts w:ascii="Arial" w:eastAsia="Arial" w:hAnsi="Arial" w:cs="Arial"/>
        </w:rPr>
        <w:t>L. c</w:t>
      </w:r>
      <w:proofErr w:type="gramEnd"/>
      <w:r w:rsidRPr="30A11BD1">
        <w:rPr>
          <w:rFonts w:ascii="Arial" w:eastAsia="Arial" w:hAnsi="Arial" w:cs="Arial"/>
        </w:rPr>
        <w:t xml:space="preserve">. </w:t>
      </w:r>
      <w:proofErr w:type="gramStart"/>
      <w:r w:rsidRPr="30A11BD1">
        <w:rPr>
          <w:rFonts w:ascii="Arial" w:eastAsia="Arial" w:hAnsi="Arial" w:cs="Arial"/>
        </w:rPr>
        <w:t>70, §</w:t>
      </w:r>
      <w:proofErr w:type="gramEnd"/>
      <w:r w:rsidRPr="30A11BD1">
        <w:rPr>
          <w:rFonts w:ascii="Arial" w:eastAsia="Arial" w:hAnsi="Arial" w:cs="Arial"/>
        </w:rPr>
        <w:t xml:space="preserve"> 2 have access to any assessment required to qualify for the State Seal of Biliteracy at no cost.</w:t>
      </w:r>
    </w:p>
    <w:p w14:paraId="229549FA" w14:textId="77777777" w:rsidR="005F14D4" w:rsidRPr="005F14D4" w:rsidRDefault="005F14D4" w:rsidP="30A11BD1">
      <w:pPr>
        <w:rPr>
          <w:rFonts w:ascii="Arial" w:eastAsia="Arial" w:hAnsi="Arial" w:cs="Arial"/>
        </w:rPr>
      </w:pPr>
      <w:r w:rsidRPr="30A11BD1">
        <w:rPr>
          <w:rFonts w:ascii="Arial" w:eastAsia="Arial" w:hAnsi="Arial" w:cs="Arial"/>
        </w:rPr>
        <w:t>(6) Implementation and Reporting.</w:t>
      </w:r>
    </w:p>
    <w:p w14:paraId="5443B66A" w14:textId="77777777" w:rsidR="005F14D4" w:rsidRPr="005F14D4" w:rsidRDefault="005F14D4" w:rsidP="30A11BD1">
      <w:pPr>
        <w:ind w:left="720"/>
        <w:rPr>
          <w:rFonts w:ascii="Arial" w:eastAsia="Arial" w:hAnsi="Arial" w:cs="Arial"/>
        </w:rPr>
      </w:pPr>
      <w:r w:rsidRPr="30A11BD1">
        <w:rPr>
          <w:rFonts w:ascii="Arial" w:eastAsia="Arial" w:hAnsi="Arial" w:cs="Arial"/>
        </w:rPr>
        <w:t xml:space="preserve">(a) A school district that awards the State Seal of Biliteracy shall maintain a record of all students who have earned the seal and the assessment results </w:t>
      </w:r>
      <w:proofErr w:type="gramStart"/>
      <w:r w:rsidRPr="30A11BD1">
        <w:rPr>
          <w:rFonts w:ascii="Arial" w:eastAsia="Arial" w:hAnsi="Arial" w:cs="Arial"/>
        </w:rPr>
        <w:t>used</w:t>
      </w:r>
      <w:proofErr w:type="gramEnd"/>
      <w:r w:rsidRPr="30A11BD1">
        <w:rPr>
          <w:rFonts w:ascii="Arial" w:eastAsia="Arial" w:hAnsi="Arial" w:cs="Arial"/>
        </w:rPr>
        <w:t xml:space="preserve"> to substantiate the student's biliteracy.</w:t>
      </w:r>
    </w:p>
    <w:p w14:paraId="14957D1F" w14:textId="4532D4D2" w:rsidR="0055747C" w:rsidRDefault="005F14D4" w:rsidP="30A11BD1">
      <w:pPr>
        <w:ind w:left="720"/>
        <w:rPr>
          <w:rFonts w:ascii="Arial" w:eastAsia="Arial" w:hAnsi="Arial" w:cs="Arial"/>
        </w:rPr>
      </w:pPr>
      <w:r w:rsidRPr="30A11BD1">
        <w:rPr>
          <w:rFonts w:ascii="Arial" w:eastAsia="Arial" w:hAnsi="Arial" w:cs="Arial"/>
        </w:rPr>
        <w:t>(b) Each school district shall report annually to the Department the names of all students who earned the State Seal of Biliteracy.</w:t>
      </w:r>
    </w:p>
    <w:sectPr w:rsidR="00557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45A0" w14:textId="77777777" w:rsidR="00403757" w:rsidRDefault="00403757" w:rsidP="0096217A">
      <w:pPr>
        <w:spacing w:after="0" w:line="240" w:lineRule="auto"/>
      </w:pPr>
      <w:r>
        <w:separator/>
      </w:r>
    </w:p>
  </w:endnote>
  <w:endnote w:type="continuationSeparator" w:id="0">
    <w:p w14:paraId="0D15E155" w14:textId="77777777" w:rsidR="00403757" w:rsidRDefault="00403757" w:rsidP="0096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562973"/>
      <w:docPartObj>
        <w:docPartGallery w:val="Page Numbers (Bottom of Page)"/>
        <w:docPartUnique/>
      </w:docPartObj>
    </w:sdtPr>
    <w:sdtEndPr>
      <w:rPr>
        <w:noProof/>
      </w:rPr>
    </w:sdtEndPr>
    <w:sdtContent>
      <w:p w14:paraId="0A4D9FEA" w14:textId="0A9D751D" w:rsidR="0096217A" w:rsidRDefault="00962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4EA44" w14:textId="77777777" w:rsidR="0096217A" w:rsidRDefault="0096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FE98" w14:textId="77777777" w:rsidR="00403757" w:rsidRDefault="00403757" w:rsidP="0096217A">
      <w:pPr>
        <w:spacing w:after="0" w:line="240" w:lineRule="auto"/>
      </w:pPr>
      <w:r>
        <w:separator/>
      </w:r>
    </w:p>
  </w:footnote>
  <w:footnote w:type="continuationSeparator" w:id="0">
    <w:p w14:paraId="743ADD06" w14:textId="77777777" w:rsidR="00403757" w:rsidRDefault="00403757" w:rsidP="00962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6D5"/>
    <w:multiLevelType w:val="hybridMultilevel"/>
    <w:tmpl w:val="67A6CCC2"/>
    <w:lvl w:ilvl="0" w:tplc="422ACC32">
      <w:start w:val="1"/>
      <w:numFmt w:val="decimal"/>
      <w:lvlText w:val="%1"/>
      <w:lvlJc w:val="left"/>
      <w:pPr>
        <w:ind w:left="1440" w:hanging="360"/>
      </w:pPr>
    </w:lvl>
    <w:lvl w:ilvl="1" w:tplc="3C3A0E20" w:tentative="1">
      <w:start w:val="1"/>
      <w:numFmt w:val="lowerLetter"/>
      <w:lvlText w:val="%2."/>
      <w:lvlJc w:val="left"/>
      <w:pPr>
        <w:ind w:left="2160" w:hanging="360"/>
      </w:pPr>
    </w:lvl>
    <w:lvl w:ilvl="2" w:tplc="67520A56" w:tentative="1">
      <w:start w:val="1"/>
      <w:numFmt w:val="lowerRoman"/>
      <w:lvlText w:val="%3."/>
      <w:lvlJc w:val="right"/>
      <w:pPr>
        <w:ind w:left="2880" w:hanging="180"/>
      </w:pPr>
    </w:lvl>
    <w:lvl w:ilvl="3" w:tplc="CBD8C586" w:tentative="1">
      <w:start w:val="1"/>
      <w:numFmt w:val="decimal"/>
      <w:lvlText w:val="%4."/>
      <w:lvlJc w:val="left"/>
      <w:pPr>
        <w:ind w:left="3600" w:hanging="360"/>
      </w:pPr>
    </w:lvl>
    <w:lvl w:ilvl="4" w:tplc="3B76B162" w:tentative="1">
      <w:start w:val="1"/>
      <w:numFmt w:val="lowerLetter"/>
      <w:lvlText w:val="%5."/>
      <w:lvlJc w:val="left"/>
      <w:pPr>
        <w:ind w:left="4320" w:hanging="360"/>
      </w:pPr>
    </w:lvl>
    <w:lvl w:ilvl="5" w:tplc="A5869638" w:tentative="1">
      <w:start w:val="1"/>
      <w:numFmt w:val="lowerRoman"/>
      <w:lvlText w:val="%6."/>
      <w:lvlJc w:val="right"/>
      <w:pPr>
        <w:ind w:left="5040" w:hanging="180"/>
      </w:pPr>
    </w:lvl>
    <w:lvl w:ilvl="6" w:tplc="48684372" w:tentative="1">
      <w:start w:val="1"/>
      <w:numFmt w:val="decimal"/>
      <w:lvlText w:val="%7."/>
      <w:lvlJc w:val="left"/>
      <w:pPr>
        <w:ind w:left="5760" w:hanging="360"/>
      </w:pPr>
    </w:lvl>
    <w:lvl w:ilvl="7" w:tplc="D7462F8E" w:tentative="1">
      <w:start w:val="1"/>
      <w:numFmt w:val="lowerLetter"/>
      <w:lvlText w:val="%8."/>
      <w:lvlJc w:val="left"/>
      <w:pPr>
        <w:ind w:left="6480" w:hanging="360"/>
      </w:pPr>
    </w:lvl>
    <w:lvl w:ilvl="8" w:tplc="A6768854" w:tentative="1">
      <w:start w:val="1"/>
      <w:numFmt w:val="lowerRoman"/>
      <w:lvlText w:val="%9."/>
      <w:lvlJc w:val="right"/>
      <w:pPr>
        <w:ind w:left="7200" w:hanging="180"/>
      </w:pPr>
    </w:lvl>
  </w:abstractNum>
  <w:abstractNum w:abstractNumId="1" w15:restartNumberingAfterBreak="0">
    <w:nsid w:val="2CA919EF"/>
    <w:multiLevelType w:val="multilevel"/>
    <w:tmpl w:val="2BAE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81566"/>
    <w:multiLevelType w:val="multilevel"/>
    <w:tmpl w:val="37645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E652F"/>
    <w:multiLevelType w:val="multilevel"/>
    <w:tmpl w:val="0E76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82CE2"/>
    <w:multiLevelType w:val="hybridMultilevel"/>
    <w:tmpl w:val="FFFFFFFF"/>
    <w:lvl w:ilvl="0" w:tplc="A79CAEA0">
      <w:start w:val="1"/>
      <w:numFmt w:val="decimal"/>
      <w:lvlText w:val="%1."/>
      <w:lvlJc w:val="left"/>
      <w:pPr>
        <w:ind w:left="1440" w:hanging="360"/>
      </w:pPr>
    </w:lvl>
    <w:lvl w:ilvl="1" w:tplc="A81CB08E">
      <w:start w:val="1"/>
      <w:numFmt w:val="decimal"/>
      <w:lvlText w:val="%2."/>
      <w:lvlJc w:val="left"/>
      <w:pPr>
        <w:ind w:left="2160" w:hanging="360"/>
      </w:pPr>
    </w:lvl>
    <w:lvl w:ilvl="2" w:tplc="DEB43B9A">
      <w:start w:val="1"/>
      <w:numFmt w:val="lowerRoman"/>
      <w:lvlText w:val="%3."/>
      <w:lvlJc w:val="right"/>
      <w:pPr>
        <w:ind w:left="2880" w:hanging="180"/>
      </w:pPr>
    </w:lvl>
    <w:lvl w:ilvl="3" w:tplc="DAFEF266">
      <w:start w:val="1"/>
      <w:numFmt w:val="decimal"/>
      <w:lvlText w:val="%4."/>
      <w:lvlJc w:val="left"/>
      <w:pPr>
        <w:ind w:left="3600" w:hanging="360"/>
      </w:pPr>
    </w:lvl>
    <w:lvl w:ilvl="4" w:tplc="D5F24BCE">
      <w:start w:val="1"/>
      <w:numFmt w:val="lowerLetter"/>
      <w:lvlText w:val="%5."/>
      <w:lvlJc w:val="left"/>
      <w:pPr>
        <w:ind w:left="4320" w:hanging="360"/>
      </w:pPr>
    </w:lvl>
    <w:lvl w:ilvl="5" w:tplc="A7A29DC8">
      <w:start w:val="1"/>
      <w:numFmt w:val="lowerRoman"/>
      <w:lvlText w:val="%6."/>
      <w:lvlJc w:val="right"/>
      <w:pPr>
        <w:ind w:left="5040" w:hanging="180"/>
      </w:pPr>
    </w:lvl>
    <w:lvl w:ilvl="6" w:tplc="7AD6D4B8">
      <w:start w:val="1"/>
      <w:numFmt w:val="decimal"/>
      <w:lvlText w:val="%7."/>
      <w:lvlJc w:val="left"/>
      <w:pPr>
        <w:ind w:left="5760" w:hanging="360"/>
      </w:pPr>
    </w:lvl>
    <w:lvl w:ilvl="7" w:tplc="249A7DE6">
      <w:start w:val="1"/>
      <w:numFmt w:val="lowerLetter"/>
      <w:lvlText w:val="%8."/>
      <w:lvlJc w:val="left"/>
      <w:pPr>
        <w:ind w:left="6480" w:hanging="360"/>
      </w:pPr>
    </w:lvl>
    <w:lvl w:ilvl="8" w:tplc="74EC1688">
      <w:start w:val="1"/>
      <w:numFmt w:val="lowerRoman"/>
      <w:lvlText w:val="%9."/>
      <w:lvlJc w:val="right"/>
      <w:pPr>
        <w:ind w:left="7200" w:hanging="180"/>
      </w:pPr>
    </w:lvl>
  </w:abstractNum>
  <w:num w:numId="1" w16cid:durableId="1071007349">
    <w:abstractNumId w:val="4"/>
  </w:num>
  <w:num w:numId="2" w16cid:durableId="1135870311">
    <w:abstractNumId w:val="0"/>
  </w:num>
  <w:num w:numId="3" w16cid:durableId="1572813525">
    <w:abstractNumId w:val="2"/>
  </w:num>
  <w:num w:numId="4" w16cid:durableId="499124535">
    <w:abstractNumId w:val="1"/>
  </w:num>
  <w:num w:numId="5" w16cid:durableId="575020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D4"/>
    <w:rsid w:val="000479BC"/>
    <w:rsid w:val="000554A2"/>
    <w:rsid w:val="00097805"/>
    <w:rsid w:val="000F42E3"/>
    <w:rsid w:val="00145883"/>
    <w:rsid w:val="00153887"/>
    <w:rsid w:val="001A1BC9"/>
    <w:rsid w:val="002005EA"/>
    <w:rsid w:val="0025140E"/>
    <w:rsid w:val="0027650F"/>
    <w:rsid w:val="002A3568"/>
    <w:rsid w:val="00336B79"/>
    <w:rsid w:val="00347294"/>
    <w:rsid w:val="00374C83"/>
    <w:rsid w:val="003C2DCE"/>
    <w:rsid w:val="003E282C"/>
    <w:rsid w:val="003F2DC6"/>
    <w:rsid w:val="00403757"/>
    <w:rsid w:val="0042053C"/>
    <w:rsid w:val="00431D63"/>
    <w:rsid w:val="00451400"/>
    <w:rsid w:val="005031C2"/>
    <w:rsid w:val="005548A2"/>
    <w:rsid w:val="0055747C"/>
    <w:rsid w:val="0058751F"/>
    <w:rsid w:val="005A4982"/>
    <w:rsid w:val="005F14D4"/>
    <w:rsid w:val="006028E6"/>
    <w:rsid w:val="00635DDC"/>
    <w:rsid w:val="00637184"/>
    <w:rsid w:val="00641115"/>
    <w:rsid w:val="0068338F"/>
    <w:rsid w:val="00721E42"/>
    <w:rsid w:val="00752B6B"/>
    <w:rsid w:val="007712CE"/>
    <w:rsid w:val="007A2279"/>
    <w:rsid w:val="007F75AA"/>
    <w:rsid w:val="00810BB5"/>
    <w:rsid w:val="0083605D"/>
    <w:rsid w:val="0086514D"/>
    <w:rsid w:val="008B7AA3"/>
    <w:rsid w:val="008D46C0"/>
    <w:rsid w:val="009165F2"/>
    <w:rsid w:val="00926826"/>
    <w:rsid w:val="0096217A"/>
    <w:rsid w:val="00963D5F"/>
    <w:rsid w:val="009B382D"/>
    <w:rsid w:val="009C1D57"/>
    <w:rsid w:val="009C47CC"/>
    <w:rsid w:val="009D522C"/>
    <w:rsid w:val="00A30EA6"/>
    <w:rsid w:val="00AA209A"/>
    <w:rsid w:val="00AD01BC"/>
    <w:rsid w:val="00BC76CE"/>
    <w:rsid w:val="00BD06BF"/>
    <w:rsid w:val="00BD3647"/>
    <w:rsid w:val="00BF4448"/>
    <w:rsid w:val="00C02476"/>
    <w:rsid w:val="00C07A94"/>
    <w:rsid w:val="00C81C5A"/>
    <w:rsid w:val="00CA7AE4"/>
    <w:rsid w:val="00CE014F"/>
    <w:rsid w:val="00CF74AF"/>
    <w:rsid w:val="00D232C2"/>
    <w:rsid w:val="00D450A0"/>
    <w:rsid w:val="00D61331"/>
    <w:rsid w:val="00D7766A"/>
    <w:rsid w:val="00D848E2"/>
    <w:rsid w:val="00DA5445"/>
    <w:rsid w:val="00E76BFB"/>
    <w:rsid w:val="00EA5C28"/>
    <w:rsid w:val="00F62311"/>
    <w:rsid w:val="00F71A71"/>
    <w:rsid w:val="00FE051B"/>
    <w:rsid w:val="035033A5"/>
    <w:rsid w:val="07ACB67A"/>
    <w:rsid w:val="110584E7"/>
    <w:rsid w:val="1137C667"/>
    <w:rsid w:val="1174439E"/>
    <w:rsid w:val="1953269F"/>
    <w:rsid w:val="1A11280D"/>
    <w:rsid w:val="2C6503E6"/>
    <w:rsid w:val="2D006EC4"/>
    <w:rsid w:val="30A11BD1"/>
    <w:rsid w:val="30D77731"/>
    <w:rsid w:val="34B01989"/>
    <w:rsid w:val="3C594355"/>
    <w:rsid w:val="445700DF"/>
    <w:rsid w:val="50915F93"/>
    <w:rsid w:val="54FC0899"/>
    <w:rsid w:val="57381DA8"/>
    <w:rsid w:val="58CE854B"/>
    <w:rsid w:val="5B052877"/>
    <w:rsid w:val="6F4064B7"/>
    <w:rsid w:val="6F67D9EB"/>
    <w:rsid w:val="761853C8"/>
    <w:rsid w:val="76565DA3"/>
    <w:rsid w:val="7782C5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643E"/>
  <w15:chartTrackingRefBased/>
  <w15:docId w15:val="{5D5EC97C-796B-45E5-8598-1715D2E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05EA"/>
    <w:pPr>
      <w:jc w:val="center"/>
      <w:outlineLvl w:val="0"/>
    </w:pPr>
    <w:rPr>
      <w:rFonts w:ascii="Arial" w:eastAsia="Arial" w:hAnsi="Arial" w:cs="Arial"/>
      <w:b/>
      <w:bCs/>
      <w:sz w:val="23"/>
      <w:szCs w:val="23"/>
      <w:u w:val="single"/>
    </w:rPr>
  </w:style>
  <w:style w:type="paragraph" w:styleId="Heading2">
    <w:name w:val="heading 2"/>
    <w:basedOn w:val="Normal"/>
    <w:next w:val="Normal"/>
    <w:link w:val="Heading2Char"/>
    <w:uiPriority w:val="9"/>
    <w:semiHidden/>
    <w:unhideWhenUsed/>
    <w:qFormat/>
    <w:rsid w:val="005F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5EA"/>
    <w:rPr>
      <w:rFonts w:ascii="Arial" w:eastAsia="Arial" w:hAnsi="Arial" w:cs="Arial"/>
      <w:b/>
      <w:bCs/>
      <w:sz w:val="23"/>
      <w:szCs w:val="23"/>
      <w:u w:val="single"/>
    </w:rPr>
  </w:style>
  <w:style w:type="character" w:customStyle="1" w:styleId="Heading2Char">
    <w:name w:val="Heading 2 Char"/>
    <w:basedOn w:val="DefaultParagraphFont"/>
    <w:link w:val="Heading2"/>
    <w:uiPriority w:val="9"/>
    <w:semiHidden/>
    <w:rsid w:val="005F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4D4"/>
    <w:rPr>
      <w:rFonts w:eastAsiaTheme="majorEastAsia" w:cstheme="majorBidi"/>
      <w:color w:val="272727" w:themeColor="text1" w:themeTint="D8"/>
    </w:rPr>
  </w:style>
  <w:style w:type="paragraph" w:styleId="Title">
    <w:name w:val="Title"/>
    <w:basedOn w:val="Normal"/>
    <w:next w:val="Normal"/>
    <w:link w:val="TitleChar"/>
    <w:uiPriority w:val="10"/>
    <w:qFormat/>
    <w:rsid w:val="005F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4D4"/>
    <w:pPr>
      <w:spacing w:before="160"/>
      <w:jc w:val="center"/>
    </w:pPr>
    <w:rPr>
      <w:i/>
      <w:iCs/>
      <w:color w:val="404040" w:themeColor="text1" w:themeTint="BF"/>
    </w:rPr>
  </w:style>
  <w:style w:type="character" w:customStyle="1" w:styleId="QuoteChar">
    <w:name w:val="Quote Char"/>
    <w:basedOn w:val="DefaultParagraphFont"/>
    <w:link w:val="Quote"/>
    <w:uiPriority w:val="29"/>
    <w:rsid w:val="005F14D4"/>
    <w:rPr>
      <w:i/>
      <w:iCs/>
      <w:color w:val="404040" w:themeColor="text1" w:themeTint="BF"/>
    </w:rPr>
  </w:style>
  <w:style w:type="paragraph" w:styleId="ListParagraph">
    <w:name w:val="List Paragraph"/>
    <w:basedOn w:val="Normal"/>
    <w:uiPriority w:val="34"/>
    <w:qFormat/>
    <w:rsid w:val="005F14D4"/>
    <w:pPr>
      <w:ind w:left="720"/>
      <w:contextualSpacing/>
    </w:pPr>
  </w:style>
  <w:style w:type="character" w:styleId="IntenseEmphasis">
    <w:name w:val="Intense Emphasis"/>
    <w:basedOn w:val="DefaultParagraphFont"/>
    <w:uiPriority w:val="21"/>
    <w:qFormat/>
    <w:rsid w:val="005F14D4"/>
    <w:rPr>
      <w:i/>
      <w:iCs/>
      <w:color w:val="0F4761" w:themeColor="accent1" w:themeShade="BF"/>
    </w:rPr>
  </w:style>
  <w:style w:type="paragraph" w:styleId="IntenseQuote">
    <w:name w:val="Intense Quote"/>
    <w:basedOn w:val="Normal"/>
    <w:next w:val="Normal"/>
    <w:link w:val="IntenseQuoteChar"/>
    <w:uiPriority w:val="30"/>
    <w:qFormat/>
    <w:rsid w:val="005F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4D4"/>
    <w:rPr>
      <w:i/>
      <w:iCs/>
      <w:color w:val="0F4761" w:themeColor="accent1" w:themeShade="BF"/>
    </w:rPr>
  </w:style>
  <w:style w:type="character" w:styleId="IntenseReference">
    <w:name w:val="Intense Reference"/>
    <w:basedOn w:val="DefaultParagraphFont"/>
    <w:uiPriority w:val="32"/>
    <w:qFormat/>
    <w:rsid w:val="005F14D4"/>
    <w:rPr>
      <w:b/>
      <w:bCs/>
      <w:smallCaps/>
      <w:color w:val="0F4761" w:themeColor="accent1" w:themeShade="BF"/>
      <w:spacing w:val="5"/>
    </w:rPr>
  </w:style>
  <w:style w:type="character" w:styleId="Hyperlink">
    <w:name w:val="Hyperlink"/>
    <w:basedOn w:val="DefaultParagraphFont"/>
    <w:unhideWhenUsed/>
    <w:rsid w:val="00721E42"/>
    <w:rPr>
      <w:color w:val="0000FF"/>
      <w:u w:val="single"/>
    </w:rPr>
  </w:style>
  <w:style w:type="character" w:styleId="UnresolvedMention">
    <w:name w:val="Unresolved Mention"/>
    <w:basedOn w:val="DefaultParagraphFont"/>
    <w:uiPriority w:val="99"/>
    <w:semiHidden/>
    <w:unhideWhenUsed/>
    <w:rsid w:val="0042053C"/>
    <w:rPr>
      <w:color w:val="605E5C"/>
      <w:shd w:val="clear" w:color="auto" w:fill="E1DFDD"/>
    </w:rPr>
  </w:style>
  <w:style w:type="paragraph" w:styleId="Header">
    <w:name w:val="header"/>
    <w:basedOn w:val="Normal"/>
    <w:link w:val="HeaderChar"/>
    <w:uiPriority w:val="99"/>
    <w:unhideWhenUsed/>
    <w:rsid w:val="0096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7A"/>
  </w:style>
  <w:style w:type="paragraph" w:styleId="Footer">
    <w:name w:val="footer"/>
    <w:basedOn w:val="Normal"/>
    <w:link w:val="FooterChar"/>
    <w:uiPriority w:val="99"/>
    <w:unhideWhenUsed/>
    <w:rsid w:val="0096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oe.mass.edu/lawsregs/603cmr31.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B53F9-AC9A-43EB-A4ED-E355CA86955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C8D4F27E-EAB5-49CE-8B75-37665F51D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A089B-70AF-4E95-B802-DEF15EB942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4486</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October 28, 2025 Regular Meeting Item 2 Attachment: 603 CMR 31.04 Strikethrough version of relevant portion of regulations showing amendments </dc:title>
  <dc:subject/>
  <dc:creator>DESE</dc:creator>
  <cp:keywords/>
  <dc:description/>
  <cp:lastModifiedBy>Zou, Dong (EOE)</cp:lastModifiedBy>
  <cp:revision>4</cp:revision>
  <cp:lastPrinted>2025-10-15T22:08:00Z</cp:lastPrinted>
  <dcterms:created xsi:type="dcterms:W3CDTF">2025-10-21T22:14:00Z</dcterms:created>
  <dcterms:modified xsi:type="dcterms:W3CDTF">2025-10-22T16:54:00Z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