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700F3508" w14:textId="77777777" w:rsidR="00C3665B" w:rsidRPr="003A4024" w:rsidRDefault="00C3665B" w:rsidP="71D28976">
      <w:pPr>
        <w:pStyle w:val="Heading1"/>
        <w:jc w:val="center"/>
        <w:rPr>
          <w:rFonts w:ascii="Arial" w:eastAsia="Arial" w:hAnsi="Arial" w:cs="Arial"/>
          <w:b/>
          <w:bCs/>
          <w:color w:val="000000" w:themeColor="text1"/>
        </w:rPr>
      </w:pPr>
      <w:r w:rsidRPr="71D28976">
        <w:rPr>
          <w:rFonts w:ascii="Arial" w:eastAsia="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576581F6">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576581F6">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576581F6">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7DC62C5F" w:rsidR="00C3665B" w:rsidRPr="003A4024" w:rsidRDefault="006F4B5B" w:rsidP="00C3665B">
            <w:pPr>
              <w:widowControl w:val="0"/>
              <w:tabs>
                <w:tab w:val="center" w:pos="4680"/>
                <w:tab w:val="right" w:pos="9360"/>
              </w:tabs>
              <w:spacing w:after="0" w:line="240" w:lineRule="auto"/>
              <w:rPr>
                <w:rFonts w:ascii="Arial" w:hAnsi="Arial" w:cs="Arial"/>
              </w:rPr>
            </w:pPr>
            <w:r>
              <w:rPr>
                <w:rFonts w:ascii="Arial" w:hAnsi="Arial" w:cs="Arial"/>
              </w:rPr>
              <w:t>October 21</w:t>
            </w:r>
            <w:r w:rsidR="6C7F4CC6" w:rsidRPr="003A4024">
              <w:rPr>
                <w:rFonts w:ascii="Arial" w:hAnsi="Arial" w:cs="Arial"/>
              </w:rPr>
              <w:t>,</w:t>
            </w:r>
            <w:r w:rsidR="00C3665B" w:rsidRPr="003A4024">
              <w:rPr>
                <w:rFonts w:ascii="Arial" w:hAnsi="Arial" w:cs="Arial"/>
              </w:rPr>
              <w:t xml:space="preserve"> 202</w:t>
            </w:r>
            <w:r w:rsidR="20551977" w:rsidRPr="003A4024">
              <w:rPr>
                <w:rFonts w:ascii="Arial" w:hAnsi="Arial" w:cs="Arial"/>
              </w:rPr>
              <w:t>5</w:t>
            </w:r>
          </w:p>
        </w:tc>
      </w:tr>
      <w:tr w:rsidR="00C3665B" w:rsidRPr="00C3665B" w14:paraId="3A43128D" w14:textId="77777777" w:rsidTr="576581F6">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6EDD20B0" w:rsidR="00C3665B" w:rsidRPr="003A4024" w:rsidRDefault="006F4B5B"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613D9665">
              <w:rPr>
                <w:rFonts w:ascii="Arial" w:eastAsia="Arial" w:hAnsi="Arial" w:cs="Arial"/>
              </w:rPr>
              <w:t>Charter Schools – Approval of Loans beyond Charter Duration (Lowell Community Charter Public School, Pioneer Valley Chinese Immersion Charter School, Cape Cod Lighthouse Charter School, Pioneer Charter School of Science II)</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rsidP="005B44E1">
      <w:pPr>
        <w:spacing w:after="0"/>
      </w:pPr>
    </w:p>
    <w:p w14:paraId="21673ED8" w14:textId="77777777" w:rsidR="005B44E1" w:rsidRDefault="006F4B5B" w:rsidP="00325BE0">
      <w:pPr>
        <w:tabs>
          <w:tab w:val="left" w:pos="8960"/>
          <w:tab w:val="right" w:pos="10080"/>
        </w:tabs>
        <w:spacing w:after="0" w:line="240" w:lineRule="auto"/>
        <w:rPr>
          <w:rFonts w:ascii="Arial" w:eastAsia="Arial" w:hAnsi="Arial" w:cs="Arial"/>
        </w:rPr>
      </w:pPr>
      <w:r w:rsidRPr="26CE5A05">
        <w:rPr>
          <w:rFonts w:ascii="Arial" w:eastAsia="Arial" w:hAnsi="Arial" w:cs="Arial"/>
        </w:rPr>
        <w:t>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to the Commissioner of Elementary and Secondary Education (Commissioner) the authority to approve such requests.</w:t>
      </w:r>
    </w:p>
    <w:p w14:paraId="48D9B684" w14:textId="77777777" w:rsidR="00E12ADA" w:rsidRDefault="00E12ADA" w:rsidP="0012302B">
      <w:pPr>
        <w:tabs>
          <w:tab w:val="left" w:pos="8960"/>
          <w:tab w:val="right" w:pos="10080"/>
        </w:tabs>
        <w:spacing w:after="0" w:line="240" w:lineRule="auto"/>
        <w:rPr>
          <w:rFonts w:ascii="Arial" w:eastAsia="Arial" w:hAnsi="Arial" w:cs="Arial"/>
        </w:rPr>
      </w:pPr>
    </w:p>
    <w:p w14:paraId="291EA909" w14:textId="10E2B685" w:rsidR="006F4B5B" w:rsidRDefault="006F4B5B" w:rsidP="00325BE0">
      <w:pPr>
        <w:tabs>
          <w:tab w:val="left" w:pos="8960"/>
          <w:tab w:val="right" w:pos="10080"/>
        </w:tabs>
        <w:spacing w:after="0" w:line="240" w:lineRule="auto"/>
        <w:rPr>
          <w:rFonts w:ascii="Arial" w:eastAsia="Arial" w:hAnsi="Arial" w:cs="Arial"/>
        </w:rPr>
      </w:pPr>
      <w:r w:rsidRPr="613D9665">
        <w:rPr>
          <w:rFonts w:ascii="Arial" w:eastAsia="Arial" w:hAnsi="Arial" w:cs="Arial"/>
        </w:rPr>
        <w:t xml:space="preserve">I am informing the Board of approvals granted to four charter schools within the past twelve months. This memorandum organizes the approvals chronologically. </w:t>
      </w:r>
    </w:p>
    <w:p w14:paraId="1074DF86" w14:textId="77777777" w:rsidR="00E12ADA" w:rsidRPr="009731B7" w:rsidRDefault="00E12ADA" w:rsidP="0012302B">
      <w:pPr>
        <w:tabs>
          <w:tab w:val="left" w:pos="8960"/>
          <w:tab w:val="right" w:pos="10080"/>
        </w:tabs>
        <w:spacing w:after="0" w:line="240" w:lineRule="auto"/>
        <w:rPr>
          <w:rFonts w:ascii="Arial" w:eastAsia="Arial" w:hAnsi="Arial" w:cs="Arial"/>
        </w:rPr>
      </w:pPr>
    </w:p>
    <w:p w14:paraId="0C0B0E36" w14:textId="43D9E6CB" w:rsidR="006F4B5B" w:rsidRDefault="006F4B5B" w:rsidP="00325BE0">
      <w:pPr>
        <w:spacing w:after="0" w:line="240" w:lineRule="auto"/>
        <w:ind w:right="-270"/>
        <w:rPr>
          <w:rFonts w:ascii="Arial" w:eastAsia="Arial" w:hAnsi="Arial" w:cs="Arial"/>
        </w:rPr>
      </w:pPr>
      <w:r w:rsidRPr="613D9665">
        <w:rPr>
          <w:rFonts w:ascii="Arial" w:eastAsia="Arial" w:hAnsi="Arial" w:cs="Arial"/>
        </w:rPr>
        <w:t xml:space="preserve">These approvals impose no liability on the Commonwealth, the Board, or the Department of Elementary and Secondary Education (Department) and the approvals do not reflect either the accountability status or the potential outcome regarding charter renewal for these charter schools. In each case, after the Department reviewed the request and determined that it was reasonable and consistent with the charter school statute and regulations, approval was explicitly conditioned upon including the language that follows in the loan agreements. </w:t>
      </w:r>
    </w:p>
    <w:p w14:paraId="027E09E2" w14:textId="77777777" w:rsidR="00E12ADA" w:rsidRPr="009731B7" w:rsidRDefault="00E12ADA" w:rsidP="0012302B">
      <w:pPr>
        <w:spacing w:after="0" w:line="240" w:lineRule="auto"/>
        <w:ind w:right="-270"/>
        <w:rPr>
          <w:rFonts w:ascii="Arial" w:eastAsia="Arial" w:hAnsi="Arial" w:cs="Arial"/>
        </w:rPr>
      </w:pPr>
    </w:p>
    <w:p w14:paraId="1928975B" w14:textId="77777777" w:rsidR="006F4B5B" w:rsidRPr="00725E5D" w:rsidRDefault="006F4B5B" w:rsidP="26CE5A05">
      <w:pPr>
        <w:spacing w:after="0" w:line="240" w:lineRule="auto"/>
        <w:ind w:left="720" w:right="-270"/>
        <w:rPr>
          <w:rFonts w:ascii="Arial" w:eastAsia="Arial" w:hAnsi="Arial" w:cs="Arial"/>
        </w:rPr>
      </w:pPr>
      <w:r w:rsidRPr="00725E5D">
        <w:rPr>
          <w:rFonts w:ascii="Arial" w:eastAsia="Arial" w:hAnsi="Arial" w:cs="Arial"/>
        </w:rPr>
        <w:t>The parties to the loan(s) acknowledge and agree that the Commonwealth of Massachusetts, including but not limited to the Board and the Department of Elementary and Secondary Education, provides no representations or guarantees with respect to these loans and has no liability for any portion of the loans. Furthermore, specifically and without limitation, approval of the loan has no impact on any action that the Massachusetts Board of Elementary and Secondary Education may choose to take in the future with respect to probation, revocation, or renewal of the school's charter.</w:t>
      </w:r>
    </w:p>
    <w:p w14:paraId="1D912435" w14:textId="77777777" w:rsidR="00E12ADA" w:rsidRDefault="00E12ADA" w:rsidP="00325BE0">
      <w:pPr>
        <w:tabs>
          <w:tab w:val="left" w:pos="8960"/>
          <w:tab w:val="right" w:pos="10080"/>
        </w:tabs>
        <w:spacing w:after="0" w:line="240" w:lineRule="auto"/>
        <w:rPr>
          <w:rFonts w:ascii="Arial" w:eastAsia="Arial" w:hAnsi="Arial" w:cs="Arial"/>
          <w:b/>
          <w:bCs/>
        </w:rPr>
      </w:pPr>
    </w:p>
    <w:p w14:paraId="58BEEE8B" w14:textId="66F34453" w:rsidR="006F4B5B" w:rsidRDefault="006F4B5B" w:rsidP="008B6E31">
      <w:pPr>
        <w:keepNext/>
        <w:keepLines/>
        <w:tabs>
          <w:tab w:val="left" w:pos="8960"/>
          <w:tab w:val="right" w:pos="10080"/>
        </w:tabs>
        <w:spacing w:after="0" w:line="240" w:lineRule="auto"/>
        <w:rPr>
          <w:rFonts w:ascii="Arial" w:eastAsia="Arial" w:hAnsi="Arial" w:cs="Arial"/>
          <w:b/>
          <w:bCs/>
        </w:rPr>
      </w:pPr>
      <w:r w:rsidRPr="613D9665">
        <w:rPr>
          <w:rFonts w:ascii="Arial" w:eastAsia="Arial" w:hAnsi="Arial" w:cs="Arial"/>
          <w:b/>
          <w:bCs/>
        </w:rPr>
        <w:lastRenderedPageBreak/>
        <w:t>Approvals</w:t>
      </w:r>
    </w:p>
    <w:p w14:paraId="18B76667" w14:textId="77777777" w:rsidR="00E12ADA" w:rsidRDefault="00E12ADA" w:rsidP="008B6E31">
      <w:pPr>
        <w:keepNext/>
        <w:keepLines/>
        <w:autoSpaceDE w:val="0"/>
        <w:autoSpaceDN w:val="0"/>
        <w:adjustRightInd w:val="0"/>
        <w:spacing w:after="0" w:line="240" w:lineRule="auto"/>
        <w:rPr>
          <w:rFonts w:ascii="Arial" w:eastAsia="Arial" w:hAnsi="Arial" w:cs="Arial"/>
        </w:rPr>
      </w:pPr>
    </w:p>
    <w:p w14:paraId="2B8F4B81" w14:textId="67F34D5A" w:rsidR="006F4B5B" w:rsidRDefault="006F4B5B" w:rsidP="008B6E31">
      <w:pPr>
        <w:keepNext/>
        <w:keepLines/>
        <w:autoSpaceDE w:val="0"/>
        <w:autoSpaceDN w:val="0"/>
        <w:adjustRightInd w:val="0"/>
        <w:spacing w:after="0" w:line="240" w:lineRule="auto"/>
        <w:rPr>
          <w:rFonts w:ascii="Arial" w:eastAsia="Arial" w:hAnsi="Arial" w:cs="Arial"/>
        </w:rPr>
      </w:pPr>
      <w:r w:rsidRPr="613D9665">
        <w:rPr>
          <w:rFonts w:ascii="Arial" w:eastAsia="Arial" w:hAnsi="Arial" w:cs="Arial"/>
        </w:rPr>
        <w:t xml:space="preserve">In a letter dated January 22, 2025, the board of trustees of </w:t>
      </w:r>
      <w:r w:rsidRPr="613D9665">
        <w:rPr>
          <w:rFonts w:ascii="Arial" w:eastAsia="Arial" w:hAnsi="Arial" w:cs="Arial"/>
          <w:b/>
          <w:bCs/>
        </w:rPr>
        <w:t>Lowell Community Charter Public School</w:t>
      </w:r>
      <w:r w:rsidRPr="613D9665">
        <w:rPr>
          <w:rFonts w:ascii="Arial" w:eastAsia="Arial" w:hAnsi="Arial" w:cs="Arial"/>
        </w:rPr>
        <w:t xml:space="preserve"> (LCCPS) requested approval to enter into a loan agreement for $1,840,000</w:t>
      </w:r>
      <w:r w:rsidR="00362958">
        <w:rPr>
          <w:rFonts w:ascii="Arial" w:eastAsia="Arial" w:hAnsi="Arial" w:cs="Arial"/>
        </w:rPr>
        <w:t xml:space="preserve"> </w:t>
      </w:r>
      <w:r w:rsidRPr="613D9665">
        <w:rPr>
          <w:rFonts w:ascii="Arial" w:eastAsia="Arial" w:hAnsi="Arial" w:cs="Arial"/>
        </w:rPr>
        <w:t>from First Citizens Bank. LCCPS</w:t>
      </w:r>
      <w:r w:rsidR="00291B86">
        <w:rPr>
          <w:rFonts w:ascii="Arial" w:eastAsia="Arial" w:hAnsi="Arial" w:cs="Arial"/>
        </w:rPr>
        <w:t xml:space="preserve"> </w:t>
      </w:r>
      <w:r w:rsidRPr="613D9665">
        <w:rPr>
          <w:rFonts w:ascii="Arial" w:eastAsia="Arial" w:hAnsi="Arial" w:cs="Arial"/>
        </w:rPr>
        <w:t xml:space="preserve">will </w:t>
      </w:r>
      <w:r w:rsidR="00291B86">
        <w:rPr>
          <w:rFonts w:ascii="Arial" w:eastAsia="Arial" w:hAnsi="Arial" w:cs="Arial"/>
        </w:rPr>
        <w:t xml:space="preserve">use </w:t>
      </w:r>
      <w:r w:rsidR="00291B86" w:rsidRPr="613D9665">
        <w:rPr>
          <w:rFonts w:ascii="Arial" w:eastAsia="Arial" w:hAnsi="Arial" w:cs="Arial"/>
        </w:rPr>
        <w:t>the proceeds from the loan</w:t>
      </w:r>
      <w:r w:rsidR="00291B86" w:rsidRPr="613D9665" w:rsidDel="00362958">
        <w:rPr>
          <w:rFonts w:ascii="Arial" w:eastAsia="Arial" w:hAnsi="Arial" w:cs="Arial"/>
        </w:rPr>
        <w:t xml:space="preserve"> </w:t>
      </w:r>
      <w:r w:rsidRPr="613D9665">
        <w:rPr>
          <w:rFonts w:ascii="Arial" w:eastAsia="Arial" w:hAnsi="Arial" w:cs="Arial"/>
        </w:rPr>
        <w:t xml:space="preserve">to consolidate all programming into a single building </w:t>
      </w:r>
      <w:r w:rsidR="00B86B01">
        <w:rPr>
          <w:rFonts w:ascii="Arial" w:eastAsia="Arial" w:hAnsi="Arial" w:cs="Arial"/>
        </w:rPr>
        <w:t>under the</w:t>
      </w:r>
      <w:r w:rsidR="00B86B01" w:rsidRPr="613D9665">
        <w:rPr>
          <w:rFonts w:ascii="Arial" w:eastAsia="Arial" w:hAnsi="Arial" w:cs="Arial"/>
        </w:rPr>
        <w:t xml:space="preserve"> </w:t>
      </w:r>
      <w:r w:rsidRPr="613D9665">
        <w:rPr>
          <w:rFonts w:ascii="Arial" w:eastAsia="Arial" w:hAnsi="Arial" w:cs="Arial"/>
        </w:rPr>
        <w:t>full ownership and control</w:t>
      </w:r>
      <w:r w:rsidR="00C41FEA">
        <w:rPr>
          <w:rFonts w:ascii="Arial" w:eastAsia="Arial" w:hAnsi="Arial" w:cs="Arial"/>
        </w:rPr>
        <w:t xml:space="preserve"> of </w:t>
      </w:r>
      <w:r w:rsidR="00B86B01">
        <w:rPr>
          <w:rFonts w:ascii="Arial" w:eastAsia="Arial" w:hAnsi="Arial" w:cs="Arial"/>
        </w:rPr>
        <w:t>L</w:t>
      </w:r>
      <w:r w:rsidR="00984629">
        <w:rPr>
          <w:rFonts w:ascii="Arial" w:eastAsia="Arial" w:hAnsi="Arial" w:cs="Arial"/>
        </w:rPr>
        <w:t>CCPS</w:t>
      </w:r>
      <w:r w:rsidRPr="613D9665">
        <w:rPr>
          <w:rFonts w:ascii="Arial" w:eastAsia="Arial" w:hAnsi="Arial" w:cs="Arial"/>
        </w:rPr>
        <w:t>.</w:t>
      </w:r>
    </w:p>
    <w:p w14:paraId="2D53865B" w14:textId="77777777" w:rsidR="00E12ADA" w:rsidRDefault="00E12ADA" w:rsidP="008B6E31">
      <w:pPr>
        <w:keepNext/>
        <w:keepLines/>
        <w:autoSpaceDE w:val="0"/>
        <w:autoSpaceDN w:val="0"/>
        <w:adjustRightInd w:val="0"/>
        <w:spacing w:after="0" w:line="240" w:lineRule="auto"/>
        <w:rPr>
          <w:rFonts w:ascii="Arial" w:eastAsia="Arial" w:hAnsi="Arial" w:cs="Arial"/>
        </w:rPr>
      </w:pPr>
    </w:p>
    <w:p w14:paraId="2A96DD3A" w14:textId="478C7234" w:rsidR="006F4B5B" w:rsidRDefault="006F4B5B" w:rsidP="0012302B">
      <w:pPr>
        <w:spacing w:after="0" w:line="240" w:lineRule="auto"/>
        <w:rPr>
          <w:rFonts w:ascii="Arial" w:eastAsia="Arial" w:hAnsi="Arial" w:cs="Arial"/>
        </w:rPr>
      </w:pPr>
      <w:r w:rsidRPr="613D9665">
        <w:rPr>
          <w:rFonts w:ascii="Arial" w:eastAsia="Arial" w:hAnsi="Arial" w:cs="Arial"/>
        </w:rPr>
        <w:t xml:space="preserve">On February 3, 2025, the board of the </w:t>
      </w:r>
      <w:r w:rsidRPr="613D9665">
        <w:rPr>
          <w:rFonts w:ascii="Arial" w:eastAsia="Arial" w:hAnsi="Arial" w:cs="Arial"/>
          <w:b/>
          <w:bCs/>
        </w:rPr>
        <w:t xml:space="preserve">Pioneer Valley Chinese Immersion Charter School </w:t>
      </w:r>
      <w:r w:rsidRPr="613D9665">
        <w:rPr>
          <w:rFonts w:ascii="Arial" w:eastAsia="Arial" w:hAnsi="Arial" w:cs="Arial"/>
        </w:rPr>
        <w:t>(PVCICS) made a second request for approval to enter into a loan agreement</w:t>
      </w:r>
      <w:r w:rsidR="00AF6A3B">
        <w:rPr>
          <w:rFonts w:ascii="Arial" w:eastAsia="Arial" w:hAnsi="Arial" w:cs="Arial"/>
        </w:rPr>
        <w:t xml:space="preserve"> to update the terms of a previously approved loan</w:t>
      </w:r>
      <w:r w:rsidR="00B071E8">
        <w:rPr>
          <w:rFonts w:ascii="Arial" w:eastAsia="Arial" w:hAnsi="Arial" w:cs="Arial"/>
        </w:rPr>
        <w:t xml:space="preserve"> arrangement</w:t>
      </w:r>
      <w:r w:rsidRPr="613D9665">
        <w:rPr>
          <w:rFonts w:ascii="Arial" w:eastAsia="Arial" w:hAnsi="Arial" w:cs="Arial"/>
        </w:rPr>
        <w:t xml:space="preserve">. On May 24, 2023, </w:t>
      </w:r>
      <w:r w:rsidR="00B071E8">
        <w:rPr>
          <w:rFonts w:ascii="Arial" w:eastAsia="Arial" w:hAnsi="Arial" w:cs="Arial"/>
        </w:rPr>
        <w:t>the school received</w:t>
      </w:r>
      <w:r w:rsidRPr="613D9665">
        <w:rPr>
          <w:rFonts w:ascii="Arial" w:eastAsia="Arial" w:hAnsi="Arial" w:cs="Arial"/>
        </w:rPr>
        <w:t xml:space="preserve"> approv</w:t>
      </w:r>
      <w:r w:rsidR="00B071E8">
        <w:rPr>
          <w:rFonts w:ascii="Arial" w:eastAsia="Arial" w:hAnsi="Arial" w:cs="Arial"/>
        </w:rPr>
        <w:t>al</w:t>
      </w:r>
      <w:r w:rsidRPr="613D9665">
        <w:rPr>
          <w:rFonts w:ascii="Arial" w:eastAsia="Arial" w:hAnsi="Arial" w:cs="Arial"/>
        </w:rPr>
        <w:t xml:space="preserve"> to enter into a loan agreement </w:t>
      </w:r>
      <w:r w:rsidR="00882ACB">
        <w:rPr>
          <w:rFonts w:ascii="Arial" w:eastAsia="Arial" w:hAnsi="Arial" w:cs="Arial"/>
        </w:rPr>
        <w:t>as guar</w:t>
      </w:r>
      <w:r w:rsidR="00800040">
        <w:rPr>
          <w:rFonts w:ascii="Arial" w:eastAsia="Arial" w:hAnsi="Arial" w:cs="Arial"/>
        </w:rPr>
        <w:t xml:space="preserve">antor </w:t>
      </w:r>
      <w:r w:rsidRPr="613D9665">
        <w:rPr>
          <w:rFonts w:ascii="Arial" w:eastAsia="Arial" w:hAnsi="Arial" w:cs="Arial"/>
        </w:rPr>
        <w:t xml:space="preserve">for $7,650,000 with the United States Department of Agriculture. </w:t>
      </w:r>
      <w:r w:rsidR="00D43805">
        <w:rPr>
          <w:rFonts w:ascii="Arial" w:eastAsia="Arial" w:hAnsi="Arial" w:cs="Arial"/>
        </w:rPr>
        <w:t>Since May 2023, t</w:t>
      </w:r>
      <w:r w:rsidRPr="613D9665">
        <w:rPr>
          <w:rFonts w:ascii="Arial" w:eastAsia="Arial" w:hAnsi="Arial" w:cs="Arial"/>
        </w:rPr>
        <w:t xml:space="preserve">he originator, </w:t>
      </w:r>
      <w:r w:rsidR="00800040">
        <w:rPr>
          <w:rFonts w:ascii="Arial" w:eastAsia="Arial" w:hAnsi="Arial" w:cs="Arial"/>
        </w:rPr>
        <w:t xml:space="preserve">the </w:t>
      </w:r>
      <w:r w:rsidRPr="613D9665">
        <w:rPr>
          <w:rFonts w:ascii="Arial" w:eastAsia="Arial" w:hAnsi="Arial" w:cs="Arial"/>
        </w:rPr>
        <w:t xml:space="preserve">amount, and </w:t>
      </w:r>
      <w:r w:rsidR="00800040">
        <w:rPr>
          <w:rFonts w:ascii="Arial" w:eastAsia="Arial" w:hAnsi="Arial" w:cs="Arial"/>
        </w:rPr>
        <w:t xml:space="preserve">the </w:t>
      </w:r>
      <w:r w:rsidRPr="613D9665">
        <w:rPr>
          <w:rFonts w:ascii="Arial" w:eastAsia="Arial" w:hAnsi="Arial" w:cs="Arial"/>
        </w:rPr>
        <w:t>terms of the loan changed</w:t>
      </w:r>
      <w:r w:rsidR="00800040">
        <w:rPr>
          <w:rFonts w:ascii="Arial" w:eastAsia="Arial" w:hAnsi="Arial" w:cs="Arial"/>
        </w:rPr>
        <w:t>;</w:t>
      </w:r>
      <w:r w:rsidRPr="613D9665">
        <w:rPr>
          <w:rFonts w:ascii="Arial" w:eastAsia="Arial" w:hAnsi="Arial" w:cs="Arial"/>
        </w:rPr>
        <w:t xml:space="preserve"> instead, the loan was received from Easthampton Savings Bank for $5,760,000 with a 20-year term. PVCICS</w:t>
      </w:r>
      <w:r w:rsidR="00A46179">
        <w:rPr>
          <w:rFonts w:ascii="Arial" w:eastAsia="Arial" w:hAnsi="Arial" w:cs="Arial"/>
        </w:rPr>
        <w:t>, however,</w:t>
      </w:r>
      <w:r w:rsidRPr="613D9665">
        <w:rPr>
          <w:rFonts w:ascii="Arial" w:eastAsia="Arial" w:hAnsi="Arial" w:cs="Arial"/>
        </w:rPr>
        <w:t xml:space="preserve"> failed to seek approval </w:t>
      </w:r>
      <w:r w:rsidR="00800040">
        <w:rPr>
          <w:rFonts w:ascii="Arial" w:eastAsia="Arial" w:hAnsi="Arial" w:cs="Arial"/>
        </w:rPr>
        <w:t>in a timely manner</w:t>
      </w:r>
      <w:r w:rsidR="00800040" w:rsidRPr="613D9665">
        <w:rPr>
          <w:rFonts w:ascii="Arial" w:eastAsia="Arial" w:hAnsi="Arial" w:cs="Arial"/>
        </w:rPr>
        <w:t xml:space="preserve"> </w:t>
      </w:r>
      <w:r w:rsidRPr="613D9665">
        <w:rPr>
          <w:rFonts w:ascii="Arial" w:eastAsia="Arial" w:hAnsi="Arial" w:cs="Arial"/>
        </w:rPr>
        <w:t>of the material changes to the loan</w:t>
      </w:r>
      <w:r w:rsidR="0025132B">
        <w:rPr>
          <w:rFonts w:ascii="Arial" w:eastAsia="Arial" w:hAnsi="Arial" w:cs="Arial"/>
        </w:rPr>
        <w:t>. PVCICS</w:t>
      </w:r>
      <w:r w:rsidRPr="613D9665">
        <w:rPr>
          <w:rFonts w:ascii="Arial" w:eastAsia="Arial" w:hAnsi="Arial" w:cs="Arial"/>
        </w:rPr>
        <w:t xml:space="preserve"> submitted an updated request</w:t>
      </w:r>
      <w:r w:rsidR="00515C60">
        <w:rPr>
          <w:rFonts w:ascii="Arial" w:eastAsia="Arial" w:hAnsi="Arial" w:cs="Arial"/>
        </w:rPr>
        <w:t xml:space="preserve"> </w:t>
      </w:r>
      <w:r w:rsidRPr="613D9665">
        <w:rPr>
          <w:rFonts w:ascii="Arial" w:eastAsia="Arial" w:hAnsi="Arial" w:cs="Arial"/>
        </w:rPr>
        <w:t xml:space="preserve">once </w:t>
      </w:r>
      <w:r w:rsidR="00CA2D59">
        <w:rPr>
          <w:rFonts w:ascii="Arial" w:eastAsia="Arial" w:hAnsi="Arial" w:cs="Arial"/>
        </w:rPr>
        <w:t>the school</w:t>
      </w:r>
      <w:r w:rsidRPr="613D9665">
        <w:rPr>
          <w:rFonts w:ascii="Arial" w:eastAsia="Arial" w:hAnsi="Arial" w:cs="Arial"/>
        </w:rPr>
        <w:t xml:space="preserve"> was aware of its oversight.</w:t>
      </w:r>
      <w:r w:rsidR="0025132B">
        <w:rPr>
          <w:rFonts w:ascii="Arial" w:eastAsia="Arial" w:hAnsi="Arial" w:cs="Arial"/>
        </w:rPr>
        <w:t xml:space="preserve"> PVCICS used the</w:t>
      </w:r>
      <w:r w:rsidR="0025132B" w:rsidRPr="613D9665">
        <w:rPr>
          <w:rFonts w:ascii="Arial" w:eastAsia="Arial" w:hAnsi="Arial" w:cs="Arial"/>
        </w:rPr>
        <w:t xml:space="preserve"> </w:t>
      </w:r>
      <w:r w:rsidRPr="613D9665">
        <w:rPr>
          <w:rFonts w:ascii="Arial" w:eastAsia="Arial" w:hAnsi="Arial" w:cs="Arial"/>
        </w:rPr>
        <w:t xml:space="preserve">loan to purchase an additional building. </w:t>
      </w:r>
    </w:p>
    <w:p w14:paraId="71C45165" w14:textId="77777777" w:rsidR="00E12ADA" w:rsidRDefault="00E12ADA" w:rsidP="00325BE0">
      <w:pPr>
        <w:spacing w:after="0" w:line="240" w:lineRule="auto"/>
        <w:rPr>
          <w:rFonts w:ascii="Arial" w:eastAsia="Arial" w:hAnsi="Arial" w:cs="Arial"/>
        </w:rPr>
      </w:pPr>
    </w:p>
    <w:p w14:paraId="560D867E" w14:textId="2105F976" w:rsidR="006F4B5B" w:rsidRDefault="00B95FFD" w:rsidP="0012302B">
      <w:pPr>
        <w:spacing w:after="0" w:line="240" w:lineRule="auto"/>
        <w:rPr>
          <w:rFonts w:ascii="Arial" w:eastAsia="Arial" w:hAnsi="Arial" w:cs="Arial"/>
        </w:rPr>
      </w:pPr>
      <w:r>
        <w:rPr>
          <w:rFonts w:ascii="Arial" w:eastAsia="Arial" w:hAnsi="Arial" w:cs="Arial"/>
        </w:rPr>
        <w:t>I</w:t>
      </w:r>
      <w:r w:rsidR="006F4B5B" w:rsidRPr="613D9665">
        <w:rPr>
          <w:rFonts w:ascii="Arial" w:eastAsia="Arial" w:hAnsi="Arial" w:cs="Arial"/>
        </w:rPr>
        <w:t>n</w:t>
      </w:r>
      <w:r w:rsidR="00515C60">
        <w:rPr>
          <w:rFonts w:ascii="Arial" w:eastAsia="Arial" w:hAnsi="Arial" w:cs="Arial"/>
        </w:rPr>
        <w:t xml:space="preserve"> a</w:t>
      </w:r>
      <w:r w:rsidR="006F4B5B" w:rsidRPr="613D9665">
        <w:rPr>
          <w:rFonts w:ascii="Arial" w:eastAsia="Arial" w:hAnsi="Arial" w:cs="Arial"/>
        </w:rPr>
        <w:t xml:space="preserve"> letter dated March 13, 2025, the board of trustees of </w:t>
      </w:r>
      <w:r w:rsidR="006F4B5B" w:rsidRPr="613D9665">
        <w:rPr>
          <w:rFonts w:ascii="Arial" w:eastAsia="Arial" w:hAnsi="Arial" w:cs="Arial"/>
          <w:b/>
          <w:bCs/>
        </w:rPr>
        <w:t>Cape Cod Lighthouse Charter School</w:t>
      </w:r>
      <w:r w:rsidR="006F4B5B" w:rsidRPr="613D9665">
        <w:rPr>
          <w:rFonts w:ascii="Arial" w:eastAsia="Arial" w:hAnsi="Arial" w:cs="Arial"/>
        </w:rPr>
        <w:t xml:space="preserve"> (CCL</w:t>
      </w:r>
      <w:r w:rsidR="0049636E">
        <w:rPr>
          <w:rFonts w:ascii="Arial" w:eastAsia="Arial" w:hAnsi="Arial" w:cs="Arial"/>
        </w:rPr>
        <w:t>CS</w:t>
      </w:r>
      <w:r w:rsidR="006F4B5B" w:rsidRPr="613D9665">
        <w:rPr>
          <w:rFonts w:ascii="Arial" w:eastAsia="Arial" w:hAnsi="Arial" w:cs="Arial"/>
        </w:rPr>
        <w:t>) requested approval</w:t>
      </w:r>
      <w:r w:rsidR="0049636E">
        <w:rPr>
          <w:rFonts w:ascii="Arial" w:eastAsia="Arial" w:hAnsi="Arial" w:cs="Arial"/>
        </w:rPr>
        <w:t xml:space="preserve"> </w:t>
      </w:r>
      <w:r w:rsidR="006F4B5B" w:rsidRPr="613D9665">
        <w:rPr>
          <w:rFonts w:ascii="Arial" w:eastAsia="Arial" w:hAnsi="Arial" w:cs="Arial"/>
        </w:rPr>
        <w:t xml:space="preserve">for a loan </w:t>
      </w:r>
      <w:r w:rsidR="00F724BA">
        <w:rPr>
          <w:rFonts w:ascii="Arial" w:eastAsia="Arial" w:hAnsi="Arial" w:cs="Arial"/>
        </w:rPr>
        <w:t xml:space="preserve">executed in May 2024 </w:t>
      </w:r>
      <w:r w:rsidR="006F4B5B" w:rsidRPr="613D9665">
        <w:rPr>
          <w:rFonts w:ascii="Arial" w:eastAsia="Arial" w:hAnsi="Arial" w:cs="Arial"/>
        </w:rPr>
        <w:t>in the amount of $300,000.</w:t>
      </w:r>
      <w:r w:rsidR="002D3179">
        <w:rPr>
          <w:rFonts w:ascii="Arial" w:eastAsia="Arial" w:hAnsi="Arial" w:cs="Arial"/>
        </w:rPr>
        <w:t xml:space="preserve"> </w:t>
      </w:r>
      <w:r w:rsidR="006F4B5B" w:rsidRPr="613D9665">
        <w:rPr>
          <w:rFonts w:ascii="Arial" w:eastAsia="Arial" w:hAnsi="Arial" w:cs="Arial"/>
        </w:rPr>
        <w:t>CCL</w:t>
      </w:r>
      <w:r w:rsidR="0049636E">
        <w:rPr>
          <w:rFonts w:ascii="Arial" w:eastAsia="Arial" w:hAnsi="Arial" w:cs="Arial"/>
        </w:rPr>
        <w:t>CS</w:t>
      </w:r>
      <w:r w:rsidR="006F4B5B" w:rsidRPr="613D9665">
        <w:rPr>
          <w:rFonts w:ascii="Arial" w:eastAsia="Arial" w:hAnsi="Arial" w:cs="Arial"/>
        </w:rPr>
        <w:t xml:space="preserve"> received the loan from Eastern Bank with a five-year repayment term.</w:t>
      </w:r>
      <w:r w:rsidR="006235DC">
        <w:rPr>
          <w:rFonts w:ascii="Arial" w:eastAsia="Arial" w:hAnsi="Arial" w:cs="Arial"/>
        </w:rPr>
        <w:t xml:space="preserve"> CCLCS</w:t>
      </w:r>
      <w:r w:rsidR="005D4FA9">
        <w:rPr>
          <w:rFonts w:ascii="Arial" w:eastAsia="Arial" w:hAnsi="Arial" w:cs="Arial"/>
        </w:rPr>
        <w:t>, however,</w:t>
      </w:r>
      <w:r w:rsidR="006235DC">
        <w:rPr>
          <w:rFonts w:ascii="Arial" w:eastAsia="Arial" w:hAnsi="Arial" w:cs="Arial"/>
        </w:rPr>
        <w:t xml:space="preserve"> failed to seek</w:t>
      </w:r>
      <w:r w:rsidR="00F724BA">
        <w:rPr>
          <w:rFonts w:ascii="Arial" w:eastAsia="Arial" w:hAnsi="Arial" w:cs="Arial"/>
        </w:rPr>
        <w:t xml:space="preserve"> timely</w:t>
      </w:r>
      <w:r w:rsidR="006235DC">
        <w:rPr>
          <w:rFonts w:ascii="Arial" w:eastAsia="Arial" w:hAnsi="Arial" w:cs="Arial"/>
        </w:rPr>
        <w:t xml:space="preserve"> approval; the school submitted a request once the school was aware of its oversight. The loan agreement was updated to reflect the language required by the Department. </w:t>
      </w:r>
      <w:r w:rsidR="00A44734">
        <w:rPr>
          <w:rFonts w:ascii="Arial" w:eastAsia="Arial" w:hAnsi="Arial" w:cs="Arial"/>
        </w:rPr>
        <w:t>CCLCS used t</w:t>
      </w:r>
      <w:r w:rsidR="006F4B5B" w:rsidRPr="613D9665">
        <w:rPr>
          <w:rFonts w:ascii="Arial" w:eastAsia="Arial" w:hAnsi="Arial" w:cs="Arial"/>
        </w:rPr>
        <w:t xml:space="preserve">he funds for necessary roof repairs. </w:t>
      </w:r>
    </w:p>
    <w:p w14:paraId="1100F3E4" w14:textId="77777777" w:rsidR="00E12ADA" w:rsidRDefault="00E12ADA" w:rsidP="00325BE0">
      <w:pPr>
        <w:spacing w:after="0" w:line="240" w:lineRule="auto"/>
        <w:rPr>
          <w:rFonts w:ascii="Arial" w:eastAsia="Arial" w:hAnsi="Arial" w:cs="Arial"/>
        </w:rPr>
      </w:pPr>
    </w:p>
    <w:p w14:paraId="332FEFBE" w14:textId="6D44E776" w:rsidR="006F4B5B" w:rsidRPr="009731B7" w:rsidRDefault="006F4B5B" w:rsidP="0012302B">
      <w:pPr>
        <w:spacing w:after="0" w:line="240" w:lineRule="auto"/>
        <w:rPr>
          <w:rFonts w:ascii="Arial" w:eastAsia="Arial" w:hAnsi="Arial" w:cs="Arial"/>
        </w:rPr>
      </w:pPr>
      <w:r w:rsidRPr="613D9665">
        <w:rPr>
          <w:rFonts w:ascii="Arial" w:eastAsia="Arial" w:hAnsi="Arial" w:cs="Arial"/>
        </w:rPr>
        <w:t>In a letter dated May 14, 2025, the board of trustees of</w:t>
      </w:r>
      <w:r w:rsidRPr="613D9665">
        <w:rPr>
          <w:rFonts w:ascii="Arial" w:eastAsia="Arial" w:hAnsi="Arial" w:cs="Arial"/>
          <w:b/>
          <w:bCs/>
        </w:rPr>
        <w:t xml:space="preserve"> Pioneer Charter School of Science II </w:t>
      </w:r>
      <w:r w:rsidRPr="613D9665">
        <w:rPr>
          <w:rFonts w:ascii="Arial" w:eastAsia="Arial" w:hAnsi="Arial" w:cs="Arial"/>
        </w:rPr>
        <w:t>(PCSS II)</w:t>
      </w:r>
      <w:r w:rsidRPr="613D9665">
        <w:rPr>
          <w:rFonts w:ascii="Arial" w:eastAsia="Arial" w:hAnsi="Arial" w:cs="Arial"/>
          <w:b/>
          <w:bCs/>
        </w:rPr>
        <w:t xml:space="preserve"> </w:t>
      </w:r>
      <w:r w:rsidRPr="613D9665">
        <w:rPr>
          <w:rFonts w:ascii="Arial" w:eastAsia="Arial" w:hAnsi="Arial" w:cs="Arial"/>
        </w:rPr>
        <w:t xml:space="preserve">requested approval to enter into a loan agreement in the amount of $29,800,000 from Salem Five Bank. In their request for approval, PCSS II stated that the loan </w:t>
      </w:r>
      <w:r w:rsidR="00532772">
        <w:rPr>
          <w:rFonts w:ascii="Arial" w:eastAsia="Arial" w:hAnsi="Arial" w:cs="Arial"/>
        </w:rPr>
        <w:t>would</w:t>
      </w:r>
      <w:r w:rsidR="00532772" w:rsidRPr="613D9665">
        <w:rPr>
          <w:rFonts w:ascii="Arial" w:eastAsia="Arial" w:hAnsi="Arial" w:cs="Arial"/>
        </w:rPr>
        <w:t xml:space="preserve"> </w:t>
      </w:r>
      <w:r w:rsidRPr="613D9665">
        <w:rPr>
          <w:rFonts w:ascii="Arial" w:eastAsia="Arial" w:hAnsi="Arial" w:cs="Arial"/>
        </w:rPr>
        <w:t>be obtained through the proceeds of tax-exempt bonds issued by the Massachusetts Development Finance Agency (MDFA). The loan will have a 32-year term</w:t>
      </w:r>
      <w:r w:rsidR="00532772">
        <w:rPr>
          <w:rFonts w:ascii="Arial" w:eastAsia="Arial" w:hAnsi="Arial" w:cs="Arial"/>
        </w:rPr>
        <w:t xml:space="preserve">. </w:t>
      </w:r>
      <w:r w:rsidR="00727CE2">
        <w:rPr>
          <w:rFonts w:ascii="Arial" w:eastAsia="Arial" w:hAnsi="Arial" w:cs="Arial"/>
        </w:rPr>
        <w:t>PCSS II</w:t>
      </w:r>
      <w:r w:rsidRPr="613D9665">
        <w:rPr>
          <w:rFonts w:ascii="Arial" w:eastAsia="Arial" w:hAnsi="Arial" w:cs="Arial"/>
        </w:rPr>
        <w:t xml:space="preserve"> will use</w:t>
      </w:r>
      <w:r w:rsidR="00727CE2">
        <w:rPr>
          <w:rFonts w:ascii="Arial" w:eastAsia="Arial" w:hAnsi="Arial" w:cs="Arial"/>
        </w:rPr>
        <w:t xml:space="preserve"> the loan to</w:t>
      </w:r>
      <w:r w:rsidRPr="613D9665">
        <w:rPr>
          <w:rFonts w:ascii="Arial" w:eastAsia="Arial" w:hAnsi="Arial" w:cs="Arial"/>
        </w:rPr>
        <w:t xml:space="preserve"> acqui</w:t>
      </w:r>
      <w:r w:rsidR="00727CE2">
        <w:rPr>
          <w:rFonts w:ascii="Arial" w:eastAsia="Arial" w:hAnsi="Arial" w:cs="Arial"/>
        </w:rPr>
        <w:t xml:space="preserve">re </w:t>
      </w:r>
      <w:r w:rsidRPr="613D9665">
        <w:rPr>
          <w:rFonts w:ascii="Arial" w:eastAsia="Arial" w:hAnsi="Arial" w:cs="Arial"/>
        </w:rPr>
        <w:t xml:space="preserve">and construct </w:t>
      </w:r>
      <w:r w:rsidR="00A849AD">
        <w:rPr>
          <w:rFonts w:ascii="Arial" w:eastAsia="Arial" w:hAnsi="Arial" w:cs="Arial"/>
        </w:rPr>
        <w:t>an additional</w:t>
      </w:r>
      <w:r w:rsidRPr="613D9665">
        <w:rPr>
          <w:rFonts w:ascii="Arial" w:eastAsia="Arial" w:hAnsi="Arial" w:cs="Arial"/>
        </w:rPr>
        <w:t xml:space="preserve"> </w:t>
      </w:r>
      <w:r w:rsidR="00A849AD">
        <w:rPr>
          <w:rFonts w:ascii="Arial" w:eastAsia="Arial" w:hAnsi="Arial" w:cs="Arial"/>
        </w:rPr>
        <w:t xml:space="preserve">property </w:t>
      </w:r>
      <w:r w:rsidR="00EB57B7">
        <w:rPr>
          <w:rFonts w:ascii="Arial" w:eastAsia="Arial" w:hAnsi="Arial" w:cs="Arial"/>
        </w:rPr>
        <w:t xml:space="preserve">to </w:t>
      </w:r>
      <w:r w:rsidR="005E5D7D">
        <w:rPr>
          <w:rFonts w:ascii="Arial" w:eastAsia="Arial" w:hAnsi="Arial" w:cs="Arial"/>
        </w:rPr>
        <w:t xml:space="preserve">complete implementation of its expansion </w:t>
      </w:r>
      <w:r w:rsidR="00B42161">
        <w:rPr>
          <w:rFonts w:ascii="Arial" w:eastAsia="Arial" w:hAnsi="Arial" w:cs="Arial"/>
        </w:rPr>
        <w:t xml:space="preserve">from a 7-12 school </w:t>
      </w:r>
      <w:r w:rsidR="005E5D7D">
        <w:rPr>
          <w:rFonts w:ascii="Arial" w:eastAsia="Arial" w:hAnsi="Arial" w:cs="Arial"/>
        </w:rPr>
        <w:t xml:space="preserve">to </w:t>
      </w:r>
      <w:r w:rsidR="0025213E">
        <w:rPr>
          <w:rFonts w:ascii="Arial" w:eastAsia="Arial" w:hAnsi="Arial" w:cs="Arial"/>
        </w:rPr>
        <w:t xml:space="preserve">a K-12 school serving </w:t>
      </w:r>
      <w:r w:rsidR="004F103D">
        <w:rPr>
          <w:rFonts w:ascii="Arial" w:eastAsia="Arial" w:hAnsi="Arial" w:cs="Arial"/>
        </w:rPr>
        <w:t>858 students</w:t>
      </w:r>
      <w:r w:rsidRPr="613D9665">
        <w:rPr>
          <w:rFonts w:ascii="Arial" w:eastAsia="Arial" w:hAnsi="Arial" w:cs="Arial"/>
        </w:rPr>
        <w:t>.</w:t>
      </w:r>
      <w:r w:rsidR="000F65B4">
        <w:rPr>
          <w:rFonts w:ascii="Arial" w:eastAsia="Arial" w:hAnsi="Arial" w:cs="Arial"/>
        </w:rPr>
        <w:t xml:space="preserve"> </w:t>
      </w:r>
    </w:p>
    <w:p w14:paraId="68EA880F" w14:textId="77777777" w:rsidR="00E12ADA" w:rsidRDefault="00E12ADA" w:rsidP="00325BE0">
      <w:pPr>
        <w:autoSpaceDE w:val="0"/>
        <w:autoSpaceDN w:val="0"/>
        <w:adjustRightInd w:val="0"/>
        <w:spacing w:after="0" w:line="240" w:lineRule="auto"/>
        <w:rPr>
          <w:rFonts w:ascii="Arial" w:eastAsia="Arial" w:hAnsi="Arial" w:cs="Arial"/>
        </w:rPr>
      </w:pPr>
    </w:p>
    <w:p w14:paraId="7CEBC990" w14:textId="3C38C501" w:rsidR="006F4B5B" w:rsidRPr="009731B7" w:rsidRDefault="006F4B5B" w:rsidP="0012302B">
      <w:pPr>
        <w:autoSpaceDE w:val="0"/>
        <w:autoSpaceDN w:val="0"/>
        <w:adjustRightInd w:val="0"/>
        <w:spacing w:after="0" w:line="240" w:lineRule="auto"/>
        <w:rPr>
          <w:rFonts w:ascii="Arial" w:eastAsia="Arial" w:hAnsi="Arial" w:cs="Arial"/>
        </w:rPr>
      </w:pPr>
      <w:r w:rsidRPr="613D9665">
        <w:rPr>
          <w:rFonts w:ascii="Arial" w:eastAsia="Arial" w:hAnsi="Arial" w:cs="Arial"/>
        </w:rPr>
        <w:t>This memorandum provides written confirmation of my approval, pursuant to G.L. c. 71,</w:t>
      </w:r>
    </w:p>
    <w:p w14:paraId="4ADA26AF" w14:textId="1193EFC0" w:rsidR="00E73BCA" w:rsidRDefault="006F4B5B" w:rsidP="00325BE0">
      <w:pPr>
        <w:spacing w:after="0" w:line="240" w:lineRule="auto"/>
        <w:ind w:right="-270"/>
        <w:rPr>
          <w:rFonts w:ascii="Arial" w:eastAsia="Arial" w:hAnsi="Arial" w:cs="Arial"/>
        </w:rPr>
      </w:pPr>
      <w:r w:rsidRPr="613D9665">
        <w:rPr>
          <w:rFonts w:ascii="Arial" w:eastAsia="Arial" w:hAnsi="Arial" w:cs="Arial"/>
        </w:rPr>
        <w:t xml:space="preserve">§ 89(k)(6), of the repayment duration for the loans and agreements described above, </w:t>
      </w:r>
      <w:r w:rsidR="00893F3E">
        <w:rPr>
          <w:rFonts w:ascii="Arial" w:eastAsia="Arial" w:hAnsi="Arial" w:cs="Arial"/>
        </w:rPr>
        <w:t xml:space="preserve">all of </w:t>
      </w:r>
      <w:r w:rsidRPr="613D9665">
        <w:rPr>
          <w:rFonts w:ascii="Arial" w:eastAsia="Arial" w:hAnsi="Arial" w:cs="Arial"/>
        </w:rPr>
        <w:t xml:space="preserve">which exceed the length of these schools’ charters. The Department reviewed these requests, and they were reasonable and consistent with the charter school statute and regulations. These approvals in no way reflect either the accountability status or the potential outcome regarding charter renewal for these charter schools. </w:t>
      </w:r>
      <w:r w:rsidR="00C41FEA">
        <w:rPr>
          <w:rFonts w:ascii="Arial" w:eastAsia="Arial" w:hAnsi="Arial" w:cs="Arial"/>
        </w:rPr>
        <w:t xml:space="preserve">Considering </w:t>
      </w:r>
      <w:r w:rsidR="0068632A">
        <w:rPr>
          <w:rFonts w:ascii="Arial" w:eastAsia="Arial" w:hAnsi="Arial" w:cs="Arial"/>
        </w:rPr>
        <w:t xml:space="preserve">the </w:t>
      </w:r>
      <w:proofErr w:type="gramStart"/>
      <w:r w:rsidR="00051313">
        <w:rPr>
          <w:rFonts w:ascii="Arial" w:eastAsia="Arial" w:hAnsi="Arial" w:cs="Arial"/>
        </w:rPr>
        <w:t>missteps</w:t>
      </w:r>
      <w:proofErr w:type="gramEnd"/>
      <w:r w:rsidR="00051313">
        <w:rPr>
          <w:rFonts w:ascii="Arial" w:eastAsia="Arial" w:hAnsi="Arial" w:cs="Arial"/>
        </w:rPr>
        <w:t xml:space="preserve"> of two charter schools last year, </w:t>
      </w:r>
      <w:r w:rsidR="00A63786">
        <w:rPr>
          <w:rFonts w:ascii="Arial" w:eastAsia="Arial" w:hAnsi="Arial" w:cs="Arial"/>
        </w:rPr>
        <w:t xml:space="preserve">the </w:t>
      </w:r>
      <w:r w:rsidR="00051313">
        <w:rPr>
          <w:rFonts w:ascii="Arial" w:eastAsia="Arial" w:hAnsi="Arial" w:cs="Arial"/>
        </w:rPr>
        <w:t xml:space="preserve">Department </w:t>
      </w:r>
      <w:r w:rsidR="00A63786">
        <w:rPr>
          <w:rFonts w:ascii="Arial" w:eastAsia="Arial" w:hAnsi="Arial" w:cs="Arial"/>
        </w:rPr>
        <w:t xml:space="preserve">has </w:t>
      </w:r>
      <w:r w:rsidR="00D53D6F">
        <w:rPr>
          <w:rFonts w:ascii="Arial" w:eastAsia="Arial" w:hAnsi="Arial" w:cs="Arial"/>
        </w:rPr>
        <w:t xml:space="preserve">strengthened </w:t>
      </w:r>
      <w:r w:rsidR="008130D5">
        <w:rPr>
          <w:rFonts w:ascii="Arial" w:eastAsia="Arial" w:hAnsi="Arial" w:cs="Arial"/>
        </w:rPr>
        <w:t xml:space="preserve">internal processes to ensure that </w:t>
      </w:r>
      <w:r w:rsidR="00C004CA">
        <w:rPr>
          <w:rFonts w:ascii="Arial" w:eastAsia="Arial" w:hAnsi="Arial" w:cs="Arial"/>
        </w:rPr>
        <w:t xml:space="preserve">Department staff identify </w:t>
      </w:r>
      <w:r w:rsidR="005C4286">
        <w:rPr>
          <w:rFonts w:ascii="Arial" w:eastAsia="Arial" w:hAnsi="Arial" w:cs="Arial"/>
        </w:rPr>
        <w:t xml:space="preserve">earlier in the process </w:t>
      </w:r>
      <w:r w:rsidR="00570CF9">
        <w:rPr>
          <w:rFonts w:ascii="Arial" w:eastAsia="Arial" w:hAnsi="Arial" w:cs="Arial"/>
        </w:rPr>
        <w:t>any</w:t>
      </w:r>
      <w:r w:rsidR="00C004CA">
        <w:rPr>
          <w:rFonts w:ascii="Arial" w:eastAsia="Arial" w:hAnsi="Arial" w:cs="Arial"/>
        </w:rPr>
        <w:t xml:space="preserve"> prospective</w:t>
      </w:r>
      <w:r w:rsidR="00822DF2">
        <w:rPr>
          <w:rFonts w:ascii="Arial" w:eastAsia="Arial" w:hAnsi="Arial" w:cs="Arial"/>
        </w:rPr>
        <w:t xml:space="preserve"> capital projects that may involve a loan agreement that exceeds a school’s charter term.</w:t>
      </w:r>
      <w:r w:rsidR="0068632A">
        <w:rPr>
          <w:rFonts w:ascii="Arial" w:eastAsia="Arial" w:hAnsi="Arial" w:cs="Arial"/>
        </w:rPr>
        <w:t xml:space="preserve"> </w:t>
      </w:r>
    </w:p>
    <w:p w14:paraId="0BE1F92B" w14:textId="77777777" w:rsidR="00A835F5" w:rsidRDefault="00A835F5" w:rsidP="00A63786">
      <w:pPr>
        <w:spacing w:after="0" w:line="240" w:lineRule="auto"/>
        <w:ind w:right="-270"/>
        <w:rPr>
          <w:rFonts w:ascii="Arial" w:eastAsia="Arial" w:hAnsi="Arial" w:cs="Arial"/>
        </w:rPr>
      </w:pPr>
    </w:p>
    <w:p w14:paraId="1258AC9C" w14:textId="04EA8403" w:rsidR="00E63E19" w:rsidRPr="003A4024" w:rsidRDefault="00A63786" w:rsidP="3F11CFCB">
      <w:pPr>
        <w:spacing w:after="0" w:line="240" w:lineRule="auto"/>
        <w:ind w:right="-270"/>
        <w:rPr>
          <w:rFonts w:ascii="Arial" w:eastAsia="Arial" w:hAnsi="Arial" w:cs="Arial"/>
        </w:rPr>
      </w:pPr>
      <w:r w:rsidRPr="3F11CFCB">
        <w:rPr>
          <w:rFonts w:ascii="Arial" w:eastAsia="Arial" w:hAnsi="Arial" w:cs="Arial"/>
        </w:rPr>
        <w:lastRenderedPageBreak/>
        <w:t xml:space="preserve">If you have any questions regarding this matter or require additional information, please contact Lauren Secatore, Chief of Staff, at </w:t>
      </w:r>
      <w:hyperlink r:id="rId12">
        <w:r w:rsidRPr="3F11CFCB">
          <w:rPr>
            <w:rStyle w:val="Hyperlink"/>
            <w:rFonts w:ascii="Arial" w:eastAsia="Arial" w:hAnsi="Arial" w:cs="Arial"/>
          </w:rPr>
          <w:t>Lauren.Secatore@mass.gov</w:t>
        </w:r>
      </w:hyperlink>
      <w:r w:rsidRPr="3F11CFCB">
        <w:rPr>
          <w:rFonts w:ascii="Arial" w:eastAsia="Arial" w:hAnsi="Arial" w:cs="Arial"/>
        </w:rPr>
        <w:t>, or me. </w:t>
      </w:r>
    </w:p>
    <w:sectPr w:rsidR="00E63E19" w:rsidRPr="003A4024" w:rsidSect="00725BB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E6EB1" w14:textId="77777777" w:rsidR="00C01B14" w:rsidRDefault="00C01B14" w:rsidP="00C84EE3">
      <w:pPr>
        <w:spacing w:after="0" w:line="240" w:lineRule="auto"/>
      </w:pPr>
      <w:r>
        <w:separator/>
      </w:r>
    </w:p>
  </w:endnote>
  <w:endnote w:type="continuationSeparator" w:id="0">
    <w:p w14:paraId="2436E297" w14:textId="77777777" w:rsidR="00C01B14" w:rsidRDefault="00C01B14"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77360C6D">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65364E12">
              <wp:simplePos x="0" y="0"/>
              <wp:positionH relativeFrom="margin">
                <wp:align>center</wp:align>
              </wp:positionH>
              <wp:positionV relativeFrom="paragraph">
                <wp:posOffset>198755</wp:posOffset>
              </wp:positionV>
              <wp:extent cx="7472567" cy="495510"/>
              <wp:effectExtent l="0" t="0" r="0" b="0"/>
              <wp:wrapNone/>
              <wp:docPr id="172510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1D1E" w14:textId="77777777" w:rsidR="00C01B14" w:rsidRDefault="00C01B14" w:rsidP="00C84EE3">
      <w:pPr>
        <w:spacing w:after="0" w:line="240" w:lineRule="auto"/>
      </w:pPr>
      <w:r>
        <w:separator/>
      </w:r>
    </w:p>
  </w:footnote>
  <w:footnote w:type="continuationSeparator" w:id="0">
    <w:p w14:paraId="26ACEDF5" w14:textId="77777777" w:rsidR="00C01B14" w:rsidRDefault="00C01B14"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24E9C72">
          <wp:simplePos x="0" y="0"/>
          <wp:positionH relativeFrom="column">
            <wp:posOffset>-926591</wp:posOffset>
          </wp:positionH>
          <wp:positionV relativeFrom="paragraph">
            <wp:posOffset>-688848</wp:posOffset>
          </wp:positionV>
          <wp:extent cx="7798432" cy="1541847"/>
          <wp:effectExtent l="0" t="0" r="0" b="0"/>
          <wp:wrapNone/>
          <wp:docPr id="67152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2918"/>
    <w:rsid w:val="00025C13"/>
    <w:rsid w:val="00032C6B"/>
    <w:rsid w:val="00051313"/>
    <w:rsid w:val="00097805"/>
    <w:rsid w:val="000A12E8"/>
    <w:rsid w:val="000A756D"/>
    <w:rsid w:val="000A78DC"/>
    <w:rsid w:val="000B1AC3"/>
    <w:rsid w:val="000C3C3C"/>
    <w:rsid w:val="000C5353"/>
    <w:rsid w:val="000E41C5"/>
    <w:rsid w:val="000F11A7"/>
    <w:rsid w:val="000F65B4"/>
    <w:rsid w:val="0012302B"/>
    <w:rsid w:val="00132C55"/>
    <w:rsid w:val="001652B1"/>
    <w:rsid w:val="001745BD"/>
    <w:rsid w:val="00184FD7"/>
    <w:rsid w:val="001B3D3D"/>
    <w:rsid w:val="001C5006"/>
    <w:rsid w:val="00217C1C"/>
    <w:rsid w:val="00227D97"/>
    <w:rsid w:val="00233C5E"/>
    <w:rsid w:val="0025132B"/>
    <w:rsid w:val="0025213E"/>
    <w:rsid w:val="00271D8A"/>
    <w:rsid w:val="00291B86"/>
    <w:rsid w:val="0029660B"/>
    <w:rsid w:val="00297F85"/>
    <w:rsid w:val="002A18FA"/>
    <w:rsid w:val="002D3179"/>
    <w:rsid w:val="002E4BDE"/>
    <w:rsid w:val="00325BE0"/>
    <w:rsid w:val="003367DC"/>
    <w:rsid w:val="003569AB"/>
    <w:rsid w:val="00362958"/>
    <w:rsid w:val="00373144"/>
    <w:rsid w:val="003A4024"/>
    <w:rsid w:val="003A463F"/>
    <w:rsid w:val="003B6E52"/>
    <w:rsid w:val="003C0E5E"/>
    <w:rsid w:val="003D3233"/>
    <w:rsid w:val="003E2FDF"/>
    <w:rsid w:val="00490D13"/>
    <w:rsid w:val="0049636E"/>
    <w:rsid w:val="004B5397"/>
    <w:rsid w:val="004C46FB"/>
    <w:rsid w:val="004F103D"/>
    <w:rsid w:val="00515C60"/>
    <w:rsid w:val="00523ADE"/>
    <w:rsid w:val="00532772"/>
    <w:rsid w:val="00560D69"/>
    <w:rsid w:val="00570CF9"/>
    <w:rsid w:val="005B44E1"/>
    <w:rsid w:val="005C4286"/>
    <w:rsid w:val="005D4FA9"/>
    <w:rsid w:val="005E5D7D"/>
    <w:rsid w:val="005F54F4"/>
    <w:rsid w:val="00600225"/>
    <w:rsid w:val="00605234"/>
    <w:rsid w:val="006235DC"/>
    <w:rsid w:val="0068632A"/>
    <w:rsid w:val="006C3192"/>
    <w:rsid w:val="006F4B5B"/>
    <w:rsid w:val="00725BB6"/>
    <w:rsid w:val="00725E5D"/>
    <w:rsid w:val="00727CE2"/>
    <w:rsid w:val="007415A4"/>
    <w:rsid w:val="007647E2"/>
    <w:rsid w:val="00764AF1"/>
    <w:rsid w:val="007A1679"/>
    <w:rsid w:val="007C31B8"/>
    <w:rsid w:val="007D7024"/>
    <w:rsid w:val="00800040"/>
    <w:rsid w:val="008130D5"/>
    <w:rsid w:val="00822DF2"/>
    <w:rsid w:val="008400CC"/>
    <w:rsid w:val="00882ACB"/>
    <w:rsid w:val="00893F3E"/>
    <w:rsid w:val="008B4427"/>
    <w:rsid w:val="008B6E31"/>
    <w:rsid w:val="008D3F4B"/>
    <w:rsid w:val="008D736D"/>
    <w:rsid w:val="009214F2"/>
    <w:rsid w:val="00922FD3"/>
    <w:rsid w:val="00984629"/>
    <w:rsid w:val="009A28ED"/>
    <w:rsid w:val="009B3575"/>
    <w:rsid w:val="009C3EDD"/>
    <w:rsid w:val="00A44734"/>
    <w:rsid w:val="00A46179"/>
    <w:rsid w:val="00A47614"/>
    <w:rsid w:val="00A53D82"/>
    <w:rsid w:val="00A63786"/>
    <w:rsid w:val="00A64A09"/>
    <w:rsid w:val="00A835F5"/>
    <w:rsid w:val="00A849AD"/>
    <w:rsid w:val="00A937BB"/>
    <w:rsid w:val="00AB547A"/>
    <w:rsid w:val="00AC0BE3"/>
    <w:rsid w:val="00AC2A7B"/>
    <w:rsid w:val="00AD3A5A"/>
    <w:rsid w:val="00AE48FC"/>
    <w:rsid w:val="00AF2FF0"/>
    <w:rsid w:val="00AF6A3B"/>
    <w:rsid w:val="00B071E8"/>
    <w:rsid w:val="00B150A1"/>
    <w:rsid w:val="00B16216"/>
    <w:rsid w:val="00B177F7"/>
    <w:rsid w:val="00B42161"/>
    <w:rsid w:val="00B86B01"/>
    <w:rsid w:val="00B95FFD"/>
    <w:rsid w:val="00BE0EFA"/>
    <w:rsid w:val="00BE5695"/>
    <w:rsid w:val="00C004CA"/>
    <w:rsid w:val="00C01B14"/>
    <w:rsid w:val="00C3665B"/>
    <w:rsid w:val="00C41FEA"/>
    <w:rsid w:val="00C427DA"/>
    <w:rsid w:val="00C646D2"/>
    <w:rsid w:val="00C824D2"/>
    <w:rsid w:val="00C84EE3"/>
    <w:rsid w:val="00CA2D59"/>
    <w:rsid w:val="00CF5ED1"/>
    <w:rsid w:val="00D43805"/>
    <w:rsid w:val="00D53D6F"/>
    <w:rsid w:val="00D66597"/>
    <w:rsid w:val="00D80DF2"/>
    <w:rsid w:val="00DA5FC6"/>
    <w:rsid w:val="00DE3F64"/>
    <w:rsid w:val="00DF736A"/>
    <w:rsid w:val="00E0707D"/>
    <w:rsid w:val="00E12ADA"/>
    <w:rsid w:val="00E63E19"/>
    <w:rsid w:val="00E73BCA"/>
    <w:rsid w:val="00EA7F65"/>
    <w:rsid w:val="00EB57B7"/>
    <w:rsid w:val="00F00022"/>
    <w:rsid w:val="00F07FED"/>
    <w:rsid w:val="00F2068B"/>
    <w:rsid w:val="00F24E91"/>
    <w:rsid w:val="00F37A3A"/>
    <w:rsid w:val="00F41413"/>
    <w:rsid w:val="00F724BA"/>
    <w:rsid w:val="00FA56E8"/>
    <w:rsid w:val="00FC5215"/>
    <w:rsid w:val="00FF14AB"/>
    <w:rsid w:val="05D2BC21"/>
    <w:rsid w:val="0B23F0C0"/>
    <w:rsid w:val="0B7587BC"/>
    <w:rsid w:val="20551977"/>
    <w:rsid w:val="26CE5A05"/>
    <w:rsid w:val="29610792"/>
    <w:rsid w:val="2CED35D0"/>
    <w:rsid w:val="3F11CFCB"/>
    <w:rsid w:val="45A980F8"/>
    <w:rsid w:val="46A8C622"/>
    <w:rsid w:val="54537A78"/>
    <w:rsid w:val="55B73D35"/>
    <w:rsid w:val="576581F6"/>
    <w:rsid w:val="5B69D71A"/>
    <w:rsid w:val="6C7F4CC6"/>
    <w:rsid w:val="71D28976"/>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paragraph" w:styleId="Revision">
    <w:name w:val="Revision"/>
    <w:hidden/>
    <w:uiPriority w:val="99"/>
    <w:semiHidden/>
    <w:rsid w:val="00F37A3A"/>
    <w:pPr>
      <w:spacing w:after="0" w:line="240" w:lineRule="auto"/>
    </w:pPr>
  </w:style>
  <w:style w:type="character" w:styleId="CommentReference">
    <w:name w:val="annotation reference"/>
    <w:basedOn w:val="DefaultParagraphFont"/>
    <w:uiPriority w:val="99"/>
    <w:semiHidden/>
    <w:unhideWhenUsed/>
    <w:rsid w:val="006235DC"/>
    <w:rPr>
      <w:sz w:val="16"/>
      <w:szCs w:val="16"/>
    </w:rPr>
  </w:style>
  <w:style w:type="paragraph" w:styleId="CommentText">
    <w:name w:val="annotation text"/>
    <w:basedOn w:val="Normal"/>
    <w:link w:val="CommentTextChar"/>
    <w:uiPriority w:val="99"/>
    <w:unhideWhenUsed/>
    <w:rsid w:val="006235DC"/>
    <w:pPr>
      <w:spacing w:line="240" w:lineRule="auto"/>
    </w:pPr>
    <w:rPr>
      <w:sz w:val="20"/>
      <w:szCs w:val="20"/>
    </w:rPr>
  </w:style>
  <w:style w:type="character" w:customStyle="1" w:styleId="CommentTextChar">
    <w:name w:val="Comment Text Char"/>
    <w:basedOn w:val="DefaultParagraphFont"/>
    <w:link w:val="CommentText"/>
    <w:uiPriority w:val="99"/>
    <w:rsid w:val="006235DC"/>
    <w:rPr>
      <w:sz w:val="20"/>
      <w:szCs w:val="20"/>
    </w:rPr>
  </w:style>
  <w:style w:type="paragraph" w:styleId="CommentSubject">
    <w:name w:val="annotation subject"/>
    <w:basedOn w:val="CommentText"/>
    <w:next w:val="CommentText"/>
    <w:link w:val="CommentSubjectChar"/>
    <w:uiPriority w:val="99"/>
    <w:semiHidden/>
    <w:unhideWhenUsed/>
    <w:rsid w:val="006235DC"/>
    <w:rPr>
      <w:b/>
      <w:bCs/>
    </w:rPr>
  </w:style>
  <w:style w:type="character" w:customStyle="1" w:styleId="CommentSubjectChar">
    <w:name w:val="Comment Subject Char"/>
    <w:basedOn w:val="CommentTextChar"/>
    <w:link w:val="CommentSubject"/>
    <w:uiPriority w:val="99"/>
    <w:semiHidden/>
    <w:rsid w:val="006235DC"/>
    <w:rPr>
      <w:b/>
      <w:bCs/>
      <w:sz w:val="20"/>
      <w:szCs w:val="20"/>
    </w:rPr>
  </w:style>
  <w:style w:type="character" w:styleId="Mention">
    <w:name w:val="Mention"/>
    <w:basedOn w:val="DefaultParagraphFont"/>
    <w:uiPriority w:val="99"/>
    <w:unhideWhenUsed/>
    <w:rsid w:val="006235DC"/>
    <w:rPr>
      <w:color w:val="2B579A"/>
      <w:shd w:val="clear" w:color="auto" w:fill="E1DFDD"/>
    </w:rPr>
  </w:style>
  <w:style w:type="character" w:styleId="Hyperlink">
    <w:name w:val="Hyperlink"/>
    <w:basedOn w:val="DefaultParagraphFont"/>
    <w:uiPriority w:val="99"/>
    <w:unhideWhenUsed/>
    <w:rsid w:val="007A1679"/>
    <w:rPr>
      <w:color w:val="467886" w:themeColor="hyperlink"/>
      <w:u w:val="single"/>
    </w:rPr>
  </w:style>
  <w:style w:type="character" w:styleId="UnresolvedMention">
    <w:name w:val="Unresolved Mention"/>
    <w:basedOn w:val="DefaultParagraphFont"/>
    <w:uiPriority w:val="99"/>
    <w:semiHidden/>
    <w:unhideWhenUsed/>
    <w:rsid w:val="007A1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auren.secatore@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0E5D1-2DE9-4C23-B51D-FF8240081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4582</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BESE October 28, 2025 Regular Meeting Item 8: Report on Charter Schools: Approval of Loans Beyond the Charter Term</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8: Report on Charter Schools: Approval of Loans Beyond the Charter Term</dc:title>
  <dc:subject/>
  <dc:creator>DESE</dc:creator>
  <cp:keywords/>
  <dc:description/>
  <cp:lastModifiedBy>Zou, Dong (EOE)</cp:lastModifiedBy>
  <cp:revision>5</cp:revision>
  <dcterms:created xsi:type="dcterms:W3CDTF">2025-10-21T22:24:00Z</dcterms:created>
  <dcterms:modified xsi:type="dcterms:W3CDTF">2025-10-22T17:30:00Z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