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AF1F0" w14:textId="77777777" w:rsidR="000F11A7" w:rsidRDefault="000F11A7">
      <w:pPr>
        <w:sectPr w:rsidR="000F11A7" w:rsidSect="00C84EE3">
          <w:footerReference w:type="default" r:id="rId9"/>
          <w:headerReference w:type="first" r:id="rId10"/>
          <w:footerReference w:type="first" r:id="rId11"/>
          <w:pgSz w:w="12240" w:h="15840"/>
          <w:pgMar w:top="1440" w:right="1440" w:bottom="1440" w:left="1440" w:header="720" w:footer="720" w:gutter="0"/>
          <w:cols w:space="720"/>
          <w:titlePg/>
          <w:docGrid w:linePitch="360"/>
        </w:sectPr>
      </w:pPr>
    </w:p>
    <w:p w14:paraId="700F3508" w14:textId="77777777" w:rsidR="00C3665B" w:rsidRPr="00482BA2" w:rsidRDefault="00C3665B" w:rsidP="5BEF9C21">
      <w:pPr>
        <w:pStyle w:val="Heading1"/>
        <w:jc w:val="center"/>
        <w:rPr>
          <w:rFonts w:ascii="Arial" w:eastAsia="Arial" w:hAnsi="Arial" w:cs="Arial"/>
          <w:b/>
          <w:bCs/>
          <w:color w:val="000000" w:themeColor="text1"/>
        </w:rPr>
      </w:pPr>
      <w:r w:rsidRPr="1DB47B2A">
        <w:rPr>
          <w:rFonts w:ascii="Arial" w:eastAsia="Arial" w:hAnsi="Arial" w:cs="Arial"/>
          <w:b/>
          <w:bCs/>
          <w:color w:val="000000" w:themeColor="text1"/>
        </w:rPr>
        <w:t>MEMORANDUM</w:t>
      </w:r>
    </w:p>
    <w:p w14:paraId="1272747C" w14:textId="77777777" w:rsidR="00C3665B" w:rsidRPr="00482BA2" w:rsidRDefault="00C3665B" w:rsidP="00C3665B">
      <w:pPr>
        <w:widowControl w:val="0"/>
        <w:tabs>
          <w:tab w:val="center" w:pos="4680"/>
          <w:tab w:val="right" w:pos="9360"/>
        </w:tabs>
        <w:spacing w:after="0" w:line="240" w:lineRule="auto"/>
        <w:rPr>
          <w:rFonts w:ascii="Arial" w:hAnsi="Arial" w:cs="Arial"/>
          <w:snapToGrid w:val="0"/>
          <w:szCs w:val="20"/>
        </w:rPr>
      </w:pPr>
    </w:p>
    <w:tbl>
      <w:tblPr>
        <w:tblW w:w="9360" w:type="dxa"/>
        <w:tblLook w:val="01E0" w:firstRow="1" w:lastRow="1" w:firstColumn="1" w:lastColumn="1" w:noHBand="0" w:noVBand="0"/>
      </w:tblPr>
      <w:tblGrid>
        <w:gridCol w:w="1395"/>
        <w:gridCol w:w="7965"/>
      </w:tblGrid>
      <w:tr w:rsidR="00C3665B" w:rsidRPr="00482BA2" w14:paraId="30B0F129" w14:textId="77777777" w:rsidTr="2BEB5B13">
        <w:trPr>
          <w:trHeight w:val="300"/>
        </w:trPr>
        <w:tc>
          <w:tcPr>
            <w:tcW w:w="1395" w:type="dxa"/>
          </w:tcPr>
          <w:p w14:paraId="4BEB8732" w14:textId="77777777" w:rsidR="00C3665B" w:rsidRPr="00482BA2" w:rsidRDefault="00C3665B" w:rsidP="00C3665B">
            <w:pPr>
              <w:spacing w:after="0" w:line="240" w:lineRule="auto"/>
              <w:rPr>
                <w:rFonts w:ascii="Arial" w:hAnsi="Arial" w:cs="Arial"/>
                <w:b/>
              </w:rPr>
            </w:pPr>
            <w:r w:rsidRPr="00482BA2">
              <w:rPr>
                <w:rFonts w:ascii="Arial" w:hAnsi="Arial" w:cs="Arial"/>
                <w:b/>
              </w:rPr>
              <w:t>To:</w:t>
            </w:r>
          </w:p>
        </w:tc>
        <w:tc>
          <w:tcPr>
            <w:tcW w:w="7965" w:type="dxa"/>
          </w:tcPr>
          <w:p w14:paraId="25AE7450" w14:textId="11F95764" w:rsidR="00C3665B" w:rsidRPr="00482BA2" w:rsidRDefault="00D27E05" w:rsidP="7490E63A">
            <w:pPr>
              <w:widowControl w:val="0"/>
              <w:tabs>
                <w:tab w:val="center" w:pos="4680"/>
                <w:tab w:val="right" w:pos="9360"/>
              </w:tabs>
              <w:spacing w:after="0" w:line="240" w:lineRule="auto"/>
              <w:rPr>
                <w:rFonts w:ascii="Arial" w:eastAsia="Aptos" w:hAnsi="Arial" w:cs="Arial"/>
                <w:snapToGrid w:val="0"/>
              </w:rPr>
            </w:pPr>
            <w:r w:rsidRPr="00D27E05">
              <w:rPr>
                <w:rFonts w:ascii="Arial" w:eastAsia="Aptos" w:hAnsi="Arial" w:cs="Arial"/>
                <w:color w:val="000000" w:themeColor="text1"/>
              </w:rPr>
              <w:t>Members of the Board of Elementary and Secondary Education</w:t>
            </w:r>
            <w:r w:rsidR="0B7587BC" w:rsidRPr="00482BA2">
              <w:rPr>
                <w:rFonts w:ascii="Arial" w:eastAsia="Aptos" w:hAnsi="Arial" w:cs="Arial"/>
                <w:color w:val="000000" w:themeColor="text1"/>
              </w:rPr>
              <w:t> </w:t>
            </w:r>
          </w:p>
        </w:tc>
      </w:tr>
      <w:tr w:rsidR="00C3665B" w:rsidRPr="00482BA2" w14:paraId="014ADFC2" w14:textId="77777777" w:rsidTr="2BEB5B13">
        <w:trPr>
          <w:trHeight w:val="300"/>
        </w:trPr>
        <w:tc>
          <w:tcPr>
            <w:tcW w:w="1395" w:type="dxa"/>
          </w:tcPr>
          <w:p w14:paraId="0F209268" w14:textId="798AFE7C" w:rsidR="00C3665B" w:rsidRPr="00482BA2" w:rsidRDefault="00C3665B" w:rsidP="2BEB5B13">
            <w:pPr>
              <w:spacing w:after="0" w:line="240" w:lineRule="auto"/>
              <w:rPr>
                <w:rFonts w:ascii="Arial" w:hAnsi="Arial" w:cs="Arial"/>
                <w:b/>
                <w:bCs/>
              </w:rPr>
            </w:pPr>
            <w:r w:rsidRPr="2BEB5B13">
              <w:rPr>
                <w:rFonts w:ascii="Arial" w:hAnsi="Arial" w:cs="Arial"/>
                <w:b/>
                <w:bCs/>
              </w:rPr>
              <w:t>From:</w:t>
            </w:r>
          </w:p>
        </w:tc>
        <w:tc>
          <w:tcPr>
            <w:tcW w:w="7965" w:type="dxa"/>
          </w:tcPr>
          <w:p w14:paraId="6F9D5175" w14:textId="6691D35F" w:rsidR="00C3665B" w:rsidRPr="00482BA2" w:rsidRDefault="00AC2A7B" w:rsidP="00C3665B">
            <w:pPr>
              <w:widowControl w:val="0"/>
              <w:tabs>
                <w:tab w:val="center" w:pos="4680"/>
                <w:tab w:val="right" w:pos="9360"/>
              </w:tabs>
              <w:spacing w:after="0" w:line="240" w:lineRule="auto"/>
              <w:rPr>
                <w:rFonts w:ascii="Arial" w:hAnsi="Arial" w:cs="Arial"/>
                <w:bCs/>
                <w:snapToGrid w:val="0"/>
              </w:rPr>
            </w:pPr>
            <w:r w:rsidRPr="00482BA2">
              <w:rPr>
                <w:rFonts w:ascii="Arial" w:hAnsi="Arial" w:cs="Arial"/>
                <w:bCs/>
                <w:snapToGrid w:val="0"/>
              </w:rPr>
              <w:t>Pedro Martinez</w:t>
            </w:r>
            <w:r w:rsidR="00C3665B" w:rsidRPr="00482BA2">
              <w:rPr>
                <w:rFonts w:ascii="Arial" w:hAnsi="Arial" w:cs="Arial"/>
                <w:bCs/>
                <w:snapToGrid w:val="0"/>
              </w:rPr>
              <w:t>, Commissioner</w:t>
            </w:r>
          </w:p>
        </w:tc>
      </w:tr>
      <w:tr w:rsidR="00C3665B" w:rsidRPr="00482BA2" w14:paraId="02FD8403" w14:textId="77777777" w:rsidTr="2BEB5B13">
        <w:trPr>
          <w:trHeight w:val="300"/>
        </w:trPr>
        <w:tc>
          <w:tcPr>
            <w:tcW w:w="1395" w:type="dxa"/>
          </w:tcPr>
          <w:p w14:paraId="3076B878" w14:textId="55E843E3" w:rsidR="00C3665B" w:rsidRPr="00482BA2" w:rsidRDefault="00C3665B" w:rsidP="2BEB5B13">
            <w:pPr>
              <w:spacing w:after="0" w:line="240" w:lineRule="auto"/>
              <w:rPr>
                <w:rFonts w:ascii="Arial" w:hAnsi="Arial" w:cs="Arial"/>
                <w:b/>
                <w:bCs/>
              </w:rPr>
            </w:pPr>
            <w:r w:rsidRPr="2BEB5B13">
              <w:rPr>
                <w:rFonts w:ascii="Arial" w:hAnsi="Arial" w:cs="Arial"/>
                <w:b/>
                <w:bCs/>
              </w:rPr>
              <w:t>Date:</w:t>
            </w:r>
          </w:p>
        </w:tc>
        <w:tc>
          <w:tcPr>
            <w:tcW w:w="7965" w:type="dxa"/>
          </w:tcPr>
          <w:p w14:paraId="558FA6C4" w14:textId="293C116B" w:rsidR="00C3665B" w:rsidRPr="00482BA2" w:rsidRDefault="1455153B" w:rsidP="00C3665B">
            <w:pPr>
              <w:widowControl w:val="0"/>
              <w:tabs>
                <w:tab w:val="center" w:pos="4680"/>
                <w:tab w:val="right" w:pos="9360"/>
              </w:tabs>
              <w:spacing w:after="0" w:line="240" w:lineRule="auto"/>
              <w:rPr>
                <w:rFonts w:ascii="Arial" w:hAnsi="Arial" w:cs="Arial"/>
              </w:rPr>
            </w:pPr>
            <w:r w:rsidRPr="1D0A62D0">
              <w:rPr>
                <w:rFonts w:ascii="Arial" w:hAnsi="Arial" w:cs="Arial"/>
              </w:rPr>
              <w:t xml:space="preserve">December </w:t>
            </w:r>
            <w:r w:rsidR="2271C7AF" w:rsidRPr="1D0A62D0">
              <w:rPr>
                <w:rFonts w:ascii="Arial" w:hAnsi="Arial" w:cs="Arial"/>
              </w:rPr>
              <w:t>9</w:t>
            </w:r>
            <w:r w:rsidR="08B68E96" w:rsidRPr="1D0A62D0">
              <w:rPr>
                <w:rFonts w:ascii="Arial" w:hAnsi="Arial" w:cs="Arial"/>
              </w:rPr>
              <w:t>,</w:t>
            </w:r>
            <w:r w:rsidR="00C3665B" w:rsidRPr="1D0A62D0">
              <w:rPr>
                <w:rFonts w:ascii="Arial" w:hAnsi="Arial" w:cs="Arial"/>
              </w:rPr>
              <w:t xml:space="preserve"> 202</w:t>
            </w:r>
            <w:r w:rsidR="4AAC60D5" w:rsidRPr="1D0A62D0">
              <w:rPr>
                <w:rFonts w:ascii="Arial" w:hAnsi="Arial" w:cs="Arial"/>
              </w:rPr>
              <w:t>5</w:t>
            </w:r>
          </w:p>
        </w:tc>
      </w:tr>
      <w:tr w:rsidR="00C3665B" w:rsidRPr="00482BA2" w14:paraId="3A43128D" w14:textId="77777777" w:rsidTr="2BEB5B13">
        <w:trPr>
          <w:trHeight w:val="300"/>
        </w:trPr>
        <w:tc>
          <w:tcPr>
            <w:tcW w:w="1395" w:type="dxa"/>
          </w:tcPr>
          <w:p w14:paraId="52BE17F1" w14:textId="77777777" w:rsidR="00C3665B" w:rsidRPr="00482BA2" w:rsidRDefault="00C3665B" w:rsidP="00C3665B">
            <w:pPr>
              <w:spacing w:after="0" w:line="240" w:lineRule="auto"/>
              <w:rPr>
                <w:rFonts w:ascii="Arial" w:hAnsi="Arial" w:cs="Arial"/>
                <w:b/>
              </w:rPr>
            </w:pPr>
            <w:r w:rsidRPr="00482BA2">
              <w:rPr>
                <w:rFonts w:ascii="Arial" w:hAnsi="Arial" w:cs="Arial"/>
                <w:b/>
              </w:rPr>
              <w:t>Subject:</w:t>
            </w:r>
          </w:p>
        </w:tc>
        <w:tc>
          <w:tcPr>
            <w:tcW w:w="7965" w:type="dxa"/>
          </w:tcPr>
          <w:p w14:paraId="61A962E0" w14:textId="0BB2E89A" w:rsidR="00C3665B" w:rsidRPr="00482BA2" w:rsidRDefault="725B7BCC" w:rsidP="262029E4">
            <w:pPr>
              <w:widowControl w:val="0"/>
              <w:tabs>
                <w:tab w:val="center" w:pos="4680"/>
                <w:tab w:val="right" w:pos="9360"/>
              </w:tabs>
              <w:spacing w:after="0" w:line="240" w:lineRule="auto"/>
            </w:pPr>
            <w:r w:rsidRPr="262029E4">
              <w:rPr>
                <w:rFonts w:ascii="Arial" w:eastAsia="Arial" w:hAnsi="Arial" w:cs="Arial"/>
              </w:rPr>
              <w:t>Update on Public Adult Education in Massachusetts</w:t>
            </w:r>
          </w:p>
        </w:tc>
      </w:tr>
    </w:tbl>
    <w:p w14:paraId="3A2B89A2" w14:textId="77777777" w:rsidR="00C3665B" w:rsidRPr="00482BA2" w:rsidRDefault="00C3665B" w:rsidP="00C3665B">
      <w:pPr>
        <w:pBdr>
          <w:bottom w:val="single" w:sz="4" w:space="1" w:color="auto"/>
        </w:pBdr>
        <w:spacing w:after="0" w:line="240" w:lineRule="auto"/>
        <w:rPr>
          <w:rFonts w:ascii="Arial" w:hAnsi="Arial" w:cs="Arial"/>
        </w:rPr>
      </w:pPr>
      <w:bookmarkStart w:id="0" w:name="TO"/>
      <w:bookmarkStart w:id="1" w:name="FROM"/>
      <w:bookmarkStart w:id="2" w:name="DATE"/>
      <w:bookmarkStart w:id="3" w:name="RE"/>
      <w:bookmarkEnd w:id="0"/>
      <w:bookmarkEnd w:id="1"/>
      <w:bookmarkEnd w:id="2"/>
      <w:bookmarkEnd w:id="3"/>
    </w:p>
    <w:p w14:paraId="454239BF" w14:textId="77777777" w:rsidR="002E4BDE" w:rsidRPr="00482BA2" w:rsidRDefault="002E4BDE">
      <w:pPr>
        <w:rPr>
          <w:rFonts w:ascii="Arial" w:hAnsi="Arial" w:cs="Arial"/>
        </w:rPr>
      </w:pPr>
    </w:p>
    <w:p w14:paraId="3BF17CB3" w14:textId="76B409CA" w:rsidR="1D0A62D0" w:rsidRDefault="1D0A62D0" w:rsidP="1D0A62D0">
      <w:pPr>
        <w:rPr>
          <w:rFonts w:ascii="Arial" w:hAnsi="Arial" w:cs="Arial"/>
        </w:rPr>
        <w:sectPr w:rsidR="1D0A62D0" w:rsidSect="00725BB6">
          <w:footerReference w:type="default" r:id="rId12"/>
          <w:type w:val="continuous"/>
          <w:pgSz w:w="12240" w:h="15840"/>
          <w:pgMar w:top="1440" w:right="1440" w:bottom="1440" w:left="1440" w:header="720" w:footer="720" w:gutter="0"/>
          <w:cols w:space="720"/>
          <w:docGrid w:linePitch="360"/>
        </w:sectPr>
      </w:pPr>
    </w:p>
    <w:p w14:paraId="0432A111" w14:textId="0C3ED22F" w:rsidR="6CE81110" w:rsidRDefault="3E0A74B1" w:rsidP="1D0A62D0">
      <w:pPr>
        <w:spacing w:after="240"/>
      </w:pPr>
      <w:r w:rsidRPr="1DB47B2A">
        <w:rPr>
          <w:rFonts w:ascii="Arial" w:eastAsia="Arial" w:hAnsi="Arial" w:cs="Arial"/>
        </w:rPr>
        <w:t xml:space="preserve">Public Adult Education (PAE) is an essential part of the Commonwealth’s education and workforce system. Each year, </w:t>
      </w:r>
      <w:r w:rsidR="004A7E8F" w:rsidRPr="1DB47B2A">
        <w:rPr>
          <w:rFonts w:ascii="Arial" w:eastAsia="Arial" w:hAnsi="Arial" w:cs="Arial"/>
        </w:rPr>
        <w:t xml:space="preserve">through our </w:t>
      </w:r>
      <w:r w:rsidRPr="1DB47B2A">
        <w:rPr>
          <w:rFonts w:ascii="Arial" w:eastAsia="Arial" w:hAnsi="Arial" w:cs="Arial"/>
        </w:rPr>
        <w:t>Office for Adult and Community Learning Services (ACLS)</w:t>
      </w:r>
      <w:r w:rsidR="004A7E8F" w:rsidRPr="1DB47B2A">
        <w:rPr>
          <w:rFonts w:ascii="Arial" w:eastAsia="Arial" w:hAnsi="Arial" w:cs="Arial"/>
        </w:rPr>
        <w:t xml:space="preserve">, the Department </w:t>
      </w:r>
      <w:r w:rsidR="004A7E8F" w:rsidRPr="1DB47B2A">
        <w:rPr>
          <w:rFonts w:ascii="Arial" w:eastAsia="Aptos" w:hAnsi="Arial" w:cs="Arial"/>
          <w:color w:val="000000" w:themeColor="text1"/>
        </w:rPr>
        <w:t>of Elementary and Secondary Education </w:t>
      </w:r>
      <w:r w:rsidR="00FA0EE1" w:rsidRPr="1DB47B2A">
        <w:rPr>
          <w:rFonts w:ascii="Arial" w:eastAsia="Aptos" w:hAnsi="Arial" w:cs="Arial"/>
          <w:color w:val="000000" w:themeColor="text1"/>
        </w:rPr>
        <w:t>(DESE)</w:t>
      </w:r>
      <w:r w:rsidRPr="1DB47B2A">
        <w:rPr>
          <w:rFonts w:ascii="Arial" w:eastAsia="Arial" w:hAnsi="Arial" w:cs="Arial"/>
        </w:rPr>
        <w:t xml:space="preserve"> supports </w:t>
      </w:r>
      <w:r w:rsidR="63CD36C4" w:rsidRPr="1DB47B2A">
        <w:rPr>
          <w:rFonts w:ascii="Arial" w:eastAsia="Arial" w:hAnsi="Arial" w:cs="Arial"/>
        </w:rPr>
        <w:t>over</w:t>
      </w:r>
      <w:r w:rsidRPr="1DB47B2A">
        <w:rPr>
          <w:rFonts w:ascii="Arial" w:eastAsia="Arial" w:hAnsi="Arial" w:cs="Arial"/>
        </w:rPr>
        <w:t xml:space="preserve"> 27,000 adult learners</w:t>
      </w:r>
      <w:r w:rsidR="008F73B9" w:rsidRPr="1DB47B2A">
        <w:rPr>
          <w:rFonts w:ascii="Arial" w:eastAsia="Arial" w:hAnsi="Arial" w:cs="Arial"/>
        </w:rPr>
        <w:t xml:space="preserve"> who benefit from</w:t>
      </w:r>
      <w:r w:rsidRPr="1DB47B2A">
        <w:rPr>
          <w:rFonts w:ascii="Arial" w:eastAsia="Arial" w:hAnsi="Arial" w:cs="Arial"/>
        </w:rPr>
        <w:t xml:space="preserve"> a statewide network of community-based programs that provide instruction in English language learning, high school credential attainment, and college and career readiness.</w:t>
      </w:r>
    </w:p>
    <w:p w14:paraId="05FB1A46" w14:textId="14AA9968" w:rsidR="6CE81110" w:rsidRDefault="3E0A74B1" w:rsidP="262029E4">
      <w:pPr>
        <w:spacing w:before="240" w:after="240"/>
      </w:pPr>
      <w:r w:rsidRPr="1DB47B2A">
        <w:rPr>
          <w:rFonts w:ascii="Arial" w:eastAsia="Arial" w:hAnsi="Arial" w:cs="Arial"/>
        </w:rPr>
        <w:t>These programs advance DESE’s Educational Vision by ensuring that adult learners are known and valued, learning experiences are relevant and connected to civic and workforce goals, and individualized supports help learner</w:t>
      </w:r>
      <w:r w:rsidR="006A0191" w:rsidRPr="1DB47B2A">
        <w:rPr>
          <w:rFonts w:ascii="Arial" w:eastAsia="Arial" w:hAnsi="Arial" w:cs="Arial"/>
        </w:rPr>
        <w:t>s</w:t>
      </w:r>
      <w:r w:rsidRPr="1DB47B2A">
        <w:rPr>
          <w:rFonts w:ascii="Arial" w:eastAsia="Arial" w:hAnsi="Arial" w:cs="Arial"/>
        </w:rPr>
        <w:t xml:space="preserve"> achieve success. Initiatives such as the Student Ambassador Program, </w:t>
      </w:r>
      <w:proofErr w:type="spellStart"/>
      <w:r w:rsidRPr="1DB47B2A">
        <w:rPr>
          <w:rFonts w:ascii="Arial" w:eastAsia="Arial" w:hAnsi="Arial" w:cs="Arial"/>
        </w:rPr>
        <w:t>MassLINKS</w:t>
      </w:r>
      <w:proofErr w:type="spellEnd"/>
      <w:r w:rsidRPr="1DB47B2A">
        <w:rPr>
          <w:rFonts w:ascii="Arial" w:eastAsia="Arial" w:hAnsi="Arial" w:cs="Arial"/>
        </w:rPr>
        <w:t xml:space="preserve"> virtual learning, and MassSTEP career pathways demonstrate how PAE contributes to equitable access and opportunity across the Commonwealth.</w:t>
      </w:r>
    </w:p>
    <w:p w14:paraId="233AABB2" w14:textId="64864CA8" w:rsidR="6CE81110" w:rsidRDefault="3E0A74B1" w:rsidP="262029E4">
      <w:pPr>
        <w:spacing w:before="240" w:after="240"/>
      </w:pPr>
      <w:r w:rsidRPr="1DB47B2A">
        <w:rPr>
          <w:rFonts w:ascii="Arial" w:eastAsia="Arial" w:hAnsi="Arial" w:cs="Arial"/>
        </w:rPr>
        <w:t xml:space="preserve">Federal funding for adult education under the Adult Education and Family Literacy Act (Title II of WIOA) is projected to decline </w:t>
      </w:r>
      <w:r w:rsidR="00934338" w:rsidRPr="1DB47B2A">
        <w:rPr>
          <w:rFonts w:ascii="Arial" w:eastAsia="Arial" w:hAnsi="Arial" w:cs="Arial"/>
        </w:rPr>
        <w:t xml:space="preserve">nationwide </w:t>
      </w:r>
      <w:r w:rsidRPr="1DB47B2A">
        <w:rPr>
          <w:rFonts w:ascii="Arial" w:eastAsia="Arial" w:hAnsi="Arial" w:cs="Arial"/>
        </w:rPr>
        <w:t>in the coming years. Sustaining these services and innovations may require additional state support, including the use of Fair Share resources, to maintain access for English learners, working adults, and new arrivals to Massachusetts.</w:t>
      </w:r>
    </w:p>
    <w:p w14:paraId="38566F36" w14:textId="707A8B45" w:rsidR="6CE81110" w:rsidRDefault="3E0A74B1" w:rsidP="1D0A62D0">
      <w:pPr>
        <w:spacing w:before="240" w:after="240"/>
        <w:rPr>
          <w:rFonts w:ascii="Arial" w:eastAsia="Arial" w:hAnsi="Arial" w:cs="Arial"/>
        </w:rPr>
      </w:pPr>
      <w:r w:rsidRPr="1DB47B2A">
        <w:rPr>
          <w:rFonts w:ascii="Arial" w:eastAsia="Arial" w:hAnsi="Arial" w:cs="Arial"/>
        </w:rPr>
        <w:t xml:space="preserve">I look forward to sharing highlights of the </w:t>
      </w:r>
      <w:r w:rsidR="00934338" w:rsidRPr="1DB47B2A">
        <w:rPr>
          <w:rFonts w:ascii="Arial" w:eastAsia="Arial" w:hAnsi="Arial" w:cs="Arial"/>
        </w:rPr>
        <w:t>PA</w:t>
      </w:r>
      <w:r w:rsidR="00214B94" w:rsidRPr="1DB47B2A">
        <w:rPr>
          <w:rFonts w:ascii="Arial" w:eastAsia="Arial" w:hAnsi="Arial" w:cs="Arial"/>
        </w:rPr>
        <w:t xml:space="preserve">E </w:t>
      </w:r>
      <w:r w:rsidRPr="1DB47B2A">
        <w:rPr>
          <w:rFonts w:ascii="Arial" w:eastAsia="Arial" w:hAnsi="Arial" w:cs="Arial"/>
        </w:rPr>
        <w:t xml:space="preserve">system’s impact and discussing how continued investment in adult education strengthens both educational and economic </w:t>
      </w:r>
      <w:proofErr w:type="gramStart"/>
      <w:r w:rsidRPr="1DB47B2A">
        <w:rPr>
          <w:rFonts w:ascii="Arial" w:eastAsia="Arial" w:hAnsi="Arial" w:cs="Arial"/>
        </w:rPr>
        <w:t>opportunity</w:t>
      </w:r>
      <w:proofErr w:type="gramEnd"/>
      <w:r w:rsidRPr="1DB47B2A">
        <w:rPr>
          <w:rFonts w:ascii="Arial" w:eastAsia="Arial" w:hAnsi="Arial" w:cs="Arial"/>
        </w:rPr>
        <w:t xml:space="preserve"> for Massachusetts residents.</w:t>
      </w:r>
    </w:p>
    <w:p w14:paraId="76259373" w14:textId="7A2F44C4" w:rsidR="6CE81110" w:rsidRDefault="7EBD2A61" w:rsidP="6CE81110">
      <w:pPr>
        <w:rPr>
          <w:rFonts w:ascii="Arial" w:hAnsi="Arial" w:cs="Arial"/>
        </w:rPr>
      </w:pPr>
      <w:r w:rsidRPr="1DB47B2A">
        <w:rPr>
          <w:rFonts w:ascii="Arial" w:hAnsi="Arial" w:cs="Arial"/>
        </w:rPr>
        <w:t xml:space="preserve">Wyvonne Stevens-Carter, Associate Commissioner of Adult and Community Learning Services, will join us for the </w:t>
      </w:r>
      <w:r w:rsidR="009411E7" w:rsidRPr="1DB47B2A">
        <w:rPr>
          <w:rFonts w:ascii="Arial" w:hAnsi="Arial" w:cs="Arial"/>
        </w:rPr>
        <w:t xml:space="preserve">discussion </w:t>
      </w:r>
      <w:r w:rsidRPr="1DB47B2A">
        <w:rPr>
          <w:rFonts w:ascii="Arial" w:hAnsi="Arial" w:cs="Arial"/>
        </w:rPr>
        <w:t xml:space="preserve">on December 16.  </w:t>
      </w:r>
    </w:p>
    <w:sectPr w:rsidR="6CE81110" w:rsidSect="00725BB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2E0FE" w14:textId="77777777" w:rsidR="005017B8" w:rsidRDefault="005017B8" w:rsidP="00C84EE3">
      <w:pPr>
        <w:spacing w:after="0" w:line="240" w:lineRule="auto"/>
      </w:pPr>
      <w:r>
        <w:separator/>
      </w:r>
    </w:p>
  </w:endnote>
  <w:endnote w:type="continuationSeparator" w:id="0">
    <w:p w14:paraId="3625FFAE" w14:textId="77777777" w:rsidR="005017B8" w:rsidRDefault="005017B8" w:rsidP="00C8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1762" w14:textId="3898DAF7" w:rsidR="00725BB6" w:rsidRDefault="004C46FB">
    <w:pPr>
      <w:pStyle w:val="Footer"/>
    </w:pPr>
    <w:r>
      <w:rPr>
        <w:noProof/>
      </w:rPr>
      <w:drawing>
        <wp:anchor distT="0" distB="0" distL="114300" distR="114300" simplePos="0" relativeHeight="251658241" behindDoc="1" locked="0" layoutInCell="1" allowOverlap="1" wp14:anchorId="5B14F5DE" wp14:editId="17EA221F">
          <wp:simplePos x="0" y="0"/>
          <wp:positionH relativeFrom="margin">
            <wp:align>center</wp:align>
          </wp:positionH>
          <wp:positionV relativeFrom="paragraph">
            <wp:posOffset>-22225</wp:posOffset>
          </wp:positionV>
          <wp:extent cx="7472567" cy="495510"/>
          <wp:effectExtent l="0" t="0" r="0" b="0"/>
          <wp:wrapNone/>
          <wp:docPr id="9776046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0463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361830"/>
      <w:docPartObj>
        <w:docPartGallery w:val="Page Numbers (Bottom of Page)"/>
        <w:docPartUnique/>
      </w:docPartObj>
    </w:sdtPr>
    <w:sdtEndPr>
      <w:rPr>
        <w:noProof/>
      </w:rPr>
    </w:sdtEndPr>
    <w:sdtContent>
      <w:p w14:paraId="3062D277" w14:textId="6F5E0238" w:rsidR="004C46FB" w:rsidRDefault="00E63E19">
        <w:pPr>
          <w:pStyle w:val="Footer"/>
          <w:jc w:val="right"/>
        </w:pPr>
        <w:r>
          <w:rPr>
            <w:noProof/>
          </w:rPr>
          <w:drawing>
            <wp:anchor distT="0" distB="0" distL="114300" distR="114300" simplePos="0" relativeHeight="251658242" behindDoc="1" locked="0" layoutInCell="1" allowOverlap="1" wp14:anchorId="291FC6C5" wp14:editId="1F2FCD0A">
              <wp:simplePos x="0" y="0"/>
              <wp:positionH relativeFrom="margin">
                <wp:align>center</wp:align>
              </wp:positionH>
              <wp:positionV relativeFrom="paragraph">
                <wp:posOffset>198755</wp:posOffset>
              </wp:positionV>
              <wp:extent cx="7472567" cy="495510"/>
              <wp:effectExtent l="0" t="0" r="0" b="0"/>
              <wp:wrapNone/>
              <wp:docPr id="172510376"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10376"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sdtContent>
  </w:sdt>
  <w:p w14:paraId="3F86CD6C" w14:textId="65256FE2" w:rsidR="00C84EE3" w:rsidRDefault="00C84E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847137"/>
      <w:docPartObj>
        <w:docPartGallery w:val="Page Numbers (Bottom of Page)"/>
        <w:docPartUnique/>
      </w:docPartObj>
    </w:sdtPr>
    <w:sdtEndPr>
      <w:rPr>
        <w:noProof/>
      </w:rPr>
    </w:sdtEndPr>
    <w:sdtContent>
      <w:p w14:paraId="688821F5" w14:textId="0D681FA1" w:rsidR="001B3D3D" w:rsidRDefault="001B3D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A119B2" w14:textId="2A560FD0" w:rsidR="00BE0EFA" w:rsidRDefault="00BE0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8DA15" w14:textId="77777777" w:rsidR="005017B8" w:rsidRDefault="005017B8" w:rsidP="00C84EE3">
      <w:pPr>
        <w:spacing w:after="0" w:line="240" w:lineRule="auto"/>
      </w:pPr>
      <w:r>
        <w:separator/>
      </w:r>
    </w:p>
  </w:footnote>
  <w:footnote w:type="continuationSeparator" w:id="0">
    <w:p w14:paraId="0AAE22F3" w14:textId="77777777" w:rsidR="005017B8" w:rsidRDefault="005017B8" w:rsidP="00C84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665A" w14:textId="3CBE194E" w:rsidR="00C84EE3" w:rsidRDefault="00C84EE3">
    <w:pPr>
      <w:pStyle w:val="Header"/>
    </w:pPr>
    <w:r>
      <w:rPr>
        <w:noProof/>
      </w:rPr>
      <w:drawing>
        <wp:anchor distT="0" distB="0" distL="114300" distR="114300" simplePos="0" relativeHeight="251658240" behindDoc="1" locked="0" layoutInCell="1" allowOverlap="1" wp14:anchorId="63DD894B" wp14:editId="0338710D">
          <wp:simplePos x="0" y="0"/>
          <wp:positionH relativeFrom="column">
            <wp:posOffset>-926591</wp:posOffset>
          </wp:positionH>
          <wp:positionV relativeFrom="paragraph">
            <wp:posOffset>-688848</wp:posOffset>
          </wp:positionV>
          <wp:extent cx="7798432" cy="1541847"/>
          <wp:effectExtent l="0" t="0" r="0" b="0"/>
          <wp:wrapNone/>
          <wp:docPr id="67152885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2885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98432" cy="1541847"/>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E3"/>
    <w:rsid w:val="00000ED3"/>
    <w:rsid w:val="00015387"/>
    <w:rsid w:val="000206BF"/>
    <w:rsid w:val="00032C6B"/>
    <w:rsid w:val="000853ED"/>
    <w:rsid w:val="000F11A7"/>
    <w:rsid w:val="001112D5"/>
    <w:rsid w:val="00165B08"/>
    <w:rsid w:val="001715AB"/>
    <w:rsid w:val="001B3D3D"/>
    <w:rsid w:val="001D6377"/>
    <w:rsid w:val="001F4785"/>
    <w:rsid w:val="001F4E3C"/>
    <w:rsid w:val="00214B94"/>
    <w:rsid w:val="002240CF"/>
    <w:rsid w:val="0022441F"/>
    <w:rsid w:val="00225FD5"/>
    <w:rsid w:val="00226E66"/>
    <w:rsid w:val="0023664B"/>
    <w:rsid w:val="00296836"/>
    <w:rsid w:val="002A3A71"/>
    <w:rsid w:val="002ADD96"/>
    <w:rsid w:val="002B7E3D"/>
    <w:rsid w:val="002C1EBF"/>
    <w:rsid w:val="002C6C02"/>
    <w:rsid w:val="002E4BDE"/>
    <w:rsid w:val="002F415D"/>
    <w:rsid w:val="002F57B7"/>
    <w:rsid w:val="003045E0"/>
    <w:rsid w:val="00355B95"/>
    <w:rsid w:val="00356597"/>
    <w:rsid w:val="003757C2"/>
    <w:rsid w:val="00394EA8"/>
    <w:rsid w:val="003E2FDF"/>
    <w:rsid w:val="003E7485"/>
    <w:rsid w:val="003F4E99"/>
    <w:rsid w:val="003F65BF"/>
    <w:rsid w:val="00420346"/>
    <w:rsid w:val="00422EC0"/>
    <w:rsid w:val="0042465D"/>
    <w:rsid w:val="004252FC"/>
    <w:rsid w:val="0042715C"/>
    <w:rsid w:val="00430D65"/>
    <w:rsid w:val="00431627"/>
    <w:rsid w:val="00457B94"/>
    <w:rsid w:val="00462496"/>
    <w:rsid w:val="00467044"/>
    <w:rsid w:val="004767FA"/>
    <w:rsid w:val="00482BA2"/>
    <w:rsid w:val="0048529D"/>
    <w:rsid w:val="00490D13"/>
    <w:rsid w:val="004929C2"/>
    <w:rsid w:val="004931D8"/>
    <w:rsid w:val="00493C1C"/>
    <w:rsid w:val="004A7E8F"/>
    <w:rsid w:val="004C46FB"/>
    <w:rsid w:val="004C5233"/>
    <w:rsid w:val="005017B8"/>
    <w:rsid w:val="00511688"/>
    <w:rsid w:val="00554202"/>
    <w:rsid w:val="00560D69"/>
    <w:rsid w:val="005635E1"/>
    <w:rsid w:val="00595AA3"/>
    <w:rsid w:val="005963EE"/>
    <w:rsid w:val="005A09B0"/>
    <w:rsid w:val="005F2770"/>
    <w:rsid w:val="00601F6F"/>
    <w:rsid w:val="006331C1"/>
    <w:rsid w:val="00635276"/>
    <w:rsid w:val="00652973"/>
    <w:rsid w:val="006836AE"/>
    <w:rsid w:val="006837F3"/>
    <w:rsid w:val="006955E8"/>
    <w:rsid w:val="00697A35"/>
    <w:rsid w:val="006A0191"/>
    <w:rsid w:val="006F42A9"/>
    <w:rsid w:val="006F7727"/>
    <w:rsid w:val="00701472"/>
    <w:rsid w:val="00706ACF"/>
    <w:rsid w:val="00725BB6"/>
    <w:rsid w:val="007415A4"/>
    <w:rsid w:val="00757EE6"/>
    <w:rsid w:val="00761321"/>
    <w:rsid w:val="007647E2"/>
    <w:rsid w:val="007912D0"/>
    <w:rsid w:val="007C5FFD"/>
    <w:rsid w:val="007E044E"/>
    <w:rsid w:val="007E68D1"/>
    <w:rsid w:val="008053A3"/>
    <w:rsid w:val="008140B2"/>
    <w:rsid w:val="00820FC4"/>
    <w:rsid w:val="008353DD"/>
    <w:rsid w:val="00835EC8"/>
    <w:rsid w:val="00837E08"/>
    <w:rsid w:val="00851E6F"/>
    <w:rsid w:val="00886A56"/>
    <w:rsid w:val="00886CA6"/>
    <w:rsid w:val="00893589"/>
    <w:rsid w:val="00894C03"/>
    <w:rsid w:val="008F73B9"/>
    <w:rsid w:val="009020E4"/>
    <w:rsid w:val="00911514"/>
    <w:rsid w:val="00922FD3"/>
    <w:rsid w:val="0092546E"/>
    <w:rsid w:val="00934338"/>
    <w:rsid w:val="00937E44"/>
    <w:rsid w:val="009411E7"/>
    <w:rsid w:val="00943C76"/>
    <w:rsid w:val="00966F9A"/>
    <w:rsid w:val="009A28ED"/>
    <w:rsid w:val="009A587B"/>
    <w:rsid w:val="009E0C11"/>
    <w:rsid w:val="00A137E0"/>
    <w:rsid w:val="00A17BC1"/>
    <w:rsid w:val="00A22A3A"/>
    <w:rsid w:val="00A23EF5"/>
    <w:rsid w:val="00A47614"/>
    <w:rsid w:val="00A51198"/>
    <w:rsid w:val="00A642C8"/>
    <w:rsid w:val="00A80CC7"/>
    <w:rsid w:val="00A91A46"/>
    <w:rsid w:val="00AA6D09"/>
    <w:rsid w:val="00AB547A"/>
    <w:rsid w:val="00AC2A7B"/>
    <w:rsid w:val="00AE3971"/>
    <w:rsid w:val="00AE590A"/>
    <w:rsid w:val="00AE59C9"/>
    <w:rsid w:val="00B150A1"/>
    <w:rsid w:val="00B4044D"/>
    <w:rsid w:val="00B4383C"/>
    <w:rsid w:val="00B64582"/>
    <w:rsid w:val="00B65A83"/>
    <w:rsid w:val="00B752CF"/>
    <w:rsid w:val="00B762F2"/>
    <w:rsid w:val="00BB1BC1"/>
    <w:rsid w:val="00BC0CB6"/>
    <w:rsid w:val="00BD31F2"/>
    <w:rsid w:val="00BD5A23"/>
    <w:rsid w:val="00BE0EFA"/>
    <w:rsid w:val="00BE5695"/>
    <w:rsid w:val="00BE5876"/>
    <w:rsid w:val="00BF3E69"/>
    <w:rsid w:val="00BF6038"/>
    <w:rsid w:val="00C3665B"/>
    <w:rsid w:val="00C41605"/>
    <w:rsid w:val="00C71B9E"/>
    <w:rsid w:val="00C824D2"/>
    <w:rsid w:val="00C84EE3"/>
    <w:rsid w:val="00CA13EA"/>
    <w:rsid w:val="00CA620A"/>
    <w:rsid w:val="00CC1A61"/>
    <w:rsid w:val="00CD2E0A"/>
    <w:rsid w:val="00CF456C"/>
    <w:rsid w:val="00D27E05"/>
    <w:rsid w:val="00D47EF5"/>
    <w:rsid w:val="00D64FA2"/>
    <w:rsid w:val="00D65B6C"/>
    <w:rsid w:val="00D73710"/>
    <w:rsid w:val="00D8570D"/>
    <w:rsid w:val="00D877AC"/>
    <w:rsid w:val="00D95DBE"/>
    <w:rsid w:val="00DA2538"/>
    <w:rsid w:val="00DA33A6"/>
    <w:rsid w:val="00DC397C"/>
    <w:rsid w:val="00DF4D53"/>
    <w:rsid w:val="00DF66D1"/>
    <w:rsid w:val="00E0707D"/>
    <w:rsid w:val="00E36462"/>
    <w:rsid w:val="00E450E8"/>
    <w:rsid w:val="00E531E7"/>
    <w:rsid w:val="00E5696B"/>
    <w:rsid w:val="00E63E19"/>
    <w:rsid w:val="00E6513B"/>
    <w:rsid w:val="00E66C89"/>
    <w:rsid w:val="00E82A95"/>
    <w:rsid w:val="00EA5B5C"/>
    <w:rsid w:val="00EC6D34"/>
    <w:rsid w:val="00ED0518"/>
    <w:rsid w:val="00ED6C5C"/>
    <w:rsid w:val="00ED7910"/>
    <w:rsid w:val="00EE1003"/>
    <w:rsid w:val="00F00022"/>
    <w:rsid w:val="00F00FAA"/>
    <w:rsid w:val="00F24E91"/>
    <w:rsid w:val="00F44411"/>
    <w:rsid w:val="00FA0A25"/>
    <w:rsid w:val="00FA0EE1"/>
    <w:rsid w:val="00FD6CB0"/>
    <w:rsid w:val="00FE03F2"/>
    <w:rsid w:val="00FE5AC9"/>
    <w:rsid w:val="00FF61A1"/>
    <w:rsid w:val="08B68E96"/>
    <w:rsid w:val="0B23F0C0"/>
    <w:rsid w:val="0B46B215"/>
    <w:rsid w:val="0B7587BC"/>
    <w:rsid w:val="10EF9A73"/>
    <w:rsid w:val="12F96727"/>
    <w:rsid w:val="1350B724"/>
    <w:rsid w:val="1455153B"/>
    <w:rsid w:val="180252CF"/>
    <w:rsid w:val="19A77D31"/>
    <w:rsid w:val="1D0A62D0"/>
    <w:rsid w:val="1DB47B2A"/>
    <w:rsid w:val="20551977"/>
    <w:rsid w:val="2271C7AF"/>
    <w:rsid w:val="25E3181C"/>
    <w:rsid w:val="262029E4"/>
    <w:rsid w:val="27C317B4"/>
    <w:rsid w:val="28F7971B"/>
    <w:rsid w:val="29610792"/>
    <w:rsid w:val="2BEB5B13"/>
    <w:rsid w:val="38BA548D"/>
    <w:rsid w:val="39B64275"/>
    <w:rsid w:val="39F4D590"/>
    <w:rsid w:val="3E0A74B1"/>
    <w:rsid w:val="416C0A79"/>
    <w:rsid w:val="4401232A"/>
    <w:rsid w:val="45A980F8"/>
    <w:rsid w:val="46041C63"/>
    <w:rsid w:val="46A8C622"/>
    <w:rsid w:val="46FF7AF3"/>
    <w:rsid w:val="48FD52A7"/>
    <w:rsid w:val="4AAC60D5"/>
    <w:rsid w:val="4D0E81A9"/>
    <w:rsid w:val="51A8C548"/>
    <w:rsid w:val="54537A78"/>
    <w:rsid w:val="55B73D35"/>
    <w:rsid w:val="561C0AF2"/>
    <w:rsid w:val="576581F6"/>
    <w:rsid w:val="58386B5E"/>
    <w:rsid w:val="5B69D71A"/>
    <w:rsid w:val="5BEF9C21"/>
    <w:rsid w:val="5E86A155"/>
    <w:rsid w:val="63CD36C4"/>
    <w:rsid w:val="63D326F4"/>
    <w:rsid w:val="64330B4C"/>
    <w:rsid w:val="67848DDF"/>
    <w:rsid w:val="69C5E5B9"/>
    <w:rsid w:val="6C7F4CC6"/>
    <w:rsid w:val="6CE81110"/>
    <w:rsid w:val="725B7BCC"/>
    <w:rsid w:val="7490E63A"/>
    <w:rsid w:val="78014BF0"/>
    <w:rsid w:val="7A9F2902"/>
    <w:rsid w:val="7EBD2A6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CAF56"/>
  <w15:chartTrackingRefBased/>
  <w15:docId w15:val="{F25A05D1-2C79-4866-A09D-1AFD398BB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EE3"/>
    <w:rPr>
      <w:rFonts w:eastAsiaTheme="majorEastAsia" w:cstheme="majorBidi"/>
      <w:color w:val="272727" w:themeColor="text1" w:themeTint="D8"/>
    </w:rPr>
  </w:style>
  <w:style w:type="paragraph" w:styleId="Title">
    <w:name w:val="Title"/>
    <w:basedOn w:val="Normal"/>
    <w:next w:val="Normal"/>
    <w:link w:val="TitleChar"/>
    <w:uiPriority w:val="10"/>
    <w:qFormat/>
    <w:rsid w:val="00C84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EE3"/>
    <w:pPr>
      <w:spacing w:before="160"/>
      <w:jc w:val="center"/>
    </w:pPr>
    <w:rPr>
      <w:i/>
      <w:iCs/>
      <w:color w:val="404040" w:themeColor="text1" w:themeTint="BF"/>
    </w:rPr>
  </w:style>
  <w:style w:type="character" w:customStyle="1" w:styleId="QuoteChar">
    <w:name w:val="Quote Char"/>
    <w:basedOn w:val="DefaultParagraphFont"/>
    <w:link w:val="Quote"/>
    <w:uiPriority w:val="29"/>
    <w:rsid w:val="00C84EE3"/>
    <w:rPr>
      <w:i/>
      <w:iCs/>
      <w:color w:val="404040" w:themeColor="text1" w:themeTint="BF"/>
    </w:rPr>
  </w:style>
  <w:style w:type="paragraph" w:styleId="ListParagraph">
    <w:name w:val="List Paragraph"/>
    <w:basedOn w:val="Normal"/>
    <w:uiPriority w:val="34"/>
    <w:qFormat/>
    <w:rsid w:val="00C84EE3"/>
    <w:pPr>
      <w:ind w:left="720"/>
      <w:contextualSpacing/>
    </w:pPr>
  </w:style>
  <w:style w:type="character" w:styleId="IntenseEmphasis">
    <w:name w:val="Intense Emphasis"/>
    <w:basedOn w:val="DefaultParagraphFont"/>
    <w:uiPriority w:val="21"/>
    <w:qFormat/>
    <w:rsid w:val="00C84EE3"/>
    <w:rPr>
      <w:i/>
      <w:iCs/>
      <w:color w:val="0F4761" w:themeColor="accent1" w:themeShade="BF"/>
    </w:rPr>
  </w:style>
  <w:style w:type="paragraph" w:styleId="IntenseQuote">
    <w:name w:val="Intense Quote"/>
    <w:basedOn w:val="Normal"/>
    <w:next w:val="Normal"/>
    <w:link w:val="IntenseQuoteChar"/>
    <w:uiPriority w:val="30"/>
    <w:qFormat/>
    <w:rsid w:val="00C84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EE3"/>
    <w:rPr>
      <w:i/>
      <w:iCs/>
      <w:color w:val="0F4761" w:themeColor="accent1" w:themeShade="BF"/>
    </w:rPr>
  </w:style>
  <w:style w:type="character" w:styleId="IntenseReference">
    <w:name w:val="Intense Reference"/>
    <w:basedOn w:val="DefaultParagraphFont"/>
    <w:uiPriority w:val="32"/>
    <w:qFormat/>
    <w:rsid w:val="00C84EE3"/>
    <w:rPr>
      <w:b/>
      <w:bCs/>
      <w:smallCaps/>
      <w:color w:val="0F4761" w:themeColor="accent1" w:themeShade="BF"/>
      <w:spacing w:val="5"/>
    </w:rPr>
  </w:style>
  <w:style w:type="paragraph" w:styleId="Header">
    <w:name w:val="header"/>
    <w:basedOn w:val="Normal"/>
    <w:link w:val="HeaderChar"/>
    <w:uiPriority w:val="99"/>
    <w:unhideWhenUsed/>
    <w:rsid w:val="00C84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E3"/>
  </w:style>
  <w:style w:type="paragraph" w:styleId="Footer">
    <w:name w:val="footer"/>
    <w:basedOn w:val="Normal"/>
    <w:link w:val="FooterChar"/>
    <w:uiPriority w:val="99"/>
    <w:unhideWhenUsed/>
    <w:rsid w:val="00C84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E3"/>
  </w:style>
  <w:style w:type="character" w:customStyle="1" w:styleId="normaltextrun">
    <w:name w:val="normaltextrun"/>
    <w:basedOn w:val="DefaultParagraphFont"/>
    <w:uiPriority w:val="1"/>
    <w:rsid w:val="7490E63A"/>
    <w:rPr>
      <w:rFonts w:asciiTheme="minorHAnsi" w:eastAsiaTheme="minorEastAsia" w:hAnsiTheme="minorHAnsi" w:cstheme="minorBidi"/>
      <w:sz w:val="24"/>
      <w:szCs w:val="24"/>
    </w:rPr>
  </w:style>
  <w:style w:type="character" w:styleId="CommentReference">
    <w:name w:val="annotation reference"/>
    <w:basedOn w:val="DefaultParagraphFont"/>
    <w:uiPriority w:val="99"/>
    <w:semiHidden/>
    <w:unhideWhenUsed/>
    <w:rsid w:val="00E6513B"/>
    <w:rPr>
      <w:sz w:val="16"/>
      <w:szCs w:val="16"/>
    </w:rPr>
  </w:style>
  <w:style w:type="paragraph" w:styleId="CommentText">
    <w:name w:val="annotation text"/>
    <w:basedOn w:val="Normal"/>
    <w:link w:val="CommentTextChar"/>
    <w:uiPriority w:val="99"/>
    <w:unhideWhenUsed/>
    <w:rsid w:val="00E6513B"/>
    <w:pPr>
      <w:spacing w:line="240" w:lineRule="auto"/>
    </w:pPr>
    <w:rPr>
      <w:sz w:val="20"/>
      <w:szCs w:val="20"/>
    </w:rPr>
  </w:style>
  <w:style w:type="character" w:customStyle="1" w:styleId="CommentTextChar">
    <w:name w:val="Comment Text Char"/>
    <w:basedOn w:val="DefaultParagraphFont"/>
    <w:link w:val="CommentText"/>
    <w:uiPriority w:val="99"/>
    <w:rsid w:val="00E6513B"/>
    <w:rPr>
      <w:sz w:val="20"/>
      <w:szCs w:val="20"/>
    </w:rPr>
  </w:style>
  <w:style w:type="paragraph" w:styleId="CommentSubject">
    <w:name w:val="annotation subject"/>
    <w:basedOn w:val="CommentText"/>
    <w:next w:val="CommentText"/>
    <w:link w:val="CommentSubjectChar"/>
    <w:uiPriority w:val="99"/>
    <w:semiHidden/>
    <w:unhideWhenUsed/>
    <w:rsid w:val="00E6513B"/>
    <w:rPr>
      <w:b/>
      <w:bCs/>
    </w:rPr>
  </w:style>
  <w:style w:type="character" w:customStyle="1" w:styleId="CommentSubjectChar">
    <w:name w:val="Comment Subject Char"/>
    <w:basedOn w:val="CommentTextChar"/>
    <w:link w:val="CommentSubject"/>
    <w:uiPriority w:val="99"/>
    <w:semiHidden/>
    <w:rsid w:val="00E6513B"/>
    <w:rPr>
      <w:b/>
      <w:bCs/>
      <w:sz w:val="20"/>
      <w:szCs w:val="20"/>
    </w:rPr>
  </w:style>
  <w:style w:type="paragraph" w:styleId="Revision">
    <w:name w:val="Revision"/>
    <w:hidden/>
    <w:uiPriority w:val="99"/>
    <w:semiHidden/>
    <w:rsid w:val="009E0C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2ecebec43c619424d5afa22f737e783a">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d07a9afb9c8efddc579883151270dfb6"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D25C86-FBC2-4BDA-AB5B-67BFDCC2F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013C92-6C9A-453A-9BC0-B00C66274D14}">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customXml/itemProps3.xml><?xml version="1.0" encoding="utf-8"?>
<ds:datastoreItem xmlns:ds="http://schemas.openxmlformats.org/officeDocument/2006/customXml" ds:itemID="{78782DF4-49BE-4D3A-A96E-00B3464CBADD}">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December 16, 2025 Regular Meeting Item 2: Update on Public Adult Education in Massachusetts</dc:title>
  <dc:subject/>
  <dc:creator>DESE</dc:creator>
  <cp:keywords/>
  <dc:description/>
  <cp:lastModifiedBy>Zou, Dong (EOE)</cp:lastModifiedBy>
  <cp:revision>4</cp:revision>
  <dcterms:created xsi:type="dcterms:W3CDTF">2025-12-12T15:18:00Z</dcterms:created>
  <dcterms:modified xsi:type="dcterms:W3CDTF">2025-12-12T17:17:00Z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12 2025 12:00AM</vt:lpwstr>
  </property>
</Properties>
</file>