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00F3508" w14:textId="77777777" w:rsidR="00C3665B" w:rsidRPr="00482BA2" w:rsidRDefault="00C3665B" w:rsidP="5BEF9C21">
      <w:pPr>
        <w:pStyle w:val="Heading1"/>
        <w:jc w:val="center"/>
        <w:rPr>
          <w:rFonts w:ascii="Arial" w:eastAsia="Arial" w:hAnsi="Arial" w:cs="Arial"/>
          <w:b/>
          <w:bCs/>
          <w:color w:val="000000" w:themeColor="text1"/>
        </w:rPr>
      </w:pPr>
      <w:r w:rsidRPr="5BEF9C21">
        <w:rPr>
          <w:rFonts w:ascii="Arial" w:eastAsia="Arial" w:hAnsi="Arial" w:cs="Arial"/>
          <w:b/>
          <w:bCs/>
          <w:color w:val="000000" w:themeColor="text1"/>
        </w:rPr>
        <w:t>MEMORANDUM</w:t>
      </w:r>
    </w:p>
    <w:p w14:paraId="1272747C" w14:textId="77777777" w:rsidR="00C3665B" w:rsidRPr="00482BA2" w:rsidRDefault="00C3665B" w:rsidP="00C3665B">
      <w:pPr>
        <w:widowControl w:val="0"/>
        <w:tabs>
          <w:tab w:val="center" w:pos="4680"/>
          <w:tab w:val="right" w:pos="9360"/>
        </w:tabs>
        <w:spacing w:after="0" w:line="240" w:lineRule="auto"/>
        <w:rPr>
          <w:rFonts w:ascii="Arial" w:hAnsi="Arial" w:cs="Arial"/>
          <w:snapToGrid w:val="0"/>
          <w:szCs w:val="20"/>
        </w:rPr>
      </w:pPr>
    </w:p>
    <w:tbl>
      <w:tblPr>
        <w:tblW w:w="9360" w:type="dxa"/>
        <w:tblLook w:val="01E0" w:firstRow="1" w:lastRow="1" w:firstColumn="1" w:lastColumn="1" w:noHBand="0" w:noVBand="0"/>
      </w:tblPr>
      <w:tblGrid>
        <w:gridCol w:w="1320"/>
        <w:gridCol w:w="8040"/>
      </w:tblGrid>
      <w:tr w:rsidR="00C3665B" w:rsidRPr="00482BA2" w14:paraId="30B0F129" w14:textId="77777777" w:rsidTr="7895F048">
        <w:tc>
          <w:tcPr>
            <w:tcW w:w="1320" w:type="dxa"/>
          </w:tcPr>
          <w:p w14:paraId="4BEB8732" w14:textId="77777777" w:rsidR="00C3665B" w:rsidRPr="00482BA2" w:rsidRDefault="00C3665B" w:rsidP="00C3665B">
            <w:pPr>
              <w:spacing w:after="0" w:line="240" w:lineRule="auto"/>
              <w:rPr>
                <w:rFonts w:ascii="Arial" w:hAnsi="Arial" w:cs="Arial"/>
                <w:b/>
              </w:rPr>
            </w:pPr>
            <w:r w:rsidRPr="00482BA2">
              <w:rPr>
                <w:rFonts w:ascii="Arial" w:hAnsi="Arial" w:cs="Arial"/>
                <w:b/>
              </w:rPr>
              <w:t>To:</w:t>
            </w:r>
          </w:p>
        </w:tc>
        <w:tc>
          <w:tcPr>
            <w:tcW w:w="8040" w:type="dxa"/>
          </w:tcPr>
          <w:p w14:paraId="25AE7450" w14:textId="11F95764" w:rsidR="00C3665B" w:rsidRPr="00482BA2" w:rsidRDefault="00D27E05" w:rsidP="7490E63A">
            <w:pPr>
              <w:widowControl w:val="0"/>
              <w:tabs>
                <w:tab w:val="center" w:pos="4680"/>
                <w:tab w:val="right" w:pos="9360"/>
              </w:tabs>
              <w:spacing w:after="0" w:line="240" w:lineRule="auto"/>
              <w:rPr>
                <w:rFonts w:ascii="Arial" w:eastAsia="Aptos" w:hAnsi="Arial" w:cs="Arial"/>
                <w:snapToGrid w:val="0"/>
              </w:rPr>
            </w:pPr>
            <w:r w:rsidRPr="00D27E05">
              <w:rPr>
                <w:rFonts w:ascii="Arial" w:eastAsia="Aptos" w:hAnsi="Arial" w:cs="Arial"/>
                <w:color w:val="000000" w:themeColor="text1"/>
              </w:rPr>
              <w:t>Members of the Board of Elementary and Secondary Education</w:t>
            </w:r>
            <w:r w:rsidR="0B7587BC" w:rsidRPr="00482BA2">
              <w:rPr>
                <w:rFonts w:ascii="Arial" w:eastAsia="Aptos" w:hAnsi="Arial" w:cs="Arial"/>
                <w:color w:val="000000" w:themeColor="text1"/>
              </w:rPr>
              <w:t> </w:t>
            </w:r>
          </w:p>
        </w:tc>
      </w:tr>
      <w:tr w:rsidR="00C3665B" w:rsidRPr="00482BA2" w14:paraId="014ADFC2" w14:textId="77777777" w:rsidTr="7895F048">
        <w:tc>
          <w:tcPr>
            <w:tcW w:w="1320" w:type="dxa"/>
          </w:tcPr>
          <w:p w14:paraId="0F209268" w14:textId="77777777" w:rsidR="00C3665B" w:rsidRPr="00482BA2" w:rsidRDefault="00C3665B" w:rsidP="00C3665B">
            <w:pPr>
              <w:spacing w:after="0" w:line="240" w:lineRule="auto"/>
              <w:rPr>
                <w:rFonts w:ascii="Arial" w:hAnsi="Arial" w:cs="Arial"/>
                <w:b/>
              </w:rPr>
            </w:pPr>
            <w:r w:rsidRPr="00482BA2">
              <w:rPr>
                <w:rFonts w:ascii="Arial" w:hAnsi="Arial" w:cs="Arial"/>
                <w:b/>
              </w:rPr>
              <w:t>From:</w:t>
            </w:r>
            <w:r w:rsidRPr="00482BA2">
              <w:rPr>
                <w:rFonts w:ascii="Arial" w:hAnsi="Arial" w:cs="Arial"/>
              </w:rPr>
              <w:tab/>
            </w:r>
          </w:p>
        </w:tc>
        <w:tc>
          <w:tcPr>
            <w:tcW w:w="8040" w:type="dxa"/>
          </w:tcPr>
          <w:p w14:paraId="6F9D5175" w14:textId="6691D35F" w:rsidR="00C3665B" w:rsidRPr="00482BA2" w:rsidRDefault="00AC2A7B" w:rsidP="00C3665B">
            <w:pPr>
              <w:widowControl w:val="0"/>
              <w:tabs>
                <w:tab w:val="center" w:pos="4680"/>
                <w:tab w:val="right" w:pos="9360"/>
              </w:tabs>
              <w:spacing w:after="0" w:line="240" w:lineRule="auto"/>
              <w:rPr>
                <w:rFonts w:ascii="Arial" w:hAnsi="Arial" w:cs="Arial"/>
                <w:bCs/>
                <w:snapToGrid w:val="0"/>
              </w:rPr>
            </w:pPr>
            <w:r w:rsidRPr="00482BA2">
              <w:rPr>
                <w:rFonts w:ascii="Arial" w:hAnsi="Arial" w:cs="Arial"/>
                <w:bCs/>
                <w:snapToGrid w:val="0"/>
              </w:rPr>
              <w:t>Pedro Martinez</w:t>
            </w:r>
            <w:r w:rsidR="00C3665B" w:rsidRPr="00482BA2">
              <w:rPr>
                <w:rFonts w:ascii="Arial" w:hAnsi="Arial" w:cs="Arial"/>
                <w:bCs/>
                <w:snapToGrid w:val="0"/>
              </w:rPr>
              <w:t>, Commissioner</w:t>
            </w:r>
          </w:p>
        </w:tc>
      </w:tr>
      <w:tr w:rsidR="00C3665B" w:rsidRPr="00482BA2" w14:paraId="02FD8403" w14:textId="77777777" w:rsidTr="7895F048">
        <w:tc>
          <w:tcPr>
            <w:tcW w:w="1320" w:type="dxa"/>
          </w:tcPr>
          <w:p w14:paraId="3076B878" w14:textId="77777777" w:rsidR="00C3665B" w:rsidRPr="00482BA2" w:rsidRDefault="00C3665B" w:rsidP="00C3665B">
            <w:pPr>
              <w:spacing w:after="0" w:line="240" w:lineRule="auto"/>
              <w:rPr>
                <w:rFonts w:ascii="Arial" w:hAnsi="Arial" w:cs="Arial"/>
                <w:b/>
              </w:rPr>
            </w:pPr>
            <w:r w:rsidRPr="00482BA2">
              <w:rPr>
                <w:rFonts w:ascii="Arial" w:hAnsi="Arial" w:cs="Arial"/>
                <w:b/>
              </w:rPr>
              <w:t>Date:</w:t>
            </w:r>
            <w:r w:rsidRPr="00482BA2">
              <w:rPr>
                <w:rFonts w:ascii="Arial" w:hAnsi="Arial" w:cs="Arial"/>
              </w:rPr>
              <w:tab/>
            </w:r>
          </w:p>
        </w:tc>
        <w:tc>
          <w:tcPr>
            <w:tcW w:w="8040" w:type="dxa"/>
          </w:tcPr>
          <w:p w14:paraId="558FA6C4" w14:textId="293C116B" w:rsidR="00C3665B" w:rsidRPr="00482BA2" w:rsidRDefault="1455153B" w:rsidP="00C3665B">
            <w:pPr>
              <w:widowControl w:val="0"/>
              <w:tabs>
                <w:tab w:val="center" w:pos="4680"/>
                <w:tab w:val="right" w:pos="9360"/>
              </w:tabs>
              <w:spacing w:after="0" w:line="240" w:lineRule="auto"/>
              <w:rPr>
                <w:rFonts w:ascii="Arial" w:hAnsi="Arial" w:cs="Arial"/>
              </w:rPr>
            </w:pPr>
            <w:r w:rsidRPr="1D0A62D0">
              <w:rPr>
                <w:rFonts w:ascii="Arial" w:hAnsi="Arial" w:cs="Arial"/>
              </w:rPr>
              <w:t xml:space="preserve">December </w:t>
            </w:r>
            <w:r w:rsidR="2271C7AF" w:rsidRPr="1D0A62D0">
              <w:rPr>
                <w:rFonts w:ascii="Arial" w:hAnsi="Arial" w:cs="Arial"/>
              </w:rPr>
              <w:t>9</w:t>
            </w:r>
            <w:r w:rsidR="08B68E96" w:rsidRPr="1D0A62D0">
              <w:rPr>
                <w:rFonts w:ascii="Arial" w:hAnsi="Arial" w:cs="Arial"/>
              </w:rPr>
              <w:t>,</w:t>
            </w:r>
            <w:r w:rsidR="00C3665B" w:rsidRPr="1D0A62D0">
              <w:rPr>
                <w:rFonts w:ascii="Arial" w:hAnsi="Arial" w:cs="Arial"/>
              </w:rPr>
              <w:t xml:space="preserve"> 202</w:t>
            </w:r>
            <w:r w:rsidR="4AAC60D5" w:rsidRPr="1D0A62D0">
              <w:rPr>
                <w:rFonts w:ascii="Arial" w:hAnsi="Arial" w:cs="Arial"/>
              </w:rPr>
              <w:t>5</w:t>
            </w:r>
          </w:p>
        </w:tc>
      </w:tr>
      <w:tr w:rsidR="00C3665B" w:rsidRPr="00482BA2" w14:paraId="3A43128D" w14:textId="77777777" w:rsidTr="7895F048">
        <w:tc>
          <w:tcPr>
            <w:tcW w:w="1320" w:type="dxa"/>
          </w:tcPr>
          <w:p w14:paraId="52BE17F1" w14:textId="77777777" w:rsidR="00C3665B" w:rsidRPr="00482BA2" w:rsidRDefault="00C3665B" w:rsidP="00C3665B">
            <w:pPr>
              <w:spacing w:after="0" w:line="240" w:lineRule="auto"/>
              <w:rPr>
                <w:rFonts w:ascii="Arial" w:hAnsi="Arial" w:cs="Arial"/>
                <w:b/>
              </w:rPr>
            </w:pPr>
            <w:r w:rsidRPr="00482BA2">
              <w:rPr>
                <w:rFonts w:ascii="Arial" w:hAnsi="Arial" w:cs="Arial"/>
                <w:b/>
              </w:rPr>
              <w:t>Subject:</w:t>
            </w:r>
          </w:p>
        </w:tc>
        <w:tc>
          <w:tcPr>
            <w:tcW w:w="8040" w:type="dxa"/>
          </w:tcPr>
          <w:p w14:paraId="61A962E0" w14:textId="77C1A899" w:rsidR="00C3665B" w:rsidRPr="00482BA2" w:rsidRDefault="77193F9C" w:rsidP="7895F048">
            <w:pPr>
              <w:widowControl w:val="0"/>
              <w:tabs>
                <w:tab w:val="center" w:pos="4680"/>
                <w:tab w:val="right" w:pos="9360"/>
              </w:tabs>
              <w:spacing w:after="0" w:line="240" w:lineRule="auto"/>
            </w:pPr>
            <w:r w:rsidRPr="7895F048">
              <w:rPr>
                <w:rFonts w:ascii="Arial" w:eastAsia="Arial" w:hAnsi="Arial" w:cs="Arial"/>
              </w:rPr>
              <w:t>Commissioner’s Priorities</w:t>
            </w:r>
          </w:p>
        </w:tc>
      </w:tr>
    </w:tbl>
    <w:p w14:paraId="3A2B89A2" w14:textId="77777777" w:rsidR="00C3665B" w:rsidRPr="00482BA2" w:rsidRDefault="00C3665B" w:rsidP="00C3665B">
      <w:pPr>
        <w:pBdr>
          <w:bottom w:val="single" w:sz="4" w:space="1" w:color="auto"/>
        </w:pBdr>
        <w:spacing w:after="0" w:line="240" w:lineRule="auto"/>
        <w:rPr>
          <w:rFonts w:ascii="Arial" w:hAnsi="Arial" w:cs="Arial"/>
        </w:rPr>
      </w:pPr>
      <w:bookmarkStart w:id="0" w:name="TO"/>
      <w:bookmarkStart w:id="1" w:name="FROM"/>
      <w:bookmarkStart w:id="2" w:name="DATE"/>
      <w:bookmarkStart w:id="3" w:name="RE"/>
      <w:bookmarkEnd w:id="0"/>
      <w:bookmarkEnd w:id="1"/>
      <w:bookmarkEnd w:id="2"/>
      <w:bookmarkEnd w:id="3"/>
    </w:p>
    <w:p w14:paraId="3BF17CB3" w14:textId="76B409CA" w:rsidR="1D0A62D0" w:rsidRDefault="1D0A62D0" w:rsidP="1D0A62D0">
      <w:pPr>
        <w:rPr>
          <w:rFonts w:ascii="Arial" w:hAnsi="Arial" w:cs="Arial"/>
        </w:rPr>
        <w:sectPr w:rsidR="1D0A62D0" w:rsidSect="00725BB6">
          <w:footerReference w:type="default" r:id="rId13"/>
          <w:type w:val="continuous"/>
          <w:pgSz w:w="12240" w:h="15840"/>
          <w:pgMar w:top="1440" w:right="1440" w:bottom="1440" w:left="1440" w:header="720" w:footer="720" w:gutter="0"/>
          <w:cols w:space="720"/>
          <w:docGrid w:linePitch="360"/>
        </w:sectPr>
      </w:pPr>
    </w:p>
    <w:p w14:paraId="0F9826CE" w14:textId="504C97EA" w:rsidR="6CE81110" w:rsidRDefault="4A418B79" w:rsidP="7895F048">
      <w:pPr>
        <w:spacing w:before="240" w:after="240"/>
      </w:pPr>
      <w:r w:rsidRPr="7895F048">
        <w:rPr>
          <w:rFonts w:ascii="Arial" w:eastAsia="Arial" w:hAnsi="Arial" w:cs="Arial"/>
        </w:rPr>
        <w:t xml:space="preserve">At the December 16, </w:t>
      </w:r>
      <w:proofErr w:type="gramStart"/>
      <w:r w:rsidRPr="7895F048">
        <w:rPr>
          <w:rFonts w:ascii="Arial" w:eastAsia="Arial" w:hAnsi="Arial" w:cs="Arial"/>
        </w:rPr>
        <w:t>2025</w:t>
      </w:r>
      <w:proofErr w:type="gramEnd"/>
      <w:r w:rsidRPr="7895F048">
        <w:rPr>
          <w:rFonts w:ascii="Arial" w:eastAsia="Arial" w:hAnsi="Arial" w:cs="Arial"/>
        </w:rPr>
        <w:t xml:space="preserve"> meeting of the Board of Elementary and Secondary Education (Board), I will share my draft priorities for the Department of Elementary and Secondary Education (Department or DESE) that will guide a new 5-Year Strategic Plan.</w:t>
      </w:r>
    </w:p>
    <w:p w14:paraId="77D54914" w14:textId="11AADC35" w:rsidR="6CE81110" w:rsidRDefault="4A418B79" w:rsidP="7895F048">
      <w:pPr>
        <w:spacing w:before="240" w:after="240"/>
      </w:pPr>
      <w:r w:rsidRPr="7895F048">
        <w:rPr>
          <w:rFonts w:ascii="Arial" w:eastAsia="Arial" w:hAnsi="Arial" w:cs="Arial"/>
        </w:rPr>
        <w:t>Since becoming Commissioner, I have been participating in a listening tour across the Commonwealth, engaging internal and external stakeholders to determine the current state of education in Massachusetts and the most impactful ways that DESE can support our schools and districts in improving student learning and achievement.</w:t>
      </w:r>
    </w:p>
    <w:p w14:paraId="31CDF498" w14:textId="157E330E" w:rsidR="6CE81110" w:rsidRDefault="4A418B79" w:rsidP="7895F048">
      <w:pPr>
        <w:spacing w:before="240" w:after="240"/>
      </w:pPr>
      <w:r w:rsidRPr="7895F048">
        <w:rPr>
          <w:rFonts w:ascii="Arial" w:eastAsia="Arial" w:hAnsi="Arial" w:cs="Arial"/>
        </w:rPr>
        <w:t xml:space="preserve">I plan to maintain the current DESE Educational Vision and Strategic Objectives, which provide a strong foundation for our work. I am proposing six key priorities that require deeper investment </w:t>
      </w:r>
      <w:proofErr w:type="gramStart"/>
      <w:r w:rsidRPr="7895F048">
        <w:rPr>
          <w:rFonts w:ascii="Arial" w:eastAsia="Arial" w:hAnsi="Arial" w:cs="Arial"/>
        </w:rPr>
        <w:t>of</w:t>
      </w:r>
      <w:proofErr w:type="gramEnd"/>
      <w:r w:rsidRPr="7895F048">
        <w:rPr>
          <w:rFonts w:ascii="Arial" w:eastAsia="Arial" w:hAnsi="Arial" w:cs="Arial"/>
        </w:rPr>
        <w:t xml:space="preserve"> staff time, resources, and policy focus across DESE and the Commonwealth. These six priorities are:</w:t>
      </w:r>
    </w:p>
    <w:p w14:paraId="1E0953B2" w14:textId="2233A3E5" w:rsidR="6CE81110" w:rsidRDefault="4A418B79" w:rsidP="7895F048">
      <w:pPr>
        <w:pStyle w:val="ListParagraph"/>
        <w:numPr>
          <w:ilvl w:val="0"/>
          <w:numId w:val="1"/>
        </w:numPr>
        <w:spacing w:after="0"/>
        <w:rPr>
          <w:rFonts w:ascii="Arial" w:eastAsia="Arial" w:hAnsi="Arial" w:cs="Arial"/>
        </w:rPr>
      </w:pPr>
      <w:r w:rsidRPr="7895F048">
        <w:rPr>
          <w:rFonts w:ascii="Arial" w:eastAsia="Arial" w:hAnsi="Arial" w:cs="Arial"/>
          <w:b/>
          <w:bCs/>
        </w:rPr>
        <w:t>Power of Presence:</w:t>
      </w:r>
      <w:r w:rsidRPr="7895F048">
        <w:rPr>
          <w:rFonts w:ascii="Arial" w:eastAsia="Arial" w:hAnsi="Arial" w:cs="Arial"/>
        </w:rPr>
        <w:t xml:space="preserve"> increasing student attendance and engagement</w:t>
      </w:r>
    </w:p>
    <w:p w14:paraId="12C39A2C" w14:textId="156BAA2C" w:rsidR="6CE81110" w:rsidRDefault="4A418B79" w:rsidP="7895F048">
      <w:pPr>
        <w:pStyle w:val="ListParagraph"/>
        <w:numPr>
          <w:ilvl w:val="0"/>
          <w:numId w:val="1"/>
        </w:numPr>
        <w:spacing w:after="0"/>
        <w:rPr>
          <w:rFonts w:ascii="Arial" w:eastAsia="Arial" w:hAnsi="Arial" w:cs="Arial"/>
        </w:rPr>
      </w:pPr>
      <w:r w:rsidRPr="7895F048">
        <w:rPr>
          <w:rFonts w:ascii="Arial" w:eastAsia="Arial" w:hAnsi="Arial" w:cs="Arial"/>
          <w:b/>
          <w:bCs/>
        </w:rPr>
        <w:t>Literacy Launch:</w:t>
      </w:r>
      <w:r w:rsidRPr="7895F048">
        <w:rPr>
          <w:rFonts w:ascii="Arial" w:eastAsia="Arial" w:hAnsi="Arial" w:cs="Arial"/>
        </w:rPr>
        <w:t xml:space="preserve"> strengthening evidence-based early literacy practices</w:t>
      </w:r>
    </w:p>
    <w:p w14:paraId="44494A30" w14:textId="173A8AA3" w:rsidR="6CE81110" w:rsidRDefault="4A418B79" w:rsidP="7895F048">
      <w:pPr>
        <w:pStyle w:val="ListParagraph"/>
        <w:numPr>
          <w:ilvl w:val="0"/>
          <w:numId w:val="1"/>
        </w:numPr>
        <w:spacing w:after="0"/>
        <w:rPr>
          <w:rFonts w:ascii="Arial" w:eastAsia="Arial" w:hAnsi="Arial" w:cs="Arial"/>
        </w:rPr>
      </w:pPr>
      <w:r w:rsidRPr="7895F048">
        <w:rPr>
          <w:rFonts w:ascii="Arial" w:eastAsia="Arial" w:hAnsi="Arial" w:cs="Arial"/>
          <w:b/>
          <w:bCs/>
        </w:rPr>
        <w:t>Future Focused:</w:t>
      </w:r>
      <w:r w:rsidRPr="7895F048">
        <w:rPr>
          <w:rFonts w:ascii="Arial" w:eastAsia="Arial" w:hAnsi="Arial" w:cs="Arial"/>
        </w:rPr>
        <w:t xml:space="preserve"> expanding college and career pathways</w:t>
      </w:r>
    </w:p>
    <w:p w14:paraId="63D86B5C" w14:textId="5DA6036D" w:rsidR="6CE81110" w:rsidRDefault="4A418B79" w:rsidP="7895F048">
      <w:pPr>
        <w:pStyle w:val="ListParagraph"/>
        <w:numPr>
          <w:ilvl w:val="0"/>
          <w:numId w:val="1"/>
        </w:numPr>
        <w:spacing w:after="0"/>
        <w:rPr>
          <w:rFonts w:ascii="Arial" w:eastAsia="Arial" w:hAnsi="Arial" w:cs="Arial"/>
        </w:rPr>
      </w:pPr>
      <w:r w:rsidRPr="7895F048">
        <w:rPr>
          <w:rFonts w:ascii="Arial" w:eastAsia="Arial" w:hAnsi="Arial" w:cs="Arial"/>
          <w:b/>
          <w:bCs/>
        </w:rPr>
        <w:t>Inclusive Impact:</w:t>
      </w:r>
      <w:r w:rsidRPr="7895F048">
        <w:rPr>
          <w:rFonts w:ascii="Arial" w:eastAsia="Arial" w:hAnsi="Arial" w:cs="Arial"/>
        </w:rPr>
        <w:t xml:space="preserve"> strengthening evidence-based practices for students with disabilities and English learners</w:t>
      </w:r>
    </w:p>
    <w:p w14:paraId="46E3FE37" w14:textId="6BFF1AE0" w:rsidR="6CE81110" w:rsidRDefault="4A418B79" w:rsidP="7895F048">
      <w:pPr>
        <w:pStyle w:val="ListParagraph"/>
        <w:numPr>
          <w:ilvl w:val="0"/>
          <w:numId w:val="1"/>
        </w:numPr>
        <w:spacing w:after="0"/>
        <w:rPr>
          <w:rFonts w:ascii="Arial" w:eastAsia="Arial" w:hAnsi="Arial" w:cs="Arial"/>
        </w:rPr>
      </w:pPr>
      <w:r w:rsidRPr="7895F048">
        <w:rPr>
          <w:rFonts w:ascii="Arial" w:eastAsia="Arial" w:hAnsi="Arial" w:cs="Arial"/>
          <w:b/>
          <w:bCs/>
        </w:rPr>
        <w:t>Teach Tomorrow:</w:t>
      </w:r>
      <w:r w:rsidRPr="7895F048">
        <w:rPr>
          <w:rFonts w:ascii="Arial" w:eastAsia="Arial" w:hAnsi="Arial" w:cs="Arial"/>
        </w:rPr>
        <w:t xml:space="preserve"> building a robust teacher pipeline</w:t>
      </w:r>
    </w:p>
    <w:p w14:paraId="4A5E3C01" w14:textId="052E3A12" w:rsidR="6CE81110" w:rsidRDefault="4A418B79" w:rsidP="7895F048">
      <w:pPr>
        <w:pStyle w:val="ListParagraph"/>
        <w:numPr>
          <w:ilvl w:val="0"/>
          <w:numId w:val="1"/>
        </w:numPr>
        <w:spacing w:after="0"/>
        <w:rPr>
          <w:rFonts w:ascii="Arial" w:eastAsia="Arial" w:hAnsi="Arial" w:cs="Arial"/>
        </w:rPr>
      </w:pPr>
      <w:r w:rsidRPr="336768DC">
        <w:rPr>
          <w:rFonts w:ascii="Arial" w:eastAsia="Arial" w:hAnsi="Arial" w:cs="Arial"/>
          <w:b/>
          <w:bCs/>
        </w:rPr>
        <w:t>Accelerating Achievement:</w:t>
      </w:r>
      <w:r w:rsidRPr="336768DC">
        <w:rPr>
          <w:rFonts w:ascii="Arial" w:eastAsia="Arial" w:hAnsi="Arial" w:cs="Arial"/>
        </w:rPr>
        <w:t xml:space="preserve"> providing comprehensive support for</w:t>
      </w:r>
      <w:r w:rsidR="40608053" w:rsidRPr="336768DC">
        <w:rPr>
          <w:rFonts w:ascii="Arial" w:eastAsia="Arial" w:hAnsi="Arial" w:cs="Arial"/>
        </w:rPr>
        <w:t xml:space="preserve"> low–performing </w:t>
      </w:r>
      <w:r w:rsidRPr="336768DC">
        <w:rPr>
          <w:rFonts w:ascii="Arial" w:eastAsia="Arial" w:hAnsi="Arial" w:cs="Arial"/>
        </w:rPr>
        <w:t>schools</w:t>
      </w:r>
    </w:p>
    <w:p w14:paraId="0CC6B56C" w14:textId="5BB8C054" w:rsidR="6CE81110" w:rsidRDefault="4A418B79" w:rsidP="7895F048">
      <w:pPr>
        <w:spacing w:before="240" w:after="240"/>
      </w:pPr>
      <w:r w:rsidRPr="0E866E94">
        <w:rPr>
          <w:rFonts w:ascii="Arial" w:eastAsia="Arial" w:hAnsi="Arial" w:cs="Arial"/>
        </w:rPr>
        <w:t xml:space="preserve">I will continue to engage stakeholders through winter 2026 to further develop these priorities and additional strategies. This stakeholder engagement will inform a draft of a 5-Year Strategic Plan that I </w:t>
      </w:r>
      <w:r w:rsidR="128260AB" w:rsidRPr="0E866E94">
        <w:rPr>
          <w:rFonts w:ascii="Arial" w:eastAsia="Arial" w:hAnsi="Arial" w:cs="Arial"/>
        </w:rPr>
        <w:t>intend</w:t>
      </w:r>
      <w:r w:rsidR="48A4757A" w:rsidRPr="0E866E94">
        <w:rPr>
          <w:rFonts w:ascii="Arial" w:eastAsia="Arial" w:hAnsi="Arial" w:cs="Arial"/>
        </w:rPr>
        <w:t xml:space="preserve"> to </w:t>
      </w:r>
      <w:r w:rsidRPr="0E866E94">
        <w:rPr>
          <w:rFonts w:ascii="Arial" w:eastAsia="Arial" w:hAnsi="Arial" w:cs="Arial"/>
        </w:rPr>
        <w:t>present to the Board this spring.</w:t>
      </w:r>
      <w:r w:rsidR="51D1C731" w:rsidRPr="0E866E94">
        <w:rPr>
          <w:rFonts w:ascii="Arial" w:eastAsia="Arial" w:hAnsi="Arial" w:cs="Arial"/>
        </w:rPr>
        <w:t xml:space="preserve"> </w:t>
      </w:r>
    </w:p>
    <w:p w14:paraId="76259373" w14:textId="39277B51" w:rsidR="6CE81110" w:rsidRDefault="6CE81110" w:rsidP="7895F048">
      <w:pPr>
        <w:spacing w:line="279" w:lineRule="auto"/>
        <w:rPr>
          <w:rFonts w:ascii="Arial" w:eastAsia="Arial" w:hAnsi="Arial" w:cs="Arial"/>
          <w:color w:val="000000" w:themeColor="text1"/>
        </w:rPr>
      </w:pPr>
    </w:p>
    <w:sectPr w:rsidR="6CE81110"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E8AE" w14:textId="77777777" w:rsidR="003D78A7" w:rsidRDefault="003D78A7" w:rsidP="00C84EE3">
      <w:pPr>
        <w:spacing w:after="0" w:line="240" w:lineRule="auto"/>
      </w:pPr>
      <w:r>
        <w:separator/>
      </w:r>
    </w:p>
  </w:endnote>
  <w:endnote w:type="continuationSeparator" w:id="0">
    <w:p w14:paraId="4AC4A3EA" w14:textId="77777777" w:rsidR="003D78A7" w:rsidRDefault="003D78A7"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1B044615">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58242" behindDoc="1" locked="0" layoutInCell="1" allowOverlap="1" wp14:anchorId="291FC6C5" wp14:editId="33B3427C">
              <wp:simplePos x="0" y="0"/>
              <wp:positionH relativeFrom="margin">
                <wp:align>center</wp:align>
              </wp:positionH>
              <wp:positionV relativeFrom="paragraph">
                <wp:posOffset>198755</wp:posOffset>
              </wp:positionV>
              <wp:extent cx="7472567" cy="495510"/>
              <wp:effectExtent l="0" t="0" r="0" b="0"/>
              <wp:wrapNone/>
              <wp:docPr id="1725103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A9CDC" w14:textId="77777777" w:rsidR="003D78A7" w:rsidRDefault="003D78A7" w:rsidP="00C84EE3">
      <w:pPr>
        <w:spacing w:after="0" w:line="240" w:lineRule="auto"/>
      </w:pPr>
      <w:r>
        <w:separator/>
      </w:r>
    </w:p>
  </w:footnote>
  <w:footnote w:type="continuationSeparator" w:id="0">
    <w:p w14:paraId="70EDFC7E" w14:textId="77777777" w:rsidR="003D78A7" w:rsidRDefault="003D78A7"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62B2A13D">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D2ABA"/>
    <w:multiLevelType w:val="hybridMultilevel"/>
    <w:tmpl w:val="907458E2"/>
    <w:lvl w:ilvl="0" w:tplc="6D4C77FE">
      <w:start w:val="1"/>
      <w:numFmt w:val="bullet"/>
      <w:lvlText w:val=""/>
      <w:lvlJc w:val="left"/>
      <w:pPr>
        <w:ind w:left="720" w:hanging="360"/>
      </w:pPr>
      <w:rPr>
        <w:rFonts w:ascii="Symbol" w:hAnsi="Symbol" w:hint="default"/>
      </w:rPr>
    </w:lvl>
    <w:lvl w:ilvl="1" w:tplc="EB9446FC">
      <w:start w:val="1"/>
      <w:numFmt w:val="bullet"/>
      <w:lvlText w:val="o"/>
      <w:lvlJc w:val="left"/>
      <w:pPr>
        <w:ind w:left="1440" w:hanging="360"/>
      </w:pPr>
      <w:rPr>
        <w:rFonts w:ascii="Courier New" w:hAnsi="Courier New" w:hint="default"/>
      </w:rPr>
    </w:lvl>
    <w:lvl w:ilvl="2" w:tplc="C48012C0">
      <w:start w:val="1"/>
      <w:numFmt w:val="bullet"/>
      <w:lvlText w:val=""/>
      <w:lvlJc w:val="left"/>
      <w:pPr>
        <w:ind w:left="2160" w:hanging="360"/>
      </w:pPr>
      <w:rPr>
        <w:rFonts w:ascii="Wingdings" w:hAnsi="Wingdings" w:hint="default"/>
      </w:rPr>
    </w:lvl>
    <w:lvl w:ilvl="3" w:tplc="CBB6998A">
      <w:start w:val="1"/>
      <w:numFmt w:val="bullet"/>
      <w:lvlText w:val=""/>
      <w:lvlJc w:val="left"/>
      <w:pPr>
        <w:ind w:left="2880" w:hanging="360"/>
      </w:pPr>
      <w:rPr>
        <w:rFonts w:ascii="Symbol" w:hAnsi="Symbol" w:hint="default"/>
      </w:rPr>
    </w:lvl>
    <w:lvl w:ilvl="4" w:tplc="BD945A44">
      <w:start w:val="1"/>
      <w:numFmt w:val="bullet"/>
      <w:lvlText w:val="o"/>
      <w:lvlJc w:val="left"/>
      <w:pPr>
        <w:ind w:left="3600" w:hanging="360"/>
      </w:pPr>
      <w:rPr>
        <w:rFonts w:ascii="Courier New" w:hAnsi="Courier New" w:hint="default"/>
      </w:rPr>
    </w:lvl>
    <w:lvl w:ilvl="5" w:tplc="5B22C1F4">
      <w:start w:val="1"/>
      <w:numFmt w:val="bullet"/>
      <w:lvlText w:val=""/>
      <w:lvlJc w:val="left"/>
      <w:pPr>
        <w:ind w:left="4320" w:hanging="360"/>
      </w:pPr>
      <w:rPr>
        <w:rFonts w:ascii="Wingdings" w:hAnsi="Wingdings" w:hint="default"/>
      </w:rPr>
    </w:lvl>
    <w:lvl w:ilvl="6" w:tplc="4F48CF40">
      <w:start w:val="1"/>
      <w:numFmt w:val="bullet"/>
      <w:lvlText w:val=""/>
      <w:lvlJc w:val="left"/>
      <w:pPr>
        <w:ind w:left="5040" w:hanging="360"/>
      </w:pPr>
      <w:rPr>
        <w:rFonts w:ascii="Symbol" w:hAnsi="Symbol" w:hint="default"/>
      </w:rPr>
    </w:lvl>
    <w:lvl w:ilvl="7" w:tplc="5928AFE6">
      <w:start w:val="1"/>
      <w:numFmt w:val="bullet"/>
      <w:lvlText w:val="o"/>
      <w:lvlJc w:val="left"/>
      <w:pPr>
        <w:ind w:left="5760" w:hanging="360"/>
      </w:pPr>
      <w:rPr>
        <w:rFonts w:ascii="Courier New" w:hAnsi="Courier New" w:hint="default"/>
      </w:rPr>
    </w:lvl>
    <w:lvl w:ilvl="8" w:tplc="BC6AA05A">
      <w:start w:val="1"/>
      <w:numFmt w:val="bullet"/>
      <w:lvlText w:val=""/>
      <w:lvlJc w:val="left"/>
      <w:pPr>
        <w:ind w:left="6480" w:hanging="360"/>
      </w:pPr>
      <w:rPr>
        <w:rFonts w:ascii="Wingdings" w:hAnsi="Wingdings" w:hint="default"/>
      </w:rPr>
    </w:lvl>
  </w:abstractNum>
  <w:abstractNum w:abstractNumId="1" w15:restartNumberingAfterBreak="0">
    <w:nsid w:val="375DBBD4"/>
    <w:multiLevelType w:val="hybridMultilevel"/>
    <w:tmpl w:val="15DE556C"/>
    <w:lvl w:ilvl="0" w:tplc="9B582A4C">
      <w:start w:val="1"/>
      <w:numFmt w:val="bullet"/>
      <w:lvlText w:val=""/>
      <w:lvlJc w:val="left"/>
      <w:pPr>
        <w:ind w:left="720" w:hanging="360"/>
      </w:pPr>
      <w:rPr>
        <w:rFonts w:ascii="Symbol" w:hAnsi="Symbol" w:hint="default"/>
      </w:rPr>
    </w:lvl>
    <w:lvl w:ilvl="1" w:tplc="0F2A2F7A">
      <w:start w:val="1"/>
      <w:numFmt w:val="bullet"/>
      <w:lvlText w:val="o"/>
      <w:lvlJc w:val="left"/>
      <w:pPr>
        <w:ind w:left="1440" w:hanging="360"/>
      </w:pPr>
      <w:rPr>
        <w:rFonts w:ascii="Courier New" w:hAnsi="Courier New" w:hint="default"/>
      </w:rPr>
    </w:lvl>
    <w:lvl w:ilvl="2" w:tplc="D4C2A23A">
      <w:start w:val="1"/>
      <w:numFmt w:val="bullet"/>
      <w:lvlText w:val=""/>
      <w:lvlJc w:val="left"/>
      <w:pPr>
        <w:ind w:left="2160" w:hanging="360"/>
      </w:pPr>
      <w:rPr>
        <w:rFonts w:ascii="Wingdings" w:hAnsi="Wingdings" w:hint="default"/>
      </w:rPr>
    </w:lvl>
    <w:lvl w:ilvl="3" w:tplc="1436E0F8">
      <w:start w:val="1"/>
      <w:numFmt w:val="bullet"/>
      <w:lvlText w:val=""/>
      <w:lvlJc w:val="left"/>
      <w:pPr>
        <w:ind w:left="2880" w:hanging="360"/>
      </w:pPr>
      <w:rPr>
        <w:rFonts w:ascii="Symbol" w:hAnsi="Symbol" w:hint="default"/>
      </w:rPr>
    </w:lvl>
    <w:lvl w:ilvl="4" w:tplc="4496C57E">
      <w:start w:val="1"/>
      <w:numFmt w:val="bullet"/>
      <w:lvlText w:val="o"/>
      <w:lvlJc w:val="left"/>
      <w:pPr>
        <w:ind w:left="3600" w:hanging="360"/>
      </w:pPr>
      <w:rPr>
        <w:rFonts w:ascii="Courier New" w:hAnsi="Courier New" w:hint="default"/>
      </w:rPr>
    </w:lvl>
    <w:lvl w:ilvl="5" w:tplc="F3080A20">
      <w:start w:val="1"/>
      <w:numFmt w:val="bullet"/>
      <w:lvlText w:val=""/>
      <w:lvlJc w:val="left"/>
      <w:pPr>
        <w:ind w:left="4320" w:hanging="360"/>
      </w:pPr>
      <w:rPr>
        <w:rFonts w:ascii="Wingdings" w:hAnsi="Wingdings" w:hint="default"/>
      </w:rPr>
    </w:lvl>
    <w:lvl w:ilvl="6" w:tplc="E21850B4">
      <w:start w:val="1"/>
      <w:numFmt w:val="bullet"/>
      <w:lvlText w:val=""/>
      <w:lvlJc w:val="left"/>
      <w:pPr>
        <w:ind w:left="5040" w:hanging="360"/>
      </w:pPr>
      <w:rPr>
        <w:rFonts w:ascii="Symbol" w:hAnsi="Symbol" w:hint="default"/>
      </w:rPr>
    </w:lvl>
    <w:lvl w:ilvl="7" w:tplc="71C4CC52">
      <w:start w:val="1"/>
      <w:numFmt w:val="bullet"/>
      <w:lvlText w:val="o"/>
      <w:lvlJc w:val="left"/>
      <w:pPr>
        <w:ind w:left="5760" w:hanging="360"/>
      </w:pPr>
      <w:rPr>
        <w:rFonts w:ascii="Courier New" w:hAnsi="Courier New" w:hint="default"/>
      </w:rPr>
    </w:lvl>
    <w:lvl w:ilvl="8" w:tplc="065A28EA">
      <w:start w:val="1"/>
      <w:numFmt w:val="bullet"/>
      <w:lvlText w:val=""/>
      <w:lvlJc w:val="left"/>
      <w:pPr>
        <w:ind w:left="6480" w:hanging="360"/>
      </w:pPr>
      <w:rPr>
        <w:rFonts w:ascii="Wingdings" w:hAnsi="Wingdings" w:hint="default"/>
      </w:rPr>
    </w:lvl>
  </w:abstractNum>
  <w:num w:numId="1" w16cid:durableId="1500343320">
    <w:abstractNumId w:val="0"/>
  </w:num>
  <w:num w:numId="2" w16cid:durableId="793060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0ED3"/>
    <w:rsid w:val="00015387"/>
    <w:rsid w:val="000206BF"/>
    <w:rsid w:val="00032C6B"/>
    <w:rsid w:val="000853ED"/>
    <w:rsid w:val="000F11A7"/>
    <w:rsid w:val="00165B08"/>
    <w:rsid w:val="001B3D3D"/>
    <w:rsid w:val="001D6377"/>
    <w:rsid w:val="001F4785"/>
    <w:rsid w:val="001F4E3C"/>
    <w:rsid w:val="002011FD"/>
    <w:rsid w:val="002240CF"/>
    <w:rsid w:val="0022441F"/>
    <w:rsid w:val="00225FD5"/>
    <w:rsid w:val="00226E66"/>
    <w:rsid w:val="0023664B"/>
    <w:rsid w:val="00296836"/>
    <w:rsid w:val="002A3A71"/>
    <w:rsid w:val="002ADD96"/>
    <w:rsid w:val="002B7E3D"/>
    <w:rsid w:val="002C1EBF"/>
    <w:rsid w:val="002C6C02"/>
    <w:rsid w:val="002E4BDE"/>
    <w:rsid w:val="002F415D"/>
    <w:rsid w:val="002F57B7"/>
    <w:rsid w:val="003045E0"/>
    <w:rsid w:val="00355B95"/>
    <w:rsid w:val="00356597"/>
    <w:rsid w:val="003757C2"/>
    <w:rsid w:val="003B6F3B"/>
    <w:rsid w:val="003D78A7"/>
    <w:rsid w:val="003E2FDF"/>
    <w:rsid w:val="003E7485"/>
    <w:rsid w:val="003F4E99"/>
    <w:rsid w:val="003F65BF"/>
    <w:rsid w:val="00420346"/>
    <w:rsid w:val="00422EC0"/>
    <w:rsid w:val="0042465D"/>
    <w:rsid w:val="004252FC"/>
    <w:rsid w:val="0042715C"/>
    <w:rsid w:val="00430D65"/>
    <w:rsid w:val="00431627"/>
    <w:rsid w:val="00457B94"/>
    <w:rsid w:val="00462496"/>
    <w:rsid w:val="00467044"/>
    <w:rsid w:val="004767FA"/>
    <w:rsid w:val="00482BA2"/>
    <w:rsid w:val="00490D13"/>
    <w:rsid w:val="004929C2"/>
    <w:rsid w:val="004931D8"/>
    <w:rsid w:val="00493C1C"/>
    <w:rsid w:val="004C46FB"/>
    <w:rsid w:val="004C5233"/>
    <w:rsid w:val="00511688"/>
    <w:rsid w:val="00530671"/>
    <w:rsid w:val="00554202"/>
    <w:rsid w:val="00560D69"/>
    <w:rsid w:val="005635E1"/>
    <w:rsid w:val="00595AA3"/>
    <w:rsid w:val="005963EE"/>
    <w:rsid w:val="005A09B0"/>
    <w:rsid w:val="005F2770"/>
    <w:rsid w:val="00601F6F"/>
    <w:rsid w:val="006331C1"/>
    <w:rsid w:val="00652973"/>
    <w:rsid w:val="006836AE"/>
    <w:rsid w:val="006837F3"/>
    <w:rsid w:val="006955E8"/>
    <w:rsid w:val="006F42A9"/>
    <w:rsid w:val="006F7727"/>
    <w:rsid w:val="00701472"/>
    <w:rsid w:val="00706ACF"/>
    <w:rsid w:val="00725BB6"/>
    <w:rsid w:val="007415A4"/>
    <w:rsid w:val="00757EE6"/>
    <w:rsid w:val="00761321"/>
    <w:rsid w:val="007647E2"/>
    <w:rsid w:val="007912D0"/>
    <w:rsid w:val="007C5FFD"/>
    <w:rsid w:val="007E044E"/>
    <w:rsid w:val="007E68D1"/>
    <w:rsid w:val="008053A3"/>
    <w:rsid w:val="008140B2"/>
    <w:rsid w:val="00820FC4"/>
    <w:rsid w:val="008353DD"/>
    <w:rsid w:val="00835EC8"/>
    <w:rsid w:val="00837E08"/>
    <w:rsid w:val="00851E6F"/>
    <w:rsid w:val="0085519B"/>
    <w:rsid w:val="00886A56"/>
    <w:rsid w:val="00886CA6"/>
    <w:rsid w:val="00893589"/>
    <w:rsid w:val="00894C03"/>
    <w:rsid w:val="00895A04"/>
    <w:rsid w:val="009020E4"/>
    <w:rsid w:val="00922FD3"/>
    <w:rsid w:val="0092546E"/>
    <w:rsid w:val="00937E44"/>
    <w:rsid w:val="00943C76"/>
    <w:rsid w:val="00966F9A"/>
    <w:rsid w:val="009A28ED"/>
    <w:rsid w:val="009A587B"/>
    <w:rsid w:val="009E0C11"/>
    <w:rsid w:val="00A137E0"/>
    <w:rsid w:val="00A17BC1"/>
    <w:rsid w:val="00A22A3A"/>
    <w:rsid w:val="00A23EF5"/>
    <w:rsid w:val="00A47614"/>
    <w:rsid w:val="00A642C8"/>
    <w:rsid w:val="00A80CC7"/>
    <w:rsid w:val="00A91A46"/>
    <w:rsid w:val="00AB547A"/>
    <w:rsid w:val="00AC2A7B"/>
    <w:rsid w:val="00AE3971"/>
    <w:rsid w:val="00AE590A"/>
    <w:rsid w:val="00AE59C9"/>
    <w:rsid w:val="00B150A1"/>
    <w:rsid w:val="00B4044D"/>
    <w:rsid w:val="00B4383C"/>
    <w:rsid w:val="00B64582"/>
    <w:rsid w:val="00B65A83"/>
    <w:rsid w:val="00B752CF"/>
    <w:rsid w:val="00B762F2"/>
    <w:rsid w:val="00BB1BC1"/>
    <w:rsid w:val="00BC0CB6"/>
    <w:rsid w:val="00BD31F2"/>
    <w:rsid w:val="00BD5A23"/>
    <w:rsid w:val="00BE05FE"/>
    <w:rsid w:val="00BE0EFA"/>
    <w:rsid w:val="00BE5695"/>
    <w:rsid w:val="00BF3E69"/>
    <w:rsid w:val="00BF6038"/>
    <w:rsid w:val="00C3665B"/>
    <w:rsid w:val="00C41605"/>
    <w:rsid w:val="00C71B9E"/>
    <w:rsid w:val="00C824D2"/>
    <w:rsid w:val="00C84EE3"/>
    <w:rsid w:val="00CA13EA"/>
    <w:rsid w:val="00CA620A"/>
    <w:rsid w:val="00CC1A61"/>
    <w:rsid w:val="00CD2E0A"/>
    <w:rsid w:val="00CF456C"/>
    <w:rsid w:val="00D27E05"/>
    <w:rsid w:val="00D47EF5"/>
    <w:rsid w:val="00D64FA2"/>
    <w:rsid w:val="00D65B6C"/>
    <w:rsid w:val="00D73710"/>
    <w:rsid w:val="00D8570D"/>
    <w:rsid w:val="00D877AC"/>
    <w:rsid w:val="00D95DBE"/>
    <w:rsid w:val="00DA2538"/>
    <w:rsid w:val="00DA33A6"/>
    <w:rsid w:val="00DC397C"/>
    <w:rsid w:val="00DD73CC"/>
    <w:rsid w:val="00DF4D53"/>
    <w:rsid w:val="00DF66D1"/>
    <w:rsid w:val="00E0707D"/>
    <w:rsid w:val="00E36462"/>
    <w:rsid w:val="00E450E8"/>
    <w:rsid w:val="00E531E7"/>
    <w:rsid w:val="00E5696B"/>
    <w:rsid w:val="00E63E19"/>
    <w:rsid w:val="00E6513B"/>
    <w:rsid w:val="00E66C89"/>
    <w:rsid w:val="00E70FBC"/>
    <w:rsid w:val="00E82A95"/>
    <w:rsid w:val="00EA5B5C"/>
    <w:rsid w:val="00EC6D34"/>
    <w:rsid w:val="00ED0518"/>
    <w:rsid w:val="00ED6C5C"/>
    <w:rsid w:val="00ED7910"/>
    <w:rsid w:val="00EE1003"/>
    <w:rsid w:val="00F00022"/>
    <w:rsid w:val="00F00FAA"/>
    <w:rsid w:val="00F24E91"/>
    <w:rsid w:val="00F44411"/>
    <w:rsid w:val="00FA0A25"/>
    <w:rsid w:val="00FA56E5"/>
    <w:rsid w:val="00FD6CB0"/>
    <w:rsid w:val="00FE03F2"/>
    <w:rsid w:val="00FE5AC9"/>
    <w:rsid w:val="00FF61A1"/>
    <w:rsid w:val="08B68E96"/>
    <w:rsid w:val="0B23F0C0"/>
    <w:rsid w:val="0B46B215"/>
    <w:rsid w:val="0B7587BC"/>
    <w:rsid w:val="0E866E94"/>
    <w:rsid w:val="10EF9A73"/>
    <w:rsid w:val="128260AB"/>
    <w:rsid w:val="12F96727"/>
    <w:rsid w:val="1350B724"/>
    <w:rsid w:val="1455153B"/>
    <w:rsid w:val="180252CF"/>
    <w:rsid w:val="1D0A62D0"/>
    <w:rsid w:val="20551977"/>
    <w:rsid w:val="2154A4ED"/>
    <w:rsid w:val="2271C7AF"/>
    <w:rsid w:val="25E3181C"/>
    <w:rsid w:val="262029E4"/>
    <w:rsid w:val="27C317B4"/>
    <w:rsid w:val="29610792"/>
    <w:rsid w:val="336768DC"/>
    <w:rsid w:val="38BA548D"/>
    <w:rsid w:val="39B64275"/>
    <w:rsid w:val="39F4D590"/>
    <w:rsid w:val="3E0A74B1"/>
    <w:rsid w:val="40608053"/>
    <w:rsid w:val="416C0A79"/>
    <w:rsid w:val="42358BBB"/>
    <w:rsid w:val="4401232A"/>
    <w:rsid w:val="45A980F8"/>
    <w:rsid w:val="46041C63"/>
    <w:rsid w:val="46A8C622"/>
    <w:rsid w:val="46FF7AF3"/>
    <w:rsid w:val="4755E4E5"/>
    <w:rsid w:val="48A4757A"/>
    <w:rsid w:val="48FD52A7"/>
    <w:rsid w:val="4A418B79"/>
    <w:rsid w:val="4AAC60D5"/>
    <w:rsid w:val="4D0E81A9"/>
    <w:rsid w:val="4D225A87"/>
    <w:rsid w:val="51A8C548"/>
    <w:rsid w:val="51D1C731"/>
    <w:rsid w:val="54537A78"/>
    <w:rsid w:val="55B73D35"/>
    <w:rsid w:val="55CDC19E"/>
    <w:rsid w:val="561C0AF2"/>
    <w:rsid w:val="576581F6"/>
    <w:rsid w:val="58386B5E"/>
    <w:rsid w:val="5B69D71A"/>
    <w:rsid w:val="5BEF9C21"/>
    <w:rsid w:val="5E86A155"/>
    <w:rsid w:val="63CD36C4"/>
    <w:rsid w:val="63D326F4"/>
    <w:rsid w:val="64330B4C"/>
    <w:rsid w:val="69C5E5B9"/>
    <w:rsid w:val="6A5003E3"/>
    <w:rsid w:val="6C7F4CC6"/>
    <w:rsid w:val="6CE81110"/>
    <w:rsid w:val="6E06BD80"/>
    <w:rsid w:val="725B7BCC"/>
    <w:rsid w:val="7490E63A"/>
    <w:rsid w:val="77193F9C"/>
    <w:rsid w:val="7895F048"/>
    <w:rsid w:val="7A9F2902"/>
    <w:rsid w:val="7ED3D50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F25A05D1-2C79-4866-A09D-1AFD398B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E6513B"/>
    <w:rPr>
      <w:sz w:val="16"/>
      <w:szCs w:val="16"/>
    </w:rPr>
  </w:style>
  <w:style w:type="paragraph" w:styleId="CommentText">
    <w:name w:val="annotation text"/>
    <w:basedOn w:val="Normal"/>
    <w:link w:val="CommentTextChar"/>
    <w:uiPriority w:val="99"/>
    <w:unhideWhenUsed/>
    <w:rsid w:val="00E6513B"/>
    <w:pPr>
      <w:spacing w:line="240" w:lineRule="auto"/>
    </w:pPr>
    <w:rPr>
      <w:sz w:val="20"/>
      <w:szCs w:val="20"/>
    </w:rPr>
  </w:style>
  <w:style w:type="character" w:customStyle="1" w:styleId="CommentTextChar">
    <w:name w:val="Comment Text Char"/>
    <w:basedOn w:val="DefaultParagraphFont"/>
    <w:link w:val="CommentText"/>
    <w:uiPriority w:val="99"/>
    <w:rsid w:val="00E6513B"/>
    <w:rPr>
      <w:sz w:val="20"/>
      <w:szCs w:val="20"/>
    </w:rPr>
  </w:style>
  <w:style w:type="paragraph" w:styleId="CommentSubject">
    <w:name w:val="annotation subject"/>
    <w:basedOn w:val="CommentText"/>
    <w:next w:val="CommentText"/>
    <w:link w:val="CommentSubjectChar"/>
    <w:uiPriority w:val="99"/>
    <w:semiHidden/>
    <w:unhideWhenUsed/>
    <w:rsid w:val="00E6513B"/>
    <w:rPr>
      <w:b/>
      <w:bCs/>
    </w:rPr>
  </w:style>
  <w:style w:type="character" w:customStyle="1" w:styleId="CommentSubjectChar">
    <w:name w:val="Comment Subject Char"/>
    <w:basedOn w:val="CommentTextChar"/>
    <w:link w:val="CommentSubject"/>
    <w:uiPriority w:val="99"/>
    <w:semiHidden/>
    <w:rsid w:val="00E6513B"/>
    <w:rPr>
      <w:b/>
      <w:bCs/>
      <w:sz w:val="20"/>
      <w:szCs w:val="20"/>
    </w:rPr>
  </w:style>
  <w:style w:type="paragraph" w:styleId="Revision">
    <w:name w:val="Revision"/>
    <w:hidden/>
    <w:uiPriority w:val="99"/>
    <w:semiHidden/>
    <w:rsid w:val="009E0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2ecebec43c619424d5afa22f737e783a">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d07a9afb9c8efddc579883151270dfb6"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DF5F2F43-003F-43AC-A85F-80AA60874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BESE December 16, 2025 Regular Meeting Item 3: Commissioner's Priorities</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December 16, 2025 Regular Meeting Item 3: Commissioner's Priorities</dc:title>
  <dc:subject/>
  <dc:creator>DESE</dc:creator>
  <cp:keywords/>
  <dc:description/>
  <cp:lastModifiedBy>Zou, Dong (EOE)</cp:lastModifiedBy>
  <cp:revision>5</cp:revision>
  <dcterms:created xsi:type="dcterms:W3CDTF">2025-12-12T15:20:00Z</dcterms:created>
  <dcterms:modified xsi:type="dcterms:W3CDTF">2025-12-12T17:18:00Z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