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1246" w14:textId="77777777" w:rsidR="007F7B10" w:rsidRPr="00DE32B1" w:rsidRDefault="00DB08DB" w:rsidP="00CF3DBF">
      <w:pPr>
        <w:pStyle w:val="Heading1"/>
        <w:rPr>
          <w:rFonts w:ascii="Arial" w:hAnsi="Arial" w:cs="Arial"/>
          <w:color w:val="auto"/>
        </w:rPr>
      </w:pPr>
      <w:r w:rsidRPr="00DE32B1">
        <w:rPr>
          <w:rFonts w:ascii="Arial" w:eastAsia="Calibri" w:hAnsi="Arial" w:cs="Arial"/>
          <w:color w:val="auto"/>
        </w:rPr>
        <w:t xml:space="preserve">Summary of Public Comments on </w:t>
      </w:r>
      <w:r w:rsidR="007F7B10" w:rsidRPr="00DE32B1">
        <w:rPr>
          <w:rFonts w:ascii="Arial" w:hAnsi="Arial" w:cs="Arial"/>
          <w:color w:val="auto"/>
        </w:rPr>
        <w:t>Proposed Amendments to Regulations on State Seal of Biliteracy, 603 CMR 31.04</w:t>
      </w:r>
    </w:p>
    <w:p w14:paraId="3146A599" w14:textId="3C48FB6B" w:rsidR="00DB08DB" w:rsidRPr="00DE32B1" w:rsidRDefault="00DB08DB" w:rsidP="00CF3DBF">
      <w:pPr>
        <w:pStyle w:val="Heading2"/>
        <w:rPr>
          <w:rFonts w:ascii="Arial" w:eastAsia="Aptos" w:hAnsi="Arial" w:cs="Arial"/>
          <w:color w:val="auto"/>
          <w:sz w:val="24"/>
          <w:szCs w:val="24"/>
        </w:rPr>
      </w:pPr>
      <w:r w:rsidRPr="00DE32B1">
        <w:rPr>
          <w:rFonts w:ascii="Arial" w:eastAsia="Aptos" w:hAnsi="Arial" w:cs="Arial"/>
          <w:color w:val="auto"/>
        </w:rPr>
        <w:t>Introduction</w:t>
      </w:r>
    </w:p>
    <w:p w14:paraId="7E4BAD7A" w14:textId="0A9F8446" w:rsidR="00DB08DB" w:rsidRPr="00447BE1" w:rsidRDefault="00DB08DB" w:rsidP="00DB08DB">
      <w:pPr>
        <w:rPr>
          <w:rFonts w:ascii="Arial" w:eastAsia="Aptos" w:hAnsi="Arial" w:cs="Arial"/>
          <w:color w:val="000000" w:themeColor="text1"/>
          <w:sz w:val="24"/>
          <w:szCs w:val="24"/>
        </w:rPr>
      </w:pPr>
      <w:r w:rsidRPr="00447BE1">
        <w:rPr>
          <w:rFonts w:ascii="Arial" w:eastAsia="Aptos" w:hAnsi="Arial" w:cs="Arial"/>
          <w:color w:val="000000" w:themeColor="text1"/>
          <w:sz w:val="24"/>
          <w:szCs w:val="24"/>
        </w:rPr>
        <w:t>The Massachusetts Department of Elementary and Secondary Education (</w:t>
      </w:r>
      <w:r w:rsidR="00F779DC" w:rsidRPr="00447BE1">
        <w:rPr>
          <w:rFonts w:ascii="Arial" w:eastAsia="Aptos" w:hAnsi="Arial" w:cs="Arial"/>
          <w:color w:val="000000" w:themeColor="text1"/>
          <w:sz w:val="24"/>
          <w:szCs w:val="24"/>
        </w:rPr>
        <w:t>DESE</w:t>
      </w:r>
      <w:r w:rsidRPr="00447BE1">
        <w:rPr>
          <w:rFonts w:ascii="Arial" w:eastAsia="Aptos" w:hAnsi="Arial" w:cs="Arial"/>
          <w:color w:val="000000" w:themeColor="text1"/>
          <w:sz w:val="24"/>
          <w:szCs w:val="24"/>
        </w:rPr>
        <w:t xml:space="preserve">) invited public feedback on </w:t>
      </w:r>
      <w:r w:rsidR="00E202B5" w:rsidRPr="00447BE1">
        <w:rPr>
          <w:rFonts w:ascii="Arial" w:hAnsi="Arial" w:cs="Arial"/>
          <w:sz w:val="24"/>
          <w:szCs w:val="24"/>
        </w:rPr>
        <w:t>proposed amendments to 603 CMR 31.04, the Regulations on Criteria for the State Seal of Biliteracy</w:t>
      </w:r>
      <w:r w:rsidR="00E202B5" w:rsidRPr="00447BE1">
        <w:rPr>
          <w:rFonts w:ascii="Arial" w:eastAsia="Aptos" w:hAnsi="Arial" w:cs="Arial"/>
          <w:color w:val="000000" w:themeColor="text1"/>
          <w:sz w:val="24"/>
          <w:szCs w:val="24"/>
        </w:rPr>
        <w:t xml:space="preserve"> </w:t>
      </w:r>
      <w:r w:rsidRPr="00447BE1">
        <w:rPr>
          <w:rFonts w:ascii="Arial" w:eastAsia="Aptos" w:hAnsi="Arial" w:cs="Arial"/>
          <w:color w:val="000000" w:themeColor="text1"/>
          <w:sz w:val="24"/>
          <w:szCs w:val="24"/>
        </w:rPr>
        <w:t xml:space="preserve">from </w:t>
      </w:r>
      <w:r w:rsidR="00F866EF" w:rsidRPr="00447BE1">
        <w:rPr>
          <w:rFonts w:ascii="Arial" w:eastAsia="Aptos" w:hAnsi="Arial" w:cs="Arial"/>
          <w:color w:val="000000" w:themeColor="text1"/>
          <w:sz w:val="24"/>
          <w:szCs w:val="24"/>
        </w:rPr>
        <w:t>October</w:t>
      </w:r>
      <w:r w:rsidR="002D08DD" w:rsidRPr="00447BE1">
        <w:rPr>
          <w:rFonts w:ascii="Arial" w:eastAsia="Aptos" w:hAnsi="Arial" w:cs="Arial"/>
          <w:color w:val="000000" w:themeColor="text1"/>
          <w:sz w:val="24"/>
          <w:szCs w:val="24"/>
        </w:rPr>
        <w:t xml:space="preserve"> 28</w:t>
      </w:r>
      <w:r w:rsidRPr="00447BE1">
        <w:rPr>
          <w:rFonts w:ascii="Arial" w:eastAsia="Aptos" w:hAnsi="Arial" w:cs="Arial"/>
          <w:color w:val="000000" w:themeColor="text1"/>
          <w:sz w:val="24"/>
          <w:szCs w:val="24"/>
        </w:rPr>
        <w:t xml:space="preserve"> to </w:t>
      </w:r>
      <w:r w:rsidR="002D08DD" w:rsidRPr="00447BE1">
        <w:rPr>
          <w:rFonts w:ascii="Arial" w:eastAsia="Aptos" w:hAnsi="Arial" w:cs="Arial"/>
          <w:color w:val="000000" w:themeColor="text1"/>
          <w:sz w:val="24"/>
          <w:szCs w:val="24"/>
        </w:rPr>
        <w:t>December 5</w:t>
      </w:r>
      <w:r w:rsidRPr="00447BE1">
        <w:rPr>
          <w:rFonts w:ascii="Arial" w:eastAsia="Aptos" w:hAnsi="Arial" w:cs="Arial"/>
          <w:color w:val="000000" w:themeColor="text1"/>
          <w:sz w:val="24"/>
          <w:szCs w:val="24"/>
        </w:rPr>
        <w:t xml:space="preserve">, 2025. During this </w:t>
      </w:r>
      <w:r w:rsidR="00957A36" w:rsidRPr="00447BE1">
        <w:rPr>
          <w:rFonts w:ascii="Arial" w:eastAsia="Aptos" w:hAnsi="Arial" w:cs="Arial"/>
          <w:color w:val="000000" w:themeColor="text1"/>
          <w:sz w:val="24"/>
          <w:szCs w:val="24"/>
        </w:rPr>
        <w:t>period</w:t>
      </w:r>
      <w:r w:rsidR="00957A36">
        <w:rPr>
          <w:rFonts w:ascii="Arial" w:eastAsia="Aptos" w:hAnsi="Arial" w:cs="Arial"/>
          <w:color w:val="000000" w:themeColor="text1"/>
          <w:sz w:val="24"/>
          <w:szCs w:val="24"/>
        </w:rPr>
        <w:t xml:space="preserve"> </w:t>
      </w:r>
      <w:r w:rsidR="00957A36" w:rsidRPr="00447BE1">
        <w:rPr>
          <w:rFonts w:ascii="Arial" w:eastAsia="Aptos" w:hAnsi="Arial" w:cs="Arial"/>
          <w:color w:val="000000" w:themeColor="text1"/>
          <w:sz w:val="24"/>
          <w:szCs w:val="24"/>
        </w:rPr>
        <w:t>the</w:t>
      </w:r>
      <w:r w:rsidRPr="00447BE1">
        <w:rPr>
          <w:rFonts w:ascii="Arial" w:eastAsia="Aptos" w:hAnsi="Arial" w:cs="Arial"/>
          <w:color w:val="000000" w:themeColor="text1"/>
          <w:sz w:val="24"/>
          <w:szCs w:val="24"/>
        </w:rPr>
        <w:t xml:space="preserve"> Department received a total of </w:t>
      </w:r>
      <w:r w:rsidR="002D08DD" w:rsidRPr="00447BE1">
        <w:rPr>
          <w:rFonts w:ascii="Arial" w:eastAsia="Aptos" w:hAnsi="Arial" w:cs="Arial"/>
          <w:color w:val="000000" w:themeColor="text1"/>
          <w:sz w:val="24"/>
          <w:szCs w:val="24"/>
        </w:rPr>
        <w:t>40</w:t>
      </w:r>
      <w:r w:rsidRPr="00447BE1">
        <w:rPr>
          <w:rFonts w:ascii="Arial" w:eastAsia="Aptos" w:hAnsi="Arial" w:cs="Arial"/>
          <w:color w:val="000000" w:themeColor="text1"/>
          <w:sz w:val="24"/>
          <w:szCs w:val="24"/>
        </w:rPr>
        <w:t xml:space="preserve"> comments through a dedicated public comment survey tool. Redacted versions of all survey responses and emails are available upon request. </w:t>
      </w:r>
    </w:p>
    <w:p w14:paraId="384B2BCA" w14:textId="5A6A7A1B" w:rsidR="00DB08DB" w:rsidRPr="00447BE1" w:rsidRDefault="00DB08DB" w:rsidP="00DB08DB">
      <w:pPr>
        <w:spacing w:after="0"/>
        <w:rPr>
          <w:rFonts w:ascii="Arial" w:eastAsia="Aptos" w:hAnsi="Arial" w:cs="Arial"/>
          <w:color w:val="000000" w:themeColor="text1"/>
          <w:sz w:val="24"/>
          <w:szCs w:val="24"/>
        </w:rPr>
      </w:pPr>
      <w:r w:rsidRPr="00447BE1">
        <w:rPr>
          <w:rFonts w:ascii="Arial" w:eastAsia="Aptos" w:hAnsi="Arial" w:cs="Arial"/>
          <w:color w:val="000000" w:themeColor="text1"/>
          <w:sz w:val="24"/>
          <w:szCs w:val="24"/>
        </w:rPr>
        <w:t xml:space="preserve">Among the </w:t>
      </w:r>
      <w:r w:rsidR="002D08DD" w:rsidRPr="00447BE1">
        <w:rPr>
          <w:rFonts w:ascii="Arial" w:eastAsia="Aptos" w:hAnsi="Arial" w:cs="Arial"/>
          <w:color w:val="000000" w:themeColor="text1"/>
          <w:sz w:val="24"/>
          <w:szCs w:val="24"/>
        </w:rPr>
        <w:t>40</w:t>
      </w:r>
      <w:r w:rsidRPr="00447BE1">
        <w:rPr>
          <w:rFonts w:ascii="Arial" w:eastAsia="Aptos" w:hAnsi="Arial" w:cs="Arial"/>
          <w:color w:val="000000" w:themeColor="text1"/>
          <w:sz w:val="24"/>
          <w:szCs w:val="24"/>
        </w:rPr>
        <w:t xml:space="preserve"> comments submitted through the survey tool, </w:t>
      </w:r>
      <w:r w:rsidR="00B81A00" w:rsidRPr="00447BE1">
        <w:rPr>
          <w:rFonts w:ascii="Arial" w:eastAsia="Aptos" w:hAnsi="Arial" w:cs="Arial"/>
          <w:color w:val="000000" w:themeColor="text1"/>
          <w:sz w:val="24"/>
          <w:szCs w:val="24"/>
        </w:rPr>
        <w:t>7</w:t>
      </w:r>
      <w:r w:rsidRPr="00447BE1">
        <w:rPr>
          <w:rFonts w:ascii="Arial" w:eastAsia="Aptos" w:hAnsi="Arial" w:cs="Arial"/>
          <w:color w:val="000000" w:themeColor="text1"/>
          <w:sz w:val="24"/>
          <w:szCs w:val="24"/>
        </w:rPr>
        <w:t xml:space="preserve"> came from individuals representing their school, district, or organization, while </w:t>
      </w:r>
      <w:r w:rsidR="00B81A00" w:rsidRPr="00447BE1">
        <w:rPr>
          <w:rFonts w:ascii="Arial" w:eastAsia="Aptos" w:hAnsi="Arial" w:cs="Arial"/>
          <w:color w:val="000000" w:themeColor="text1"/>
          <w:sz w:val="24"/>
          <w:szCs w:val="24"/>
        </w:rPr>
        <w:t>33</w:t>
      </w:r>
      <w:r w:rsidRPr="00447BE1">
        <w:rPr>
          <w:rFonts w:ascii="Arial" w:eastAsia="Aptos" w:hAnsi="Arial" w:cs="Arial"/>
          <w:color w:val="000000" w:themeColor="text1"/>
          <w:sz w:val="24"/>
          <w:szCs w:val="24"/>
        </w:rPr>
        <w:t xml:space="preserve"> were submitted by individuals on their own behalf. The breakdown of comments by role is as follows (respondents were able to select multiple roles):</w:t>
      </w:r>
    </w:p>
    <w:p w14:paraId="1D270DA2" w14:textId="77777777" w:rsidR="00B423A4" w:rsidRPr="00DE32B1" w:rsidRDefault="00B423A4" w:rsidP="00DB08DB">
      <w:pPr>
        <w:spacing w:after="0"/>
        <w:rPr>
          <w:rFonts w:ascii="Arial" w:eastAsia="Aptos" w:hAnsi="Arial" w:cs="Arial"/>
          <w:color w:val="000000" w:themeColor="text1"/>
          <w:sz w:val="24"/>
          <w:szCs w:val="24"/>
        </w:rPr>
      </w:pPr>
    </w:p>
    <w:p w14:paraId="38E6480D" w14:textId="26F281F5" w:rsidR="00B423A4" w:rsidRPr="00DE32B1" w:rsidRDefault="00B423A4" w:rsidP="00B423A4">
      <w:pPr>
        <w:pStyle w:val="ListParagraph"/>
        <w:numPr>
          <w:ilvl w:val="0"/>
          <w:numId w:val="1"/>
        </w:numPr>
        <w:rPr>
          <w:rFonts w:ascii="Arial" w:eastAsia="Aptos" w:hAnsi="Arial" w:cs="Arial"/>
          <w:color w:val="000000" w:themeColor="text1"/>
          <w:sz w:val="24"/>
          <w:szCs w:val="24"/>
        </w:rPr>
      </w:pPr>
      <w:r w:rsidRPr="00DE32B1">
        <w:rPr>
          <w:rFonts w:ascii="Arial" w:eastAsia="Aptos" w:hAnsi="Arial" w:cs="Arial"/>
          <w:color w:val="000000" w:themeColor="text1"/>
          <w:sz w:val="24"/>
          <w:szCs w:val="24"/>
        </w:rPr>
        <w:t xml:space="preserve">50% from teachers </w:t>
      </w:r>
    </w:p>
    <w:p w14:paraId="22DCA767" w14:textId="407065E7" w:rsidR="00B423A4" w:rsidRDefault="00B423A4" w:rsidP="00B423A4">
      <w:pPr>
        <w:pStyle w:val="ListParagraph"/>
        <w:numPr>
          <w:ilvl w:val="0"/>
          <w:numId w:val="1"/>
        </w:numPr>
        <w:rPr>
          <w:rFonts w:ascii="Arial" w:eastAsia="Aptos" w:hAnsi="Arial" w:cs="Arial"/>
          <w:color w:val="000000" w:themeColor="text1"/>
          <w:sz w:val="24"/>
          <w:szCs w:val="24"/>
        </w:rPr>
      </w:pPr>
      <w:r w:rsidRPr="00DE32B1">
        <w:rPr>
          <w:rFonts w:ascii="Arial" w:eastAsia="Aptos" w:hAnsi="Arial" w:cs="Arial"/>
          <w:color w:val="000000" w:themeColor="text1"/>
          <w:sz w:val="24"/>
          <w:szCs w:val="24"/>
        </w:rPr>
        <w:t xml:space="preserve">30% from district administrators </w:t>
      </w:r>
    </w:p>
    <w:p w14:paraId="5FA73208" w14:textId="13A9F964" w:rsidR="00B423A4" w:rsidRDefault="00B423A4" w:rsidP="00DB08DB">
      <w:pPr>
        <w:pStyle w:val="ListParagraph"/>
        <w:numPr>
          <w:ilvl w:val="0"/>
          <w:numId w:val="1"/>
        </w:numPr>
        <w:rPr>
          <w:rFonts w:ascii="Arial" w:eastAsia="Aptos" w:hAnsi="Arial" w:cs="Arial"/>
          <w:color w:val="000000" w:themeColor="text1"/>
          <w:sz w:val="24"/>
          <w:szCs w:val="24"/>
        </w:rPr>
      </w:pPr>
      <w:r w:rsidRPr="00DE32B1">
        <w:rPr>
          <w:rFonts w:ascii="Arial" w:eastAsia="Aptos" w:hAnsi="Arial" w:cs="Arial"/>
          <w:color w:val="000000" w:themeColor="text1"/>
          <w:sz w:val="24"/>
          <w:szCs w:val="24"/>
        </w:rPr>
        <w:t>22.5% from school administrators</w:t>
      </w:r>
    </w:p>
    <w:p w14:paraId="1CDDABCB" w14:textId="7F14415E" w:rsidR="00254A2E" w:rsidRPr="00DE32B1" w:rsidRDefault="00254A2E" w:rsidP="00DB08DB">
      <w:pPr>
        <w:pStyle w:val="ListParagraph"/>
        <w:numPr>
          <w:ilvl w:val="0"/>
          <w:numId w:val="1"/>
        </w:numPr>
        <w:rPr>
          <w:rFonts w:ascii="Arial" w:eastAsia="Aptos" w:hAnsi="Arial" w:cs="Arial"/>
          <w:color w:val="000000" w:themeColor="text1"/>
          <w:sz w:val="24"/>
          <w:szCs w:val="24"/>
        </w:rPr>
      </w:pPr>
      <w:r w:rsidRPr="00DE32B1">
        <w:rPr>
          <w:rFonts w:ascii="Arial" w:eastAsia="Aptos" w:hAnsi="Arial" w:cs="Arial"/>
          <w:color w:val="000000" w:themeColor="text1"/>
          <w:sz w:val="24"/>
          <w:szCs w:val="24"/>
        </w:rPr>
        <w:t>20% from members of professional organizations</w:t>
      </w:r>
    </w:p>
    <w:p w14:paraId="785FF24C" w14:textId="77777777" w:rsidR="00254A2E" w:rsidRDefault="00254A2E" w:rsidP="00DB08DB">
      <w:pPr>
        <w:pStyle w:val="ListParagraph"/>
        <w:numPr>
          <w:ilvl w:val="0"/>
          <w:numId w:val="1"/>
        </w:numPr>
        <w:rPr>
          <w:rFonts w:ascii="Arial" w:eastAsia="Aptos" w:hAnsi="Arial" w:cs="Arial"/>
          <w:color w:val="000000" w:themeColor="text1"/>
          <w:sz w:val="24"/>
          <w:szCs w:val="24"/>
        </w:rPr>
      </w:pPr>
      <w:r w:rsidRPr="00DE32B1">
        <w:rPr>
          <w:rFonts w:ascii="Arial" w:eastAsia="Aptos" w:hAnsi="Arial" w:cs="Arial"/>
          <w:color w:val="000000" w:themeColor="text1"/>
          <w:sz w:val="24"/>
          <w:szCs w:val="24"/>
        </w:rPr>
        <w:t xml:space="preserve">20% from individuals identifying as “other” </w:t>
      </w:r>
    </w:p>
    <w:p w14:paraId="4F1E7EFF" w14:textId="330216DA" w:rsidR="00DB08DB" w:rsidRPr="00DE32B1" w:rsidRDefault="00DB08DB" w:rsidP="00DB08DB">
      <w:pPr>
        <w:pStyle w:val="ListParagraph"/>
        <w:numPr>
          <w:ilvl w:val="0"/>
          <w:numId w:val="1"/>
        </w:numPr>
        <w:rPr>
          <w:rFonts w:ascii="Arial" w:eastAsia="Aptos" w:hAnsi="Arial" w:cs="Arial"/>
          <w:color w:val="000000" w:themeColor="text1"/>
          <w:sz w:val="24"/>
          <w:szCs w:val="24"/>
        </w:rPr>
      </w:pPr>
      <w:r w:rsidRPr="00DE32B1">
        <w:rPr>
          <w:rFonts w:ascii="Arial" w:eastAsia="Aptos" w:hAnsi="Arial" w:cs="Arial"/>
          <w:color w:val="000000" w:themeColor="text1"/>
          <w:sz w:val="24"/>
          <w:szCs w:val="24"/>
        </w:rPr>
        <w:t>1</w:t>
      </w:r>
      <w:r w:rsidR="005D5635" w:rsidRPr="00DE32B1">
        <w:rPr>
          <w:rFonts w:ascii="Arial" w:eastAsia="Aptos" w:hAnsi="Arial" w:cs="Arial"/>
          <w:color w:val="000000" w:themeColor="text1"/>
          <w:sz w:val="24"/>
          <w:szCs w:val="24"/>
        </w:rPr>
        <w:t>5</w:t>
      </w:r>
      <w:r w:rsidRPr="00DE32B1">
        <w:rPr>
          <w:rFonts w:ascii="Arial" w:eastAsia="Aptos" w:hAnsi="Arial" w:cs="Arial"/>
          <w:color w:val="000000" w:themeColor="text1"/>
          <w:sz w:val="24"/>
          <w:szCs w:val="24"/>
        </w:rPr>
        <w:t>% from parents and community members</w:t>
      </w:r>
      <w:r w:rsidR="00E708C1" w:rsidRPr="00DE32B1">
        <w:rPr>
          <w:rFonts w:ascii="Arial" w:eastAsia="Aptos" w:hAnsi="Arial" w:cs="Arial"/>
          <w:color w:val="000000" w:themeColor="text1"/>
          <w:sz w:val="24"/>
          <w:szCs w:val="24"/>
        </w:rPr>
        <w:t xml:space="preserve"> </w:t>
      </w:r>
    </w:p>
    <w:p w14:paraId="2BA50DE5" w14:textId="157036CE" w:rsidR="00254A2E" w:rsidRPr="00DE32B1" w:rsidRDefault="00254A2E" w:rsidP="00254A2E">
      <w:pPr>
        <w:pStyle w:val="ListParagraph"/>
        <w:numPr>
          <w:ilvl w:val="0"/>
          <w:numId w:val="1"/>
        </w:numPr>
        <w:rPr>
          <w:rFonts w:ascii="Arial" w:eastAsia="Aptos" w:hAnsi="Arial" w:cs="Arial"/>
          <w:color w:val="000000" w:themeColor="text1"/>
          <w:sz w:val="24"/>
          <w:szCs w:val="24"/>
        </w:rPr>
      </w:pPr>
      <w:r w:rsidRPr="1FE7393C">
        <w:rPr>
          <w:rFonts w:ascii="Arial" w:eastAsia="Aptos" w:hAnsi="Arial" w:cs="Arial"/>
          <w:color w:val="000000" w:themeColor="text1"/>
          <w:sz w:val="24"/>
          <w:szCs w:val="24"/>
        </w:rPr>
        <w:t xml:space="preserve">7.5% from members of advocacy organizations  </w:t>
      </w:r>
    </w:p>
    <w:p w14:paraId="4CADD414" w14:textId="3363C637" w:rsidR="009E2E56" w:rsidRPr="00DE32B1" w:rsidRDefault="009E2E56" w:rsidP="1FE7393C">
      <w:pPr>
        <w:pStyle w:val="paragraph"/>
        <w:spacing w:before="0" w:beforeAutospacing="0" w:after="0" w:afterAutospacing="0"/>
        <w:textAlignment w:val="baseline"/>
        <w:rPr>
          <w:rStyle w:val="eop"/>
          <w:rFonts w:ascii="Arial" w:eastAsiaTheme="majorEastAsia" w:hAnsi="Arial" w:cs="Arial"/>
          <w:color w:val="000000" w:themeColor="text1"/>
        </w:rPr>
      </w:pPr>
    </w:p>
    <w:p w14:paraId="7A2064B7" w14:textId="41509D42" w:rsidR="009E2E56" w:rsidRPr="00DE32B1" w:rsidRDefault="009E2E56" w:rsidP="009E2E56">
      <w:pPr>
        <w:pStyle w:val="paragraph"/>
        <w:spacing w:before="0" w:beforeAutospacing="0" w:after="0" w:afterAutospacing="0"/>
        <w:textAlignment w:val="baseline"/>
        <w:rPr>
          <w:rFonts w:ascii="Arial" w:hAnsi="Arial" w:cs="Arial"/>
          <w:sz w:val="18"/>
          <w:szCs w:val="18"/>
        </w:rPr>
      </w:pPr>
      <w:r w:rsidRPr="00DE32B1">
        <w:rPr>
          <w:rStyle w:val="normaltextrun"/>
          <w:rFonts w:ascii="Arial" w:eastAsiaTheme="majorEastAsia" w:hAnsi="Arial" w:cs="Arial"/>
        </w:rPr>
        <w:t>For the purposes of this summary, the Department has summarized the number of responses for each comment as follows: Some (1-24%), Many (25-49%), Majority (50-74%), or Most (75-100%).</w:t>
      </w:r>
      <w:r w:rsidRPr="00DE32B1">
        <w:rPr>
          <w:rStyle w:val="normaltextrun"/>
          <w:rFonts w:ascii="Arial" w:eastAsiaTheme="majorEastAsia" w:hAnsi="Arial" w:cs="Arial"/>
          <w:sz w:val="22"/>
          <w:szCs w:val="22"/>
        </w:rPr>
        <w:t> </w:t>
      </w:r>
      <w:r w:rsidRPr="00DE32B1">
        <w:rPr>
          <w:rStyle w:val="normaltextrun"/>
          <w:rFonts w:ascii="Arial" w:eastAsiaTheme="majorEastAsia" w:hAnsi="Arial" w:cs="Arial"/>
        </w:rPr>
        <w:t> </w:t>
      </w:r>
      <w:r w:rsidRPr="00DE32B1">
        <w:rPr>
          <w:rStyle w:val="eop"/>
          <w:rFonts w:ascii="Arial" w:eastAsiaTheme="majorEastAsia" w:hAnsi="Arial" w:cs="Arial"/>
        </w:rPr>
        <w:t> </w:t>
      </w:r>
    </w:p>
    <w:p w14:paraId="6297B03C" w14:textId="41447E0E" w:rsidR="00DB08DB" w:rsidRPr="00DE32B1" w:rsidRDefault="00DB08DB" w:rsidP="00DB08DB">
      <w:pPr>
        <w:rPr>
          <w:rFonts w:ascii="Arial" w:eastAsia="Aptos" w:hAnsi="Arial" w:cs="Arial"/>
          <w:color w:val="000000" w:themeColor="text1"/>
          <w:sz w:val="24"/>
          <w:szCs w:val="24"/>
        </w:rPr>
      </w:pPr>
      <w:r w:rsidRPr="00DE32B1">
        <w:rPr>
          <w:rFonts w:ascii="Arial" w:hAnsi="Arial" w:cs="Arial"/>
        </w:rPr>
        <w:br w:type="page"/>
      </w:r>
    </w:p>
    <w:p w14:paraId="7050DEA3" w14:textId="77777777" w:rsidR="00DB08DB" w:rsidRPr="007A1671" w:rsidRDefault="00DB08DB" w:rsidP="007A1671">
      <w:pPr>
        <w:pStyle w:val="Heading2"/>
        <w:rPr>
          <w:rFonts w:ascii="Arial" w:eastAsia="Aptos" w:hAnsi="Arial" w:cs="Arial"/>
          <w:color w:val="auto"/>
        </w:rPr>
      </w:pPr>
      <w:r w:rsidRPr="007A1671">
        <w:rPr>
          <w:rFonts w:ascii="Arial" w:eastAsia="Aptos" w:hAnsi="Arial" w:cs="Arial"/>
          <w:color w:val="auto"/>
        </w:rPr>
        <w:lastRenderedPageBreak/>
        <w:t>Summary of Public Comment</w:t>
      </w:r>
    </w:p>
    <w:p w14:paraId="3D681C3A" w14:textId="0711C909" w:rsidR="002E0BB9" w:rsidRPr="00DE32B1" w:rsidRDefault="002E0BB9" w:rsidP="00DD10F0">
      <w:pPr>
        <w:pStyle w:val="Heading3"/>
        <w:rPr>
          <w:rFonts w:ascii="Arial" w:eastAsia="Aptos" w:hAnsi="Arial" w:cs="Arial"/>
          <w:color w:val="auto"/>
        </w:rPr>
      </w:pPr>
      <w:r w:rsidRPr="00DE32B1">
        <w:rPr>
          <w:rFonts w:ascii="Arial" w:eastAsia="Aptos" w:hAnsi="Arial" w:cs="Arial"/>
          <w:color w:val="auto"/>
        </w:rPr>
        <w:t>31.04 (1)(b): Annual Notice</w:t>
      </w:r>
    </w:p>
    <w:p w14:paraId="321AFF4C" w14:textId="68470853" w:rsidR="00A62D02" w:rsidRDefault="00A62D02" w:rsidP="00A62D02">
      <w:pPr>
        <w:shd w:val="clear" w:color="auto" w:fill="FFFFFF" w:themeFill="background1"/>
        <w:spacing w:line="240" w:lineRule="auto"/>
        <w:rPr>
          <w:rFonts w:ascii="Arial" w:eastAsia="Times New Roman" w:hAnsi="Arial" w:cs="Arial"/>
          <w:color w:val="000000"/>
          <w:sz w:val="24"/>
          <w:szCs w:val="24"/>
        </w:rPr>
      </w:pPr>
      <w:r w:rsidRPr="1FE7393C">
        <w:rPr>
          <w:rFonts w:ascii="Arial" w:eastAsia="Aptos" w:hAnsi="Arial" w:cs="Arial"/>
          <w:color w:val="000000" w:themeColor="text1"/>
          <w:sz w:val="24"/>
          <w:szCs w:val="24"/>
        </w:rPr>
        <w:t xml:space="preserve">Most commenters support </w:t>
      </w:r>
      <w:r w:rsidR="25AFEC88" w:rsidRPr="1FE7393C">
        <w:rPr>
          <w:rFonts w:ascii="Arial" w:eastAsia="Aptos" w:hAnsi="Arial" w:cs="Arial"/>
          <w:color w:val="000000" w:themeColor="text1"/>
          <w:sz w:val="24"/>
          <w:szCs w:val="24"/>
        </w:rPr>
        <w:t xml:space="preserve">the </w:t>
      </w:r>
      <w:r w:rsidR="0448C99C" w:rsidRPr="1FE7393C">
        <w:rPr>
          <w:rFonts w:ascii="Arial" w:eastAsia="Aptos" w:hAnsi="Arial" w:cs="Arial"/>
          <w:color w:val="000000" w:themeColor="text1"/>
          <w:sz w:val="24"/>
          <w:szCs w:val="24"/>
        </w:rPr>
        <w:t>proposed</w:t>
      </w:r>
      <w:r w:rsidR="25AFEC88" w:rsidRPr="1FE7393C">
        <w:rPr>
          <w:rFonts w:ascii="Arial" w:eastAsia="Aptos" w:hAnsi="Arial" w:cs="Arial"/>
          <w:color w:val="000000" w:themeColor="text1"/>
          <w:sz w:val="24"/>
          <w:szCs w:val="24"/>
        </w:rPr>
        <w:t xml:space="preserve"> </w:t>
      </w:r>
      <w:r w:rsidRPr="1FE7393C">
        <w:rPr>
          <w:rFonts w:ascii="Arial" w:eastAsia="Times New Roman" w:hAnsi="Arial" w:cs="Arial"/>
          <w:color w:val="000000" w:themeColor="text1"/>
          <w:sz w:val="24"/>
          <w:szCs w:val="24"/>
        </w:rPr>
        <w:t xml:space="preserve">31.04 (1)(b) - Insert the word "annual" to clarify that districts should provide written notification to parents or guardians about the </w:t>
      </w:r>
      <w:r w:rsidR="00324AD1" w:rsidRPr="1FE7393C">
        <w:rPr>
          <w:rFonts w:ascii="Arial" w:eastAsia="Times New Roman" w:hAnsi="Arial" w:cs="Arial"/>
          <w:color w:val="000000" w:themeColor="text1"/>
          <w:sz w:val="24"/>
          <w:szCs w:val="24"/>
        </w:rPr>
        <w:t xml:space="preserve">State </w:t>
      </w:r>
      <w:r w:rsidRPr="1FE7393C">
        <w:rPr>
          <w:rFonts w:ascii="Arial" w:eastAsia="Times New Roman" w:hAnsi="Arial" w:cs="Arial"/>
          <w:color w:val="000000" w:themeColor="text1"/>
          <w:sz w:val="24"/>
          <w:szCs w:val="24"/>
        </w:rPr>
        <w:t xml:space="preserve">Seal of Biliteracy every year, so that all students and families are aware of the program. This is a simple clarification that addresses questions </w:t>
      </w:r>
      <w:r w:rsidR="004A1C1B" w:rsidRPr="1FE7393C">
        <w:rPr>
          <w:rFonts w:ascii="Arial" w:eastAsia="Times New Roman" w:hAnsi="Arial" w:cs="Arial"/>
          <w:color w:val="000000" w:themeColor="text1"/>
          <w:sz w:val="24"/>
          <w:szCs w:val="24"/>
        </w:rPr>
        <w:t xml:space="preserve">the Department </w:t>
      </w:r>
      <w:r w:rsidRPr="1FE7393C">
        <w:rPr>
          <w:rFonts w:ascii="Arial" w:eastAsia="Times New Roman" w:hAnsi="Arial" w:cs="Arial"/>
          <w:color w:val="000000" w:themeColor="text1"/>
          <w:sz w:val="24"/>
          <w:szCs w:val="24"/>
        </w:rPr>
        <w:t xml:space="preserve">has received. </w:t>
      </w:r>
    </w:p>
    <w:tbl>
      <w:tblPr>
        <w:tblStyle w:val="TableGrid"/>
        <w:tblW w:w="0" w:type="auto"/>
        <w:tblLook w:val="04A0" w:firstRow="1" w:lastRow="0" w:firstColumn="1" w:lastColumn="0" w:noHBand="0" w:noVBand="1"/>
      </w:tblPr>
      <w:tblGrid>
        <w:gridCol w:w="7195"/>
        <w:gridCol w:w="7195"/>
      </w:tblGrid>
      <w:tr w:rsidR="00A33444" w:rsidRPr="004D7325" w14:paraId="1DF10DC2" w14:textId="77777777" w:rsidTr="00A33444">
        <w:tc>
          <w:tcPr>
            <w:tcW w:w="7195" w:type="dxa"/>
            <w:shd w:val="clear" w:color="auto" w:fill="BDD6EE" w:themeFill="accent5" w:themeFillTint="66"/>
          </w:tcPr>
          <w:p w14:paraId="38769563" w14:textId="417C552B" w:rsidR="00A33444" w:rsidRPr="004D7325" w:rsidRDefault="00A33444" w:rsidP="00A62D02">
            <w:pPr>
              <w:spacing w:line="240" w:lineRule="auto"/>
              <w:rPr>
                <w:rFonts w:ascii="Arial" w:eastAsia="Times New Roman" w:hAnsi="Arial" w:cs="Arial"/>
                <w:b/>
                <w:bCs/>
                <w:color w:val="000000"/>
                <w:sz w:val="24"/>
                <w:szCs w:val="24"/>
              </w:rPr>
            </w:pPr>
            <w:r w:rsidRPr="004D7325">
              <w:rPr>
                <w:rFonts w:ascii="Arial" w:eastAsia="Times New Roman" w:hAnsi="Arial" w:cs="Arial"/>
                <w:b/>
                <w:bCs/>
                <w:color w:val="000000"/>
                <w:sz w:val="24"/>
                <w:szCs w:val="24"/>
              </w:rPr>
              <w:t>Public Comment Received</w:t>
            </w:r>
          </w:p>
        </w:tc>
        <w:tc>
          <w:tcPr>
            <w:tcW w:w="7195" w:type="dxa"/>
            <w:shd w:val="clear" w:color="auto" w:fill="BDD6EE" w:themeFill="accent5" w:themeFillTint="66"/>
          </w:tcPr>
          <w:p w14:paraId="384DDBAB" w14:textId="1F651F23" w:rsidR="00A33444" w:rsidRPr="004D7325" w:rsidRDefault="00A33444" w:rsidP="00A62D02">
            <w:pPr>
              <w:spacing w:line="240" w:lineRule="auto"/>
              <w:rPr>
                <w:rFonts w:ascii="Arial" w:eastAsia="Times New Roman" w:hAnsi="Arial" w:cs="Arial"/>
                <w:b/>
                <w:bCs/>
                <w:color w:val="000000"/>
                <w:sz w:val="24"/>
                <w:szCs w:val="24"/>
              </w:rPr>
            </w:pPr>
            <w:r w:rsidRPr="004D7325">
              <w:rPr>
                <w:rFonts w:ascii="Arial" w:eastAsia="Times New Roman" w:hAnsi="Arial" w:cs="Arial"/>
                <w:b/>
                <w:bCs/>
                <w:color w:val="000000"/>
                <w:sz w:val="24"/>
                <w:szCs w:val="24"/>
              </w:rPr>
              <w:t>Department’s Response</w:t>
            </w:r>
          </w:p>
        </w:tc>
      </w:tr>
      <w:tr w:rsidR="00A33444" w14:paraId="78B8A561" w14:textId="77777777" w:rsidTr="00A33444">
        <w:tc>
          <w:tcPr>
            <w:tcW w:w="7195" w:type="dxa"/>
          </w:tcPr>
          <w:p w14:paraId="43A98EC3" w14:textId="4839ABB6" w:rsidR="00A33444" w:rsidRDefault="00A33444" w:rsidP="00A33444">
            <w:pPr>
              <w:spacing w:line="240" w:lineRule="auto"/>
              <w:rPr>
                <w:rFonts w:ascii="Arial" w:eastAsia="Times New Roman" w:hAnsi="Arial" w:cs="Arial"/>
                <w:color w:val="000000"/>
                <w:sz w:val="24"/>
                <w:szCs w:val="24"/>
              </w:rPr>
            </w:pPr>
            <w:r w:rsidRPr="00DE32B1">
              <w:rPr>
                <w:rFonts w:ascii="Arial" w:eastAsia="Aptos" w:hAnsi="Arial" w:cs="Arial"/>
                <w:color w:val="000000" w:themeColor="text1"/>
                <w:sz w:val="24"/>
                <w:szCs w:val="24"/>
              </w:rPr>
              <w:t xml:space="preserve">DESE should provide a standardized parent notification letter in multiple languages for all districts to use.  </w:t>
            </w:r>
          </w:p>
        </w:tc>
        <w:tc>
          <w:tcPr>
            <w:tcW w:w="7195" w:type="dxa"/>
          </w:tcPr>
          <w:p w14:paraId="5AD6AD06" w14:textId="36FB3821" w:rsidR="00A33444" w:rsidRDefault="00A33444" w:rsidP="00A33444">
            <w:pPr>
              <w:spacing w:line="240" w:lineRule="auto"/>
              <w:rPr>
                <w:rFonts w:ascii="Arial" w:eastAsia="Times New Roman" w:hAnsi="Arial" w:cs="Arial"/>
                <w:color w:val="000000"/>
                <w:sz w:val="24"/>
                <w:szCs w:val="24"/>
              </w:rPr>
            </w:pPr>
            <w:r w:rsidRPr="00DE32B1">
              <w:rPr>
                <w:rFonts w:ascii="Arial" w:eastAsia="Aptos" w:hAnsi="Arial" w:cs="Arial"/>
                <w:sz w:val="24"/>
                <w:szCs w:val="24"/>
              </w:rPr>
              <w:t>No changes. We will take this into consideration and explore this with internal and external stakeholders.</w:t>
            </w:r>
          </w:p>
        </w:tc>
      </w:tr>
      <w:tr w:rsidR="00A33444" w14:paraId="64A5B206" w14:textId="77777777" w:rsidTr="00A33444">
        <w:tc>
          <w:tcPr>
            <w:tcW w:w="7195" w:type="dxa"/>
          </w:tcPr>
          <w:p w14:paraId="5EAD7126" w14:textId="677D39B6" w:rsidR="00A33444" w:rsidRDefault="00A33444" w:rsidP="00A33444">
            <w:pPr>
              <w:spacing w:line="240" w:lineRule="auto"/>
              <w:rPr>
                <w:rFonts w:ascii="Arial" w:eastAsia="Times New Roman" w:hAnsi="Arial" w:cs="Arial"/>
                <w:color w:val="000000"/>
                <w:sz w:val="24"/>
                <w:szCs w:val="24"/>
              </w:rPr>
            </w:pPr>
            <w:r w:rsidRPr="00DE32B1">
              <w:rPr>
                <w:rFonts w:ascii="Arial" w:hAnsi="Arial" w:cs="Arial"/>
                <w:color w:val="000000"/>
                <w:sz w:val="24"/>
                <w:szCs w:val="24"/>
              </w:rPr>
              <w:t xml:space="preserve">What types of communication can count for the annual written notification to parents, and who is responsible for the communication? Do all district families need to be informed annually or just secondary students?  </w:t>
            </w:r>
          </w:p>
        </w:tc>
        <w:tc>
          <w:tcPr>
            <w:tcW w:w="7195" w:type="dxa"/>
          </w:tcPr>
          <w:p w14:paraId="3EDAA2D6" w14:textId="5EA51B0F" w:rsidR="00A33444" w:rsidRDefault="00A33444" w:rsidP="00A33444">
            <w:pPr>
              <w:spacing w:line="240" w:lineRule="auto"/>
              <w:rPr>
                <w:rFonts w:ascii="Arial" w:eastAsia="Times New Roman" w:hAnsi="Arial" w:cs="Arial"/>
                <w:color w:val="000000"/>
                <w:sz w:val="24"/>
                <w:szCs w:val="24"/>
              </w:rPr>
            </w:pPr>
            <w:r w:rsidRPr="00DE32B1">
              <w:rPr>
                <w:rFonts w:ascii="Arial" w:eastAsia="Aptos" w:hAnsi="Arial" w:cs="Arial"/>
                <w:sz w:val="24"/>
                <w:szCs w:val="24"/>
              </w:rPr>
              <w:t>No changes. If the proposed amendments are adopted, DESE will take these issues into consideration and address them in guidance.</w:t>
            </w:r>
          </w:p>
        </w:tc>
      </w:tr>
    </w:tbl>
    <w:p w14:paraId="3644CCCF" w14:textId="77777777" w:rsidR="00B06BC4" w:rsidRPr="00DE32B1" w:rsidRDefault="00B06BC4" w:rsidP="00A62D02">
      <w:pPr>
        <w:shd w:val="clear" w:color="auto" w:fill="FFFFFF" w:themeFill="background1"/>
        <w:spacing w:after="0" w:line="240" w:lineRule="auto"/>
        <w:rPr>
          <w:rFonts w:ascii="Arial" w:eastAsia="Times New Roman" w:hAnsi="Arial" w:cs="Arial"/>
          <w:color w:val="000000"/>
          <w:sz w:val="24"/>
          <w:szCs w:val="24"/>
        </w:rPr>
      </w:pPr>
    </w:p>
    <w:p w14:paraId="06D57BF1" w14:textId="69F14D43" w:rsidR="00F050DC" w:rsidRPr="00DE32B1" w:rsidRDefault="00D745F6" w:rsidP="0065410D">
      <w:pPr>
        <w:pStyle w:val="Heading3"/>
        <w:rPr>
          <w:rFonts w:ascii="Arial" w:eastAsia="Aptos" w:hAnsi="Arial" w:cs="Arial"/>
          <w:color w:val="auto"/>
        </w:rPr>
      </w:pPr>
      <w:r w:rsidRPr="00DE32B1">
        <w:rPr>
          <w:rFonts w:ascii="Arial" w:eastAsia="Aptos" w:hAnsi="Arial" w:cs="Arial"/>
          <w:color w:val="auto"/>
        </w:rPr>
        <w:t>31.04 (1)(c): Transcripts</w:t>
      </w:r>
    </w:p>
    <w:p w14:paraId="74F7876D" w14:textId="117F85CB" w:rsidR="00D745F6" w:rsidRDefault="00D745F6" w:rsidP="00D745F6">
      <w:pPr>
        <w:shd w:val="clear" w:color="auto" w:fill="FFFFFF" w:themeFill="background1"/>
        <w:spacing w:line="240" w:lineRule="auto"/>
        <w:textAlignment w:val="baseline"/>
        <w:rPr>
          <w:rFonts w:ascii="Arial" w:eastAsia="Times New Roman" w:hAnsi="Arial" w:cs="Arial"/>
          <w:color w:val="000000"/>
          <w:sz w:val="24"/>
          <w:szCs w:val="24"/>
        </w:rPr>
      </w:pPr>
      <w:r w:rsidRPr="055CDD46">
        <w:rPr>
          <w:rFonts w:ascii="Arial" w:hAnsi="Arial" w:cs="Arial"/>
          <w:color w:val="000000" w:themeColor="text1"/>
          <w:sz w:val="24"/>
          <w:szCs w:val="24"/>
        </w:rPr>
        <w:t xml:space="preserve">Most commenters support </w:t>
      </w:r>
      <w:r w:rsidR="218F1E9F" w:rsidRPr="055CDD46">
        <w:rPr>
          <w:rFonts w:ascii="Arial" w:hAnsi="Arial" w:cs="Arial"/>
          <w:color w:val="000000" w:themeColor="text1"/>
          <w:sz w:val="24"/>
          <w:szCs w:val="24"/>
        </w:rPr>
        <w:t xml:space="preserve">the </w:t>
      </w:r>
      <w:r w:rsidR="5C3BCAB8" w:rsidRPr="055CDD46">
        <w:rPr>
          <w:rFonts w:ascii="Arial" w:hAnsi="Arial" w:cs="Arial"/>
          <w:color w:val="000000" w:themeColor="text1"/>
          <w:sz w:val="24"/>
          <w:szCs w:val="24"/>
        </w:rPr>
        <w:t xml:space="preserve">proposed </w:t>
      </w:r>
      <w:r w:rsidRPr="055CDD46">
        <w:rPr>
          <w:rFonts w:ascii="Arial" w:hAnsi="Arial" w:cs="Arial"/>
          <w:color w:val="000000" w:themeColor="text1"/>
          <w:sz w:val="24"/>
          <w:szCs w:val="24"/>
        </w:rPr>
        <w:t xml:space="preserve">31.04(1)(c) - </w:t>
      </w:r>
      <w:r w:rsidRPr="055CDD46">
        <w:rPr>
          <w:rFonts w:ascii="Arial" w:eastAsia="Times New Roman" w:hAnsi="Arial" w:cs="Arial"/>
          <w:color w:val="000000" w:themeColor="text1"/>
          <w:sz w:val="24"/>
          <w:szCs w:val="24"/>
        </w:rPr>
        <w:t>Replace the words "diploma or the transcript, or both" with "transcript." This clarification responds to questions the Department has received from districts, families, and institutions of higher education. When high schools put the Seal on the diploma only, and not on the transcript, institutions of higher education cannot verify that students earned the Seal of Biliteracy because students do not submit their diplomas. If Seals are included on transcripts, then students will be able to get appropriate placement and/or credit in college. Districts would still be able to put the Seal on the diploma, if they choose to do so. </w:t>
      </w:r>
    </w:p>
    <w:tbl>
      <w:tblPr>
        <w:tblStyle w:val="TableGrid"/>
        <w:tblW w:w="0" w:type="auto"/>
        <w:tblLook w:val="04A0" w:firstRow="1" w:lastRow="0" w:firstColumn="1" w:lastColumn="0" w:noHBand="0" w:noVBand="1"/>
      </w:tblPr>
      <w:tblGrid>
        <w:gridCol w:w="7195"/>
        <w:gridCol w:w="7195"/>
      </w:tblGrid>
      <w:tr w:rsidR="00EE5F77" w:rsidRPr="004D7325" w14:paraId="41AC6192" w14:textId="77777777" w:rsidTr="1FE7393C">
        <w:tc>
          <w:tcPr>
            <w:tcW w:w="7195" w:type="dxa"/>
            <w:shd w:val="clear" w:color="auto" w:fill="BDD6EE" w:themeFill="accent5" w:themeFillTint="66"/>
          </w:tcPr>
          <w:p w14:paraId="13B9E3AB" w14:textId="4B1023CB" w:rsidR="00EE5F77" w:rsidRPr="004D7325" w:rsidRDefault="00EE5F77" w:rsidP="00D745F6">
            <w:pPr>
              <w:spacing w:line="240" w:lineRule="auto"/>
              <w:textAlignment w:val="baseline"/>
              <w:rPr>
                <w:rFonts w:ascii="Arial" w:eastAsia="Times New Roman" w:hAnsi="Arial" w:cs="Arial"/>
                <w:b/>
                <w:bCs/>
                <w:color w:val="000000"/>
                <w:sz w:val="24"/>
                <w:szCs w:val="24"/>
              </w:rPr>
            </w:pPr>
            <w:r w:rsidRPr="004D7325">
              <w:rPr>
                <w:rFonts w:ascii="Arial" w:eastAsia="Times New Roman" w:hAnsi="Arial" w:cs="Arial"/>
                <w:b/>
                <w:bCs/>
                <w:color w:val="000000"/>
                <w:sz w:val="24"/>
                <w:szCs w:val="24"/>
              </w:rPr>
              <w:t>Public Comment Received</w:t>
            </w:r>
          </w:p>
        </w:tc>
        <w:tc>
          <w:tcPr>
            <w:tcW w:w="7195" w:type="dxa"/>
            <w:shd w:val="clear" w:color="auto" w:fill="BDD6EE" w:themeFill="accent5" w:themeFillTint="66"/>
          </w:tcPr>
          <w:p w14:paraId="5D5FDCF4" w14:textId="1D758A33" w:rsidR="00EE5F77" w:rsidRPr="004D7325" w:rsidRDefault="00EE5F77" w:rsidP="00D745F6">
            <w:pPr>
              <w:spacing w:line="240" w:lineRule="auto"/>
              <w:textAlignment w:val="baseline"/>
              <w:rPr>
                <w:rFonts w:ascii="Arial" w:eastAsia="Times New Roman" w:hAnsi="Arial" w:cs="Arial"/>
                <w:b/>
                <w:bCs/>
                <w:color w:val="000000"/>
                <w:sz w:val="24"/>
                <w:szCs w:val="24"/>
              </w:rPr>
            </w:pPr>
            <w:r w:rsidRPr="004D7325">
              <w:rPr>
                <w:rFonts w:ascii="Arial" w:eastAsia="Times New Roman" w:hAnsi="Arial" w:cs="Arial"/>
                <w:b/>
                <w:bCs/>
                <w:color w:val="000000"/>
                <w:sz w:val="24"/>
                <w:szCs w:val="24"/>
              </w:rPr>
              <w:t>Department’s Response</w:t>
            </w:r>
          </w:p>
        </w:tc>
      </w:tr>
      <w:tr w:rsidR="00EE5F77" w14:paraId="359A6203" w14:textId="77777777" w:rsidTr="1FE7393C">
        <w:tc>
          <w:tcPr>
            <w:tcW w:w="7195" w:type="dxa"/>
          </w:tcPr>
          <w:p w14:paraId="0D27EB38" w14:textId="07A7472D" w:rsidR="00EE5F77" w:rsidRDefault="00EE5F77" w:rsidP="00EE5F77">
            <w:pPr>
              <w:spacing w:line="240" w:lineRule="auto"/>
              <w:textAlignment w:val="baseline"/>
              <w:rPr>
                <w:rFonts w:ascii="Arial" w:eastAsia="Times New Roman" w:hAnsi="Arial" w:cs="Arial"/>
                <w:color w:val="000000"/>
                <w:sz w:val="24"/>
                <w:szCs w:val="24"/>
              </w:rPr>
            </w:pPr>
            <w:r w:rsidRPr="533FFD89">
              <w:rPr>
                <w:rFonts w:ascii="Arial" w:hAnsi="Arial" w:cs="Arial"/>
                <w:color w:val="000000" w:themeColor="text1"/>
                <w:sz w:val="24"/>
                <w:szCs w:val="24"/>
              </w:rPr>
              <w:t xml:space="preserve">It’s difficult to include an insignia on a transcript. The language should be adjusted to allow for a line of text stating that the student has earned the Seal of Biliteracy </w:t>
            </w:r>
            <w:r w:rsidR="00193A03">
              <w:rPr>
                <w:rFonts w:ascii="Arial" w:hAnsi="Arial" w:cs="Arial"/>
                <w:color w:val="000000" w:themeColor="text1"/>
                <w:sz w:val="24"/>
                <w:szCs w:val="24"/>
              </w:rPr>
              <w:t>in</w:t>
            </w:r>
            <w:r w:rsidR="00824374">
              <w:rPr>
                <w:rFonts w:ascii="Arial" w:hAnsi="Arial" w:cs="Arial"/>
                <w:color w:val="000000" w:themeColor="text1"/>
                <w:sz w:val="24"/>
                <w:szCs w:val="24"/>
              </w:rPr>
              <w:t xml:space="preserve"> [L</w:t>
            </w:r>
            <w:r w:rsidR="048A98A9" w:rsidRPr="533FFD89">
              <w:rPr>
                <w:rFonts w:ascii="Arial" w:hAnsi="Arial" w:cs="Arial"/>
                <w:color w:val="000000" w:themeColor="text1"/>
                <w:sz w:val="24"/>
                <w:szCs w:val="24"/>
              </w:rPr>
              <w:t>anguage</w:t>
            </w:r>
            <w:r w:rsidR="1B6AB89A" w:rsidRPr="533FFD89">
              <w:rPr>
                <w:rFonts w:ascii="Arial" w:hAnsi="Arial" w:cs="Arial"/>
                <w:color w:val="000000" w:themeColor="text1"/>
                <w:sz w:val="24"/>
                <w:szCs w:val="24"/>
              </w:rPr>
              <w:t>(</w:t>
            </w:r>
            <w:r w:rsidR="048A98A9" w:rsidRPr="533FFD89">
              <w:rPr>
                <w:rFonts w:ascii="Arial" w:hAnsi="Arial" w:cs="Arial"/>
                <w:color w:val="000000" w:themeColor="text1"/>
                <w:sz w:val="24"/>
                <w:szCs w:val="24"/>
              </w:rPr>
              <w:t>s</w:t>
            </w:r>
            <w:r w:rsidR="7F3E6E0F" w:rsidRPr="3A0069CE">
              <w:rPr>
                <w:rFonts w:ascii="Arial" w:hAnsi="Arial" w:cs="Arial"/>
                <w:color w:val="000000" w:themeColor="text1"/>
                <w:sz w:val="24"/>
                <w:szCs w:val="24"/>
              </w:rPr>
              <w:t>)</w:t>
            </w:r>
            <w:r w:rsidR="00B851A8">
              <w:rPr>
                <w:rFonts w:ascii="Arial" w:hAnsi="Arial" w:cs="Arial"/>
                <w:color w:val="000000" w:themeColor="text1"/>
                <w:sz w:val="24"/>
                <w:szCs w:val="24"/>
              </w:rPr>
              <w:t>]</w:t>
            </w:r>
            <w:r w:rsidR="048A98A9" w:rsidRPr="3A0069CE">
              <w:rPr>
                <w:rFonts w:ascii="Arial" w:hAnsi="Arial" w:cs="Arial"/>
                <w:color w:val="000000" w:themeColor="text1"/>
                <w:sz w:val="24"/>
                <w:szCs w:val="24"/>
              </w:rPr>
              <w:t>.</w:t>
            </w:r>
            <w:r w:rsidR="048A98A9" w:rsidRPr="533FFD89">
              <w:rPr>
                <w:rFonts w:ascii="Arial" w:hAnsi="Arial" w:cs="Arial"/>
                <w:color w:val="000000" w:themeColor="text1"/>
                <w:sz w:val="24"/>
                <w:szCs w:val="24"/>
              </w:rPr>
              <w:t xml:space="preserve"> </w:t>
            </w:r>
          </w:p>
        </w:tc>
        <w:tc>
          <w:tcPr>
            <w:tcW w:w="7195" w:type="dxa"/>
          </w:tcPr>
          <w:p w14:paraId="4F777A44" w14:textId="75999154" w:rsidR="00EE5F77" w:rsidRDefault="5D4DC594" w:rsidP="00EE5F77">
            <w:pPr>
              <w:spacing w:line="240" w:lineRule="auto"/>
              <w:textAlignment w:val="baseline"/>
              <w:rPr>
                <w:rFonts w:ascii="Arial" w:eastAsia="Times New Roman" w:hAnsi="Arial" w:cs="Arial"/>
                <w:color w:val="000000"/>
                <w:sz w:val="24"/>
                <w:szCs w:val="24"/>
              </w:rPr>
            </w:pPr>
            <w:r w:rsidRPr="1FE7393C">
              <w:rPr>
                <w:rFonts w:ascii="Arial" w:eastAsia="Times New Roman" w:hAnsi="Arial" w:cs="Arial"/>
                <w:color w:val="000000" w:themeColor="text1"/>
                <w:sz w:val="24"/>
                <w:szCs w:val="24"/>
              </w:rPr>
              <w:t>Change</w:t>
            </w:r>
            <w:r w:rsidR="283B298D" w:rsidRPr="1FE7393C">
              <w:rPr>
                <w:rFonts w:ascii="Arial" w:eastAsia="Times New Roman" w:hAnsi="Arial" w:cs="Arial"/>
                <w:color w:val="000000" w:themeColor="text1"/>
                <w:sz w:val="24"/>
                <w:szCs w:val="24"/>
              </w:rPr>
              <w:t>.</w:t>
            </w:r>
            <w:r w:rsidR="00FC609B" w:rsidRPr="1FE7393C">
              <w:rPr>
                <w:rFonts w:ascii="Arial" w:eastAsia="Times New Roman" w:hAnsi="Arial" w:cs="Arial"/>
                <w:color w:val="000000" w:themeColor="text1"/>
                <w:sz w:val="24"/>
                <w:szCs w:val="24"/>
              </w:rPr>
              <w:t xml:space="preserve"> </w:t>
            </w:r>
            <w:r w:rsidR="37D080D3" w:rsidRPr="1FE7393C">
              <w:rPr>
                <w:rFonts w:ascii="Arial" w:eastAsia="Times New Roman" w:hAnsi="Arial" w:cs="Arial"/>
                <w:color w:val="000000" w:themeColor="text1"/>
                <w:sz w:val="24"/>
                <w:szCs w:val="24"/>
              </w:rPr>
              <w:t xml:space="preserve">Include </w:t>
            </w:r>
            <w:r w:rsidR="00FC609B" w:rsidRPr="1FE7393C">
              <w:rPr>
                <w:rFonts w:ascii="Arial" w:eastAsia="Times New Roman" w:hAnsi="Arial" w:cs="Arial"/>
                <w:color w:val="000000" w:themeColor="text1"/>
                <w:sz w:val="24"/>
                <w:szCs w:val="24"/>
              </w:rPr>
              <w:t>language to</w:t>
            </w:r>
            <w:r w:rsidR="005C1DAA" w:rsidRPr="1FE7393C">
              <w:rPr>
                <w:rFonts w:ascii="Arial" w:eastAsia="Times New Roman" w:hAnsi="Arial" w:cs="Arial"/>
                <w:color w:val="000000" w:themeColor="text1"/>
                <w:sz w:val="24"/>
                <w:szCs w:val="24"/>
              </w:rPr>
              <w:t xml:space="preserve"> </w:t>
            </w:r>
            <w:r w:rsidR="00343FB2" w:rsidRPr="1FE7393C">
              <w:rPr>
                <w:rFonts w:ascii="Arial" w:eastAsia="Times New Roman" w:hAnsi="Arial" w:cs="Arial"/>
                <w:color w:val="000000" w:themeColor="text1"/>
                <w:sz w:val="24"/>
                <w:szCs w:val="24"/>
              </w:rPr>
              <w:t>allow t</w:t>
            </w:r>
            <w:r w:rsidR="00A76BFE" w:rsidRPr="1FE7393C">
              <w:rPr>
                <w:rFonts w:ascii="Arial" w:eastAsia="Times New Roman" w:hAnsi="Arial" w:cs="Arial"/>
                <w:color w:val="000000" w:themeColor="text1"/>
                <w:sz w:val="24"/>
                <w:szCs w:val="24"/>
              </w:rPr>
              <w:t>ext description in transcript.</w:t>
            </w:r>
          </w:p>
        </w:tc>
      </w:tr>
      <w:tr w:rsidR="00EE5F77" w14:paraId="39C0F8E8" w14:textId="77777777" w:rsidTr="1FE7393C">
        <w:tc>
          <w:tcPr>
            <w:tcW w:w="7195" w:type="dxa"/>
          </w:tcPr>
          <w:p w14:paraId="7F99FAF4" w14:textId="12A5624C" w:rsidR="00EE5F77" w:rsidRDefault="00EE5F77" w:rsidP="00484A5F">
            <w:pPr>
              <w:rPr>
                <w:rFonts w:ascii="Arial" w:eastAsia="Times New Roman" w:hAnsi="Arial" w:cs="Arial"/>
                <w:color w:val="000000"/>
                <w:sz w:val="24"/>
                <w:szCs w:val="24"/>
              </w:rPr>
            </w:pPr>
            <w:r w:rsidRPr="00DE32B1">
              <w:rPr>
                <w:rFonts w:ascii="Arial" w:hAnsi="Arial" w:cs="Arial"/>
                <w:sz w:val="24"/>
                <w:szCs w:val="24"/>
              </w:rPr>
              <w:t>Many of the Seal-recognized languages aren’t available at all schools and students who earn the Seal in those languages often do so through heritage language exposure rather than school-based academic learning. A transcript is meant to convey a student’s academic performance in courses taught at their school. Adding the Seal to transcripts raises concerns about equity by creating an imbalance for students whose only language background is English.</w:t>
            </w:r>
          </w:p>
        </w:tc>
        <w:tc>
          <w:tcPr>
            <w:tcW w:w="7195" w:type="dxa"/>
          </w:tcPr>
          <w:p w14:paraId="513D5A60" w14:textId="5D759B6E" w:rsidR="00EE5F77" w:rsidRDefault="007E7E18" w:rsidP="00EE5F77">
            <w:pPr>
              <w:spacing w:line="240" w:lineRule="auto"/>
              <w:textAlignment w:val="baseline"/>
              <w:rPr>
                <w:rFonts w:ascii="Arial" w:eastAsia="Times New Roman" w:hAnsi="Arial" w:cs="Arial"/>
                <w:color w:val="000000"/>
                <w:sz w:val="24"/>
                <w:szCs w:val="24"/>
              </w:rPr>
            </w:pPr>
            <w:r w:rsidRPr="1FE7393C">
              <w:rPr>
                <w:rFonts w:ascii="Arial" w:eastAsia="Times New Roman" w:hAnsi="Arial" w:cs="Arial"/>
                <w:color w:val="000000" w:themeColor="text1"/>
                <w:sz w:val="24"/>
                <w:szCs w:val="24"/>
              </w:rPr>
              <w:t xml:space="preserve">No change. </w:t>
            </w:r>
            <w:r w:rsidR="00EF5929" w:rsidRPr="1FE7393C">
              <w:rPr>
                <w:rFonts w:ascii="Arial" w:eastAsia="Times New Roman" w:hAnsi="Arial" w:cs="Arial"/>
                <w:color w:val="000000" w:themeColor="text1"/>
                <w:sz w:val="24"/>
                <w:szCs w:val="24"/>
              </w:rPr>
              <w:t xml:space="preserve">The requirement for the Seal of Biliteracy </w:t>
            </w:r>
            <w:r w:rsidR="00B360D7" w:rsidRPr="1FE7393C">
              <w:rPr>
                <w:rFonts w:ascii="Arial" w:eastAsia="Times New Roman" w:hAnsi="Arial" w:cs="Arial"/>
                <w:color w:val="000000" w:themeColor="text1"/>
                <w:sz w:val="24"/>
                <w:szCs w:val="24"/>
              </w:rPr>
              <w:t xml:space="preserve">is that the student demonstrate proficiency in </w:t>
            </w:r>
            <w:r w:rsidR="009B41CB" w:rsidRPr="1FE7393C">
              <w:rPr>
                <w:rFonts w:ascii="Arial" w:eastAsia="Times New Roman" w:hAnsi="Arial" w:cs="Arial"/>
                <w:color w:val="000000" w:themeColor="text1"/>
                <w:sz w:val="24"/>
                <w:szCs w:val="24"/>
              </w:rPr>
              <w:t>a language other than English</w:t>
            </w:r>
            <w:r w:rsidR="007A1887" w:rsidRPr="1FE7393C">
              <w:rPr>
                <w:rFonts w:ascii="Arial" w:eastAsia="Times New Roman" w:hAnsi="Arial" w:cs="Arial"/>
                <w:color w:val="000000" w:themeColor="text1"/>
                <w:sz w:val="24"/>
                <w:szCs w:val="24"/>
              </w:rPr>
              <w:t>;</w:t>
            </w:r>
            <w:r w:rsidR="009B41CB" w:rsidRPr="1FE7393C">
              <w:rPr>
                <w:rFonts w:ascii="Arial" w:eastAsia="Times New Roman" w:hAnsi="Arial" w:cs="Arial"/>
                <w:color w:val="000000" w:themeColor="text1"/>
                <w:sz w:val="24"/>
                <w:szCs w:val="24"/>
              </w:rPr>
              <w:t xml:space="preserve"> there is no </w:t>
            </w:r>
            <w:r w:rsidR="007B3C84" w:rsidRPr="1FE7393C">
              <w:rPr>
                <w:rFonts w:ascii="Arial" w:eastAsia="Times New Roman" w:hAnsi="Arial" w:cs="Arial"/>
                <w:color w:val="000000" w:themeColor="text1"/>
                <w:sz w:val="24"/>
                <w:szCs w:val="24"/>
              </w:rPr>
              <w:t xml:space="preserve">requirement </w:t>
            </w:r>
            <w:r w:rsidR="00ED04A8" w:rsidRPr="1FE7393C">
              <w:rPr>
                <w:rFonts w:ascii="Arial" w:eastAsia="Times New Roman" w:hAnsi="Arial" w:cs="Arial"/>
                <w:color w:val="000000" w:themeColor="text1"/>
                <w:sz w:val="24"/>
                <w:szCs w:val="24"/>
              </w:rPr>
              <w:t xml:space="preserve">about how the proficiency is acquired. </w:t>
            </w:r>
          </w:p>
        </w:tc>
      </w:tr>
    </w:tbl>
    <w:p w14:paraId="0A5FF855" w14:textId="3F26F6E9" w:rsidR="00DF3CE6" w:rsidRPr="00DE32B1" w:rsidRDefault="00DF3CE6" w:rsidP="0065410D">
      <w:pPr>
        <w:pStyle w:val="Heading3"/>
        <w:rPr>
          <w:rFonts w:ascii="Arial" w:eastAsia="Aptos" w:hAnsi="Arial" w:cs="Arial"/>
          <w:b/>
          <w:bCs/>
          <w:color w:val="auto"/>
        </w:rPr>
      </w:pPr>
      <w:r w:rsidRPr="00DE32B1">
        <w:rPr>
          <w:rFonts w:ascii="Arial" w:hAnsi="Arial" w:cs="Arial"/>
          <w:color w:val="auto"/>
        </w:rPr>
        <w:lastRenderedPageBreak/>
        <w:t>31.04(2)(b): Language Other than English.</w:t>
      </w:r>
    </w:p>
    <w:p w14:paraId="411F2018" w14:textId="236E614D" w:rsidR="00DF3CE6" w:rsidRDefault="00412413" w:rsidP="00DE32B1">
      <w:pPr>
        <w:shd w:val="clear" w:color="auto" w:fill="FFFFFF" w:themeFill="background1"/>
        <w:spacing w:after="0" w:line="240" w:lineRule="auto"/>
        <w:rPr>
          <w:rFonts w:ascii="Arial" w:eastAsia="Times New Roman" w:hAnsi="Arial" w:cs="Arial"/>
          <w:color w:val="000000"/>
          <w:sz w:val="24"/>
          <w:szCs w:val="24"/>
        </w:rPr>
      </w:pPr>
      <w:r w:rsidRPr="055CDD46">
        <w:rPr>
          <w:rFonts w:ascii="Arial" w:eastAsia="Aptos" w:hAnsi="Arial" w:cs="Arial"/>
          <w:color w:val="000000" w:themeColor="text1"/>
          <w:sz w:val="24"/>
          <w:szCs w:val="24"/>
        </w:rPr>
        <w:t xml:space="preserve">Most commenters support </w:t>
      </w:r>
      <w:r w:rsidR="6624E1F3" w:rsidRPr="055CDD46">
        <w:rPr>
          <w:rFonts w:ascii="Arial" w:eastAsia="Aptos" w:hAnsi="Arial" w:cs="Arial"/>
          <w:color w:val="000000" w:themeColor="text1"/>
          <w:sz w:val="24"/>
          <w:szCs w:val="24"/>
        </w:rPr>
        <w:t xml:space="preserve">the </w:t>
      </w:r>
      <w:r w:rsidR="089F39EA" w:rsidRPr="055CDD46">
        <w:rPr>
          <w:rFonts w:ascii="Arial" w:eastAsia="Aptos" w:hAnsi="Arial" w:cs="Arial"/>
          <w:color w:val="000000" w:themeColor="text1"/>
          <w:sz w:val="24"/>
          <w:szCs w:val="24"/>
        </w:rPr>
        <w:t>proposed</w:t>
      </w:r>
      <w:r w:rsidR="6624E1F3" w:rsidRPr="055CDD46">
        <w:rPr>
          <w:rFonts w:ascii="Arial" w:eastAsia="Aptos" w:hAnsi="Arial" w:cs="Arial"/>
          <w:color w:val="000000" w:themeColor="text1"/>
          <w:sz w:val="24"/>
          <w:szCs w:val="24"/>
        </w:rPr>
        <w:t xml:space="preserve"> </w:t>
      </w:r>
      <w:r w:rsidRPr="055CDD46">
        <w:rPr>
          <w:rFonts w:ascii="Arial" w:eastAsia="Times New Roman" w:hAnsi="Arial" w:cs="Arial"/>
          <w:color w:val="000000" w:themeColor="text1"/>
          <w:sz w:val="24"/>
          <w:szCs w:val="24"/>
        </w:rPr>
        <w:t>31.04 (2)(b) - Replace the term "foreign language” with “language other than English." This change has been made in other areas across the Department since the release of the 2021 World Languages Framework to be more inclusive.</w:t>
      </w:r>
    </w:p>
    <w:p w14:paraId="70EEEF42" w14:textId="77777777" w:rsidR="00EE5F77" w:rsidRDefault="00EE5F77" w:rsidP="00DE32B1">
      <w:pPr>
        <w:shd w:val="clear" w:color="auto" w:fill="FFFFFF" w:themeFill="background1"/>
        <w:spacing w:after="0" w:line="240" w:lineRule="auto"/>
        <w:rPr>
          <w:rFonts w:ascii="Arial" w:eastAsia="Aptos" w:hAnsi="Arial" w:cs="Arial"/>
          <w:b/>
          <w:bCs/>
        </w:rPr>
      </w:pPr>
    </w:p>
    <w:tbl>
      <w:tblPr>
        <w:tblStyle w:val="TableGrid"/>
        <w:tblW w:w="0" w:type="auto"/>
        <w:tblLook w:val="04A0" w:firstRow="1" w:lastRow="0" w:firstColumn="1" w:lastColumn="0" w:noHBand="0" w:noVBand="1"/>
      </w:tblPr>
      <w:tblGrid>
        <w:gridCol w:w="7195"/>
        <w:gridCol w:w="7195"/>
      </w:tblGrid>
      <w:tr w:rsidR="005E5A70" w:rsidRPr="00A87E19" w14:paraId="40E80347" w14:textId="77777777" w:rsidTr="1FE7393C">
        <w:tc>
          <w:tcPr>
            <w:tcW w:w="7195" w:type="dxa"/>
            <w:shd w:val="clear" w:color="auto" w:fill="BDD6EE" w:themeFill="accent5" w:themeFillTint="66"/>
          </w:tcPr>
          <w:p w14:paraId="63DD5A13" w14:textId="3724DB67" w:rsidR="005E5A70" w:rsidRPr="00A87E19" w:rsidRDefault="005E5A70" w:rsidP="00DE32B1">
            <w:pPr>
              <w:spacing w:line="240" w:lineRule="auto"/>
              <w:rPr>
                <w:rFonts w:ascii="Arial" w:eastAsia="Aptos" w:hAnsi="Arial" w:cs="Arial"/>
                <w:b/>
                <w:bCs/>
                <w:sz w:val="24"/>
                <w:szCs w:val="24"/>
              </w:rPr>
            </w:pPr>
            <w:r w:rsidRPr="00A87E19">
              <w:rPr>
                <w:rFonts w:ascii="Arial" w:eastAsia="Aptos" w:hAnsi="Arial" w:cs="Arial"/>
                <w:b/>
                <w:bCs/>
                <w:sz w:val="24"/>
                <w:szCs w:val="24"/>
              </w:rPr>
              <w:t>Public Comment Received</w:t>
            </w:r>
          </w:p>
        </w:tc>
        <w:tc>
          <w:tcPr>
            <w:tcW w:w="7195" w:type="dxa"/>
            <w:shd w:val="clear" w:color="auto" w:fill="BDD6EE" w:themeFill="accent5" w:themeFillTint="66"/>
          </w:tcPr>
          <w:p w14:paraId="3DD574A0" w14:textId="481A139E" w:rsidR="005E5A70" w:rsidRPr="00A87E19" w:rsidRDefault="005E5A70" w:rsidP="00DE32B1">
            <w:pPr>
              <w:spacing w:line="240" w:lineRule="auto"/>
              <w:rPr>
                <w:rFonts w:ascii="Arial" w:eastAsia="Aptos" w:hAnsi="Arial" w:cs="Arial"/>
                <w:b/>
                <w:bCs/>
                <w:sz w:val="24"/>
                <w:szCs w:val="24"/>
              </w:rPr>
            </w:pPr>
            <w:r w:rsidRPr="00A87E19">
              <w:rPr>
                <w:rFonts w:ascii="Arial" w:eastAsia="Aptos" w:hAnsi="Arial" w:cs="Arial"/>
                <w:b/>
                <w:bCs/>
                <w:sz w:val="24"/>
                <w:szCs w:val="24"/>
              </w:rPr>
              <w:t>Department’s Response</w:t>
            </w:r>
          </w:p>
        </w:tc>
      </w:tr>
      <w:tr w:rsidR="005E5A70" w:rsidRPr="00A87E19" w14:paraId="3B065A0B" w14:textId="77777777" w:rsidTr="1FE7393C">
        <w:tc>
          <w:tcPr>
            <w:tcW w:w="7195" w:type="dxa"/>
          </w:tcPr>
          <w:p w14:paraId="6759146E" w14:textId="1B09C8E5" w:rsidR="004F73A7" w:rsidRPr="006F4BF2" w:rsidRDefault="07C41B64" w:rsidP="004F73A7">
            <w:pPr>
              <w:autoSpaceDE w:val="0"/>
              <w:autoSpaceDN w:val="0"/>
              <w:adjustRightInd w:val="0"/>
              <w:spacing w:line="240" w:lineRule="auto"/>
              <w:rPr>
                <w:rFonts w:ascii="Arial" w:eastAsia="Aptos" w:hAnsi="Arial" w:cs="Arial"/>
                <w:color w:val="000000"/>
                <w:sz w:val="24"/>
                <w:szCs w:val="24"/>
              </w:rPr>
            </w:pPr>
            <w:r w:rsidRPr="00D3337D">
              <w:rPr>
                <w:rFonts w:ascii="Arial" w:hAnsi="Arial" w:cs="Arial"/>
                <w:color w:val="000000"/>
                <w:sz w:val="24"/>
                <w:szCs w:val="24"/>
                <w14:ligatures w14:val="standardContextual"/>
              </w:rPr>
              <w:t>The proposed Amendments to 603 CMR 31.04, particularly 31.04 (2)(b) and 31.04 (2)(b)(1), allude to a specific audience of</w:t>
            </w:r>
            <w:r w:rsidR="33239606" w:rsidRPr="00D3337D">
              <w:rPr>
                <w:rFonts w:ascii="Arial" w:hAnsi="Arial" w:cs="Arial"/>
                <w:color w:val="000000"/>
                <w:sz w:val="24"/>
                <w:szCs w:val="24"/>
                <w14:ligatures w14:val="standardContextual"/>
              </w:rPr>
              <w:t xml:space="preserve"> </w:t>
            </w:r>
            <w:r w:rsidRPr="00D3337D">
              <w:rPr>
                <w:rFonts w:ascii="Arial" w:hAnsi="Arial" w:cs="Arial"/>
                <w:color w:val="000000"/>
                <w:sz w:val="24"/>
                <w:szCs w:val="24"/>
                <w14:ligatures w14:val="standardContextual"/>
              </w:rPr>
              <w:t>"world language students." It is crucial</w:t>
            </w:r>
            <w:r w:rsidR="30549A98" w:rsidRPr="00D3337D">
              <w:rPr>
                <w:rFonts w:ascii="Arial" w:hAnsi="Arial" w:cs="Arial"/>
                <w:color w:val="000000"/>
                <w:sz w:val="24"/>
                <w:szCs w:val="24"/>
                <w14:ligatures w14:val="standardContextual"/>
              </w:rPr>
              <w:t xml:space="preserve"> </w:t>
            </w:r>
            <w:r w:rsidRPr="00D3337D">
              <w:rPr>
                <w:rFonts w:ascii="Arial" w:hAnsi="Arial" w:cs="Arial"/>
                <w:color w:val="000000"/>
                <w:sz w:val="24"/>
                <w:szCs w:val="24"/>
                <w14:ligatures w14:val="standardContextual"/>
              </w:rPr>
              <w:t>that the population of students designated or formerly designated as English learners be recognized officially in the policies</w:t>
            </w:r>
            <w:r w:rsidR="33239606" w:rsidRPr="00D3337D">
              <w:rPr>
                <w:rFonts w:ascii="Arial" w:hAnsi="Arial" w:cs="Arial"/>
                <w:color w:val="000000"/>
                <w:sz w:val="24"/>
                <w:szCs w:val="24"/>
                <w14:ligatures w14:val="standardContextual"/>
              </w:rPr>
              <w:t xml:space="preserve"> </w:t>
            </w:r>
            <w:r w:rsidRPr="00D3337D">
              <w:rPr>
                <w:rFonts w:ascii="Arial" w:hAnsi="Arial" w:cs="Arial"/>
                <w:color w:val="000000"/>
                <w:sz w:val="24"/>
                <w:szCs w:val="24"/>
                <w14:ligatures w14:val="standardContextual"/>
              </w:rPr>
              <w:t xml:space="preserve">governing the program. </w:t>
            </w:r>
          </w:p>
          <w:p w14:paraId="1FD29CE0" w14:textId="02F3AA64" w:rsidR="005E5A70" w:rsidRPr="00C801A9" w:rsidRDefault="005E5A70" w:rsidP="00EC6822">
            <w:pPr>
              <w:spacing w:line="240" w:lineRule="auto"/>
              <w:rPr>
                <w:rFonts w:ascii="Arial" w:eastAsia="Aptos" w:hAnsi="Arial" w:cs="Arial"/>
                <w:sz w:val="24"/>
                <w:szCs w:val="24"/>
              </w:rPr>
            </w:pPr>
          </w:p>
        </w:tc>
        <w:tc>
          <w:tcPr>
            <w:tcW w:w="7195" w:type="dxa"/>
          </w:tcPr>
          <w:p w14:paraId="6DD90E4C" w14:textId="201CE1F2" w:rsidR="005E5A70" w:rsidRPr="00225C88" w:rsidRDefault="00B90556" w:rsidP="00021C70">
            <w:pPr>
              <w:spacing w:line="240" w:lineRule="auto"/>
              <w:rPr>
                <w:rFonts w:ascii="Arial" w:eastAsia="Arial" w:hAnsi="Arial" w:cs="Arial"/>
                <w:sz w:val="24"/>
                <w:szCs w:val="24"/>
              </w:rPr>
            </w:pPr>
            <w:r w:rsidRPr="00225C88">
              <w:rPr>
                <w:rFonts w:ascii="Arial" w:eastAsia="Aptos" w:hAnsi="Arial" w:cs="Arial"/>
                <w:sz w:val="24"/>
                <w:szCs w:val="24"/>
              </w:rPr>
              <w:t xml:space="preserve">No </w:t>
            </w:r>
            <w:r w:rsidR="001A100A">
              <w:rPr>
                <w:rFonts w:ascii="Arial" w:eastAsia="Aptos" w:hAnsi="Arial" w:cs="Arial"/>
                <w:sz w:val="24"/>
                <w:szCs w:val="24"/>
              </w:rPr>
              <w:t xml:space="preserve">changes. The proposed language in the regulations does not specify a particular audience of students; it states that any student must “attain a minimum score or level on a nationally recognized and readily available assessment approved by the Department </w:t>
            </w:r>
            <w:r w:rsidR="001A100A" w:rsidRPr="001A100A">
              <w:rPr>
                <w:rFonts w:ascii="Arial" w:eastAsia="Aptos" w:hAnsi="Arial" w:cs="Arial"/>
                <w:sz w:val="24"/>
                <w:szCs w:val="24"/>
                <w:u w:val="single"/>
              </w:rPr>
              <w:t>and taken during or after grade 8</w:t>
            </w:r>
            <w:r w:rsidR="001A100A">
              <w:rPr>
                <w:rFonts w:ascii="Arial" w:eastAsia="Aptos" w:hAnsi="Arial" w:cs="Arial"/>
                <w:sz w:val="24"/>
                <w:szCs w:val="24"/>
              </w:rPr>
              <w:t>…”</w:t>
            </w:r>
            <w:r w:rsidR="002F31DC" w:rsidRPr="00225C88">
              <w:rPr>
                <w:rFonts w:ascii="Arial" w:eastAsia="Aptos" w:hAnsi="Arial" w:cs="Arial"/>
                <w:sz w:val="24"/>
                <w:szCs w:val="24"/>
              </w:rPr>
              <w:t xml:space="preserve"> </w:t>
            </w:r>
            <w:r w:rsidR="001A100A">
              <w:rPr>
                <w:rFonts w:ascii="Arial" w:eastAsia="Aptos" w:hAnsi="Arial" w:cs="Arial"/>
                <w:sz w:val="24"/>
                <w:szCs w:val="24"/>
              </w:rPr>
              <w:t>The October Board Memo shared context that 8</w:t>
            </w:r>
            <w:r w:rsidR="001A100A" w:rsidRPr="001A100A">
              <w:rPr>
                <w:rFonts w:ascii="Arial" w:eastAsia="Aptos" w:hAnsi="Arial" w:cs="Arial"/>
                <w:sz w:val="24"/>
                <w:szCs w:val="24"/>
                <w:vertAlign w:val="superscript"/>
              </w:rPr>
              <w:t>th</w:t>
            </w:r>
            <w:r w:rsidR="001A100A">
              <w:rPr>
                <w:rFonts w:ascii="Arial" w:eastAsia="Aptos" w:hAnsi="Arial" w:cs="Arial"/>
                <w:sz w:val="24"/>
                <w:szCs w:val="24"/>
              </w:rPr>
              <w:t xml:space="preserve"> grade is a common time for world language students to take such assessments, but this does not in any way limit other students from taking such assessments.</w:t>
            </w:r>
          </w:p>
        </w:tc>
      </w:tr>
    </w:tbl>
    <w:p w14:paraId="242A4649" w14:textId="77777777" w:rsidR="005E5A70" w:rsidRPr="00DE32B1" w:rsidRDefault="005E5A70" w:rsidP="00DE32B1">
      <w:pPr>
        <w:shd w:val="clear" w:color="auto" w:fill="FFFFFF" w:themeFill="background1"/>
        <w:spacing w:after="0" w:line="240" w:lineRule="auto"/>
        <w:rPr>
          <w:rFonts w:ascii="Arial" w:eastAsia="Aptos" w:hAnsi="Arial" w:cs="Arial"/>
          <w:b/>
          <w:bCs/>
        </w:rPr>
      </w:pPr>
    </w:p>
    <w:p w14:paraId="48ACF51A" w14:textId="3153C5BE" w:rsidR="0036587F" w:rsidRPr="008400D7" w:rsidRDefault="0036587F" w:rsidP="0065410D">
      <w:pPr>
        <w:pStyle w:val="Heading3"/>
        <w:rPr>
          <w:rFonts w:ascii="Arial" w:eastAsia="Aptos" w:hAnsi="Arial" w:cs="Arial"/>
          <w:color w:val="auto"/>
        </w:rPr>
      </w:pPr>
      <w:r w:rsidRPr="008400D7">
        <w:rPr>
          <w:rFonts w:ascii="Arial" w:eastAsia="Aptos" w:hAnsi="Arial" w:cs="Arial"/>
          <w:color w:val="auto"/>
        </w:rPr>
        <w:t>31.04 (2)(b)(1) Assessment Timeline</w:t>
      </w:r>
    </w:p>
    <w:p w14:paraId="3E611EC1" w14:textId="3E59DFD0" w:rsidR="00B1448D" w:rsidRPr="008400D7" w:rsidRDefault="00AE6ACF" w:rsidP="0070155F">
      <w:pPr>
        <w:shd w:val="clear" w:color="auto" w:fill="FFFFFF" w:themeFill="background1"/>
        <w:spacing w:line="240" w:lineRule="auto"/>
        <w:rPr>
          <w:rFonts w:ascii="Arial" w:eastAsia="Times New Roman" w:hAnsi="Arial" w:cs="Arial"/>
          <w:color w:val="000000"/>
          <w:sz w:val="24"/>
          <w:szCs w:val="24"/>
        </w:rPr>
      </w:pPr>
      <w:r w:rsidRPr="055CDD46">
        <w:rPr>
          <w:rFonts w:ascii="Arial" w:eastAsia="Times New Roman" w:hAnsi="Arial" w:cs="Arial"/>
          <w:color w:val="000000" w:themeColor="text1"/>
          <w:sz w:val="24"/>
          <w:szCs w:val="24"/>
        </w:rPr>
        <w:t xml:space="preserve">Most commenters support </w:t>
      </w:r>
      <w:r w:rsidR="2FAE28D6" w:rsidRPr="055CDD46">
        <w:rPr>
          <w:rFonts w:ascii="Arial" w:eastAsia="Times New Roman" w:hAnsi="Arial" w:cs="Arial"/>
          <w:color w:val="000000" w:themeColor="text1"/>
          <w:sz w:val="24"/>
          <w:szCs w:val="24"/>
        </w:rPr>
        <w:t xml:space="preserve">the proposed </w:t>
      </w:r>
      <w:r w:rsidRPr="055CDD46">
        <w:rPr>
          <w:rFonts w:ascii="Arial" w:eastAsia="Times New Roman" w:hAnsi="Arial" w:cs="Arial"/>
          <w:color w:val="000000" w:themeColor="text1"/>
          <w:sz w:val="24"/>
          <w:szCs w:val="24"/>
        </w:rPr>
        <w:t>31.04 (2)(b)(1) - Specify that scores on an assessment of a language other than English must come from a test taken "during or after 8</w:t>
      </w:r>
      <w:r w:rsidRPr="055CDD46">
        <w:rPr>
          <w:rFonts w:ascii="Arial" w:eastAsia="Times New Roman" w:hAnsi="Arial" w:cs="Arial"/>
          <w:color w:val="000000" w:themeColor="text1"/>
          <w:sz w:val="24"/>
          <w:szCs w:val="24"/>
          <w:vertAlign w:val="superscript"/>
        </w:rPr>
        <w:t>th</w:t>
      </w:r>
      <w:r w:rsidRPr="055CDD46">
        <w:rPr>
          <w:rFonts w:ascii="Arial" w:eastAsia="Times New Roman" w:hAnsi="Arial" w:cs="Arial"/>
          <w:color w:val="000000" w:themeColor="text1"/>
          <w:sz w:val="24"/>
          <w:szCs w:val="24"/>
        </w:rPr>
        <w:t> grade." This clarifies that scores must come from a test taken in high school, or no earlier than 8</w:t>
      </w:r>
      <w:r w:rsidRPr="055CDD46">
        <w:rPr>
          <w:rFonts w:ascii="Arial" w:eastAsia="Times New Roman" w:hAnsi="Arial" w:cs="Arial"/>
          <w:color w:val="000000" w:themeColor="text1"/>
          <w:sz w:val="24"/>
          <w:szCs w:val="24"/>
          <w:vertAlign w:val="superscript"/>
        </w:rPr>
        <w:t>th</w:t>
      </w:r>
      <w:r w:rsidRPr="055CDD46">
        <w:rPr>
          <w:rFonts w:ascii="Arial" w:eastAsia="Times New Roman" w:hAnsi="Arial" w:cs="Arial"/>
          <w:color w:val="000000" w:themeColor="text1"/>
          <w:sz w:val="24"/>
          <w:szCs w:val="24"/>
        </w:rPr>
        <w:t> grade, which is a common time that many world language students are assessed. This change is in line with Seal of Biliteracy standards in many other states.</w:t>
      </w:r>
    </w:p>
    <w:tbl>
      <w:tblPr>
        <w:tblStyle w:val="TableGrid"/>
        <w:tblW w:w="0" w:type="auto"/>
        <w:tblLook w:val="04A0" w:firstRow="1" w:lastRow="0" w:firstColumn="1" w:lastColumn="0" w:noHBand="0" w:noVBand="1"/>
      </w:tblPr>
      <w:tblGrid>
        <w:gridCol w:w="7195"/>
        <w:gridCol w:w="7195"/>
      </w:tblGrid>
      <w:tr w:rsidR="006D3D05" w:rsidRPr="006D3D05" w14:paraId="14A08575" w14:textId="77777777" w:rsidTr="006D3D05">
        <w:tc>
          <w:tcPr>
            <w:tcW w:w="7195" w:type="dxa"/>
            <w:shd w:val="clear" w:color="auto" w:fill="BDD6EE" w:themeFill="accent5" w:themeFillTint="66"/>
          </w:tcPr>
          <w:p w14:paraId="15EDDEEC" w14:textId="1B82B486" w:rsidR="006D3D05" w:rsidRPr="006D3D05" w:rsidRDefault="006D3D05" w:rsidP="00F706B1">
            <w:pPr>
              <w:rPr>
                <w:rFonts w:ascii="Arial" w:eastAsia="Aptos" w:hAnsi="Arial" w:cs="Arial"/>
                <w:b/>
                <w:bCs/>
                <w:sz w:val="24"/>
                <w:szCs w:val="24"/>
              </w:rPr>
            </w:pPr>
            <w:r w:rsidRPr="006D3D05">
              <w:rPr>
                <w:rFonts w:ascii="Arial" w:eastAsia="Aptos" w:hAnsi="Arial" w:cs="Arial"/>
                <w:b/>
                <w:bCs/>
                <w:sz w:val="24"/>
                <w:szCs w:val="24"/>
              </w:rPr>
              <w:t>Public Comment Received</w:t>
            </w:r>
          </w:p>
        </w:tc>
        <w:tc>
          <w:tcPr>
            <w:tcW w:w="7195" w:type="dxa"/>
            <w:shd w:val="clear" w:color="auto" w:fill="BDD6EE" w:themeFill="accent5" w:themeFillTint="66"/>
          </w:tcPr>
          <w:p w14:paraId="618DB689" w14:textId="44C7B44D" w:rsidR="006D3D05" w:rsidRPr="006D3D05" w:rsidRDefault="006D3D05" w:rsidP="00F706B1">
            <w:pPr>
              <w:rPr>
                <w:rFonts w:ascii="Arial" w:eastAsia="Aptos" w:hAnsi="Arial" w:cs="Arial"/>
                <w:b/>
                <w:bCs/>
                <w:sz w:val="24"/>
                <w:szCs w:val="24"/>
              </w:rPr>
            </w:pPr>
            <w:r w:rsidRPr="006D3D05">
              <w:rPr>
                <w:rFonts w:ascii="Arial" w:eastAsia="Aptos" w:hAnsi="Arial" w:cs="Arial"/>
                <w:b/>
                <w:bCs/>
                <w:sz w:val="24"/>
                <w:szCs w:val="24"/>
              </w:rPr>
              <w:t>Department’s Response</w:t>
            </w:r>
          </w:p>
        </w:tc>
      </w:tr>
      <w:tr w:rsidR="006D3D05" w:rsidRPr="006D3D05" w14:paraId="1FD6098A" w14:textId="77777777" w:rsidTr="006D3D05">
        <w:tc>
          <w:tcPr>
            <w:tcW w:w="7195" w:type="dxa"/>
          </w:tcPr>
          <w:p w14:paraId="6D2C8B41" w14:textId="5FF84778" w:rsidR="006D3D05" w:rsidRPr="00C801A9" w:rsidRDefault="006D3D05" w:rsidP="006D3D05">
            <w:pPr>
              <w:rPr>
                <w:rFonts w:ascii="Arial" w:eastAsia="Aptos" w:hAnsi="Arial" w:cs="Arial"/>
                <w:b/>
                <w:bCs/>
                <w:sz w:val="24"/>
                <w:szCs w:val="24"/>
              </w:rPr>
            </w:pPr>
            <w:r w:rsidRPr="00C801A9">
              <w:rPr>
                <w:rFonts w:ascii="Arial" w:eastAsia="Aptos" w:hAnsi="Arial" w:cs="Arial"/>
                <w:sz w:val="24"/>
                <w:szCs w:val="24"/>
              </w:rPr>
              <w:t>8</w:t>
            </w:r>
            <w:r w:rsidRPr="00C801A9">
              <w:rPr>
                <w:rFonts w:ascii="Arial" w:eastAsia="Aptos" w:hAnsi="Arial" w:cs="Arial"/>
                <w:sz w:val="24"/>
                <w:szCs w:val="24"/>
                <w:vertAlign w:val="superscript"/>
              </w:rPr>
              <w:t>th</w:t>
            </w:r>
            <w:r w:rsidRPr="00C801A9">
              <w:rPr>
                <w:rFonts w:ascii="Arial" w:eastAsia="Aptos" w:hAnsi="Arial" w:cs="Arial"/>
                <w:sz w:val="24"/>
                <w:szCs w:val="24"/>
              </w:rPr>
              <w:t xml:space="preserve"> grade testing is often done for purposes of placement and benchmarking, and shouldn’t be confused with the purpose of assessment for the Seal of Biliteracy. </w:t>
            </w:r>
          </w:p>
        </w:tc>
        <w:tc>
          <w:tcPr>
            <w:tcW w:w="7195" w:type="dxa"/>
          </w:tcPr>
          <w:p w14:paraId="60E72DD4" w14:textId="3E6CB995" w:rsidR="006D3D05" w:rsidRPr="00C801A9" w:rsidRDefault="00955E07" w:rsidP="006D3D05">
            <w:pPr>
              <w:rPr>
                <w:rFonts w:ascii="Arial" w:eastAsia="Aptos" w:hAnsi="Arial" w:cs="Arial"/>
                <w:sz w:val="24"/>
                <w:szCs w:val="24"/>
              </w:rPr>
            </w:pPr>
            <w:r w:rsidRPr="00C801A9">
              <w:rPr>
                <w:rFonts w:ascii="Arial" w:eastAsia="Aptos" w:hAnsi="Arial" w:cs="Arial"/>
                <w:sz w:val="24"/>
                <w:szCs w:val="24"/>
              </w:rPr>
              <w:t>No changes</w:t>
            </w:r>
            <w:r w:rsidR="001A100A">
              <w:rPr>
                <w:rFonts w:ascii="Arial" w:eastAsia="Aptos" w:hAnsi="Arial" w:cs="Arial"/>
                <w:sz w:val="24"/>
                <w:szCs w:val="24"/>
              </w:rPr>
              <w:t>.</w:t>
            </w:r>
            <w:r w:rsidRPr="00C801A9">
              <w:rPr>
                <w:rFonts w:ascii="Arial" w:eastAsia="Aptos" w:hAnsi="Arial" w:cs="Arial"/>
                <w:sz w:val="24"/>
                <w:szCs w:val="24"/>
              </w:rPr>
              <w:t xml:space="preserve"> DESE will develop guidance in alignment with </w:t>
            </w:r>
            <w:r w:rsidR="00FC050C" w:rsidRPr="0099539A">
              <w:rPr>
                <w:rFonts w:ascii="Arial" w:eastAsia="Aptos" w:hAnsi="Arial" w:cs="Arial"/>
                <w:sz w:val="24"/>
                <w:szCs w:val="24"/>
              </w:rPr>
              <w:t>the Racial Equity Decision Making Tool (REDT</w:t>
            </w:r>
            <w:r w:rsidR="00FC050C" w:rsidRPr="00D61815">
              <w:rPr>
                <w:rFonts w:ascii="Arial" w:eastAsia="Aptos" w:hAnsi="Arial" w:cs="Arial"/>
                <w:sz w:val="24"/>
                <w:szCs w:val="24"/>
              </w:rPr>
              <w:t xml:space="preserve">), </w:t>
            </w:r>
            <w:r w:rsidR="00FC050C" w:rsidRPr="00D61815">
              <w:rPr>
                <w:rFonts w:ascii="Arial" w:hAnsi="Arial" w:cs="Arial"/>
                <w:sz w:val="24"/>
                <w:szCs w:val="24"/>
              </w:rPr>
              <w:t>a planning tool with an intentional focus on ensuring racial equity and stakeholder input within the project decision-making process</w:t>
            </w:r>
            <w:r w:rsidRPr="00C801A9">
              <w:rPr>
                <w:rFonts w:ascii="Arial" w:eastAsia="Aptos" w:hAnsi="Arial" w:cs="Arial"/>
                <w:sz w:val="24"/>
                <w:szCs w:val="24"/>
              </w:rPr>
              <w:t>.</w:t>
            </w:r>
          </w:p>
        </w:tc>
      </w:tr>
      <w:tr w:rsidR="006D3D05" w:rsidRPr="006D3D05" w14:paraId="36D91ACE" w14:textId="77777777" w:rsidTr="006D3D05">
        <w:tc>
          <w:tcPr>
            <w:tcW w:w="7195" w:type="dxa"/>
          </w:tcPr>
          <w:p w14:paraId="7138BFB5" w14:textId="52DAA4ED" w:rsidR="006D3D05" w:rsidRPr="00C801A9" w:rsidRDefault="006D3D05" w:rsidP="006D3D05">
            <w:pPr>
              <w:rPr>
                <w:rFonts w:ascii="Arial" w:eastAsia="Aptos" w:hAnsi="Arial" w:cs="Arial"/>
                <w:b/>
                <w:bCs/>
                <w:sz w:val="24"/>
                <w:szCs w:val="24"/>
              </w:rPr>
            </w:pPr>
            <w:r w:rsidRPr="00C801A9">
              <w:rPr>
                <w:rFonts w:ascii="Arial" w:eastAsia="Aptos" w:hAnsi="Arial" w:cs="Arial"/>
                <w:sz w:val="24"/>
                <w:szCs w:val="24"/>
              </w:rPr>
              <w:t>Qualifying for the Seal in 8</w:t>
            </w:r>
            <w:r w:rsidRPr="00C801A9">
              <w:rPr>
                <w:rFonts w:ascii="Arial" w:eastAsia="Aptos" w:hAnsi="Arial" w:cs="Arial"/>
                <w:sz w:val="24"/>
                <w:szCs w:val="24"/>
                <w:vertAlign w:val="superscript"/>
              </w:rPr>
              <w:t>th</w:t>
            </w:r>
            <w:r w:rsidRPr="00C801A9">
              <w:rPr>
                <w:rFonts w:ascii="Arial" w:eastAsia="Aptos" w:hAnsi="Arial" w:cs="Arial"/>
                <w:sz w:val="24"/>
                <w:szCs w:val="24"/>
              </w:rPr>
              <w:t xml:space="preserve"> grade may have the effect of discouraging the study of languages other than English in later grades. </w:t>
            </w:r>
          </w:p>
        </w:tc>
        <w:tc>
          <w:tcPr>
            <w:tcW w:w="7195" w:type="dxa"/>
          </w:tcPr>
          <w:p w14:paraId="291F7505" w14:textId="5810E8CE" w:rsidR="006D3D05" w:rsidRPr="00C801A9" w:rsidRDefault="0098409D" w:rsidP="006D3D05">
            <w:pPr>
              <w:rPr>
                <w:rFonts w:ascii="Arial" w:eastAsia="Aptos" w:hAnsi="Arial" w:cs="Arial"/>
                <w:sz w:val="24"/>
                <w:szCs w:val="24"/>
              </w:rPr>
            </w:pPr>
            <w:r w:rsidRPr="00C801A9">
              <w:rPr>
                <w:rFonts w:ascii="Arial" w:eastAsia="Aptos" w:hAnsi="Arial" w:cs="Arial"/>
                <w:sz w:val="24"/>
                <w:szCs w:val="24"/>
              </w:rPr>
              <w:t>No changes</w:t>
            </w:r>
            <w:r w:rsidR="002D43F5" w:rsidRPr="00C801A9">
              <w:rPr>
                <w:rFonts w:ascii="Arial" w:eastAsia="Aptos" w:hAnsi="Arial" w:cs="Arial"/>
                <w:sz w:val="24"/>
                <w:szCs w:val="24"/>
              </w:rPr>
              <w:t xml:space="preserve">. </w:t>
            </w:r>
            <w:r w:rsidR="00F771AA" w:rsidRPr="00C801A9">
              <w:rPr>
                <w:rFonts w:ascii="Arial" w:eastAsia="Aptos" w:hAnsi="Arial" w:cs="Arial"/>
                <w:sz w:val="24"/>
                <w:szCs w:val="24"/>
              </w:rPr>
              <w:t xml:space="preserve">In the </w:t>
            </w:r>
            <w:r w:rsidR="00E376B4" w:rsidRPr="00C801A9">
              <w:rPr>
                <w:rFonts w:ascii="Arial" w:eastAsia="Aptos" w:hAnsi="Arial" w:cs="Arial"/>
                <w:sz w:val="24"/>
                <w:szCs w:val="24"/>
              </w:rPr>
              <w:t xml:space="preserve">rare </w:t>
            </w:r>
            <w:r w:rsidR="0090044F" w:rsidRPr="00C801A9">
              <w:rPr>
                <w:rFonts w:ascii="Arial" w:eastAsia="Aptos" w:hAnsi="Arial" w:cs="Arial"/>
                <w:sz w:val="24"/>
                <w:szCs w:val="24"/>
              </w:rPr>
              <w:t>instance</w:t>
            </w:r>
            <w:r w:rsidR="00F771AA" w:rsidRPr="00C801A9">
              <w:rPr>
                <w:rFonts w:ascii="Arial" w:eastAsia="Aptos" w:hAnsi="Arial" w:cs="Arial"/>
                <w:sz w:val="24"/>
                <w:szCs w:val="24"/>
              </w:rPr>
              <w:t xml:space="preserve"> that an 8</w:t>
            </w:r>
            <w:r w:rsidR="00F771AA" w:rsidRPr="00C801A9">
              <w:rPr>
                <w:rFonts w:ascii="Arial" w:eastAsia="Aptos" w:hAnsi="Arial" w:cs="Arial"/>
                <w:sz w:val="24"/>
                <w:szCs w:val="24"/>
                <w:vertAlign w:val="superscript"/>
              </w:rPr>
              <w:t>th</w:t>
            </w:r>
            <w:r w:rsidR="00F771AA" w:rsidRPr="00C801A9">
              <w:rPr>
                <w:rFonts w:ascii="Arial" w:eastAsia="Aptos" w:hAnsi="Arial" w:cs="Arial"/>
                <w:sz w:val="24"/>
                <w:szCs w:val="24"/>
              </w:rPr>
              <w:t xml:space="preserve"> grader </w:t>
            </w:r>
            <w:r w:rsidR="0090044F" w:rsidRPr="00C801A9">
              <w:rPr>
                <w:rFonts w:ascii="Arial" w:eastAsia="Aptos" w:hAnsi="Arial" w:cs="Arial"/>
                <w:sz w:val="24"/>
                <w:szCs w:val="24"/>
              </w:rPr>
              <w:t xml:space="preserve">demonstrates such advanced proficiency as to qualify for the Seal, </w:t>
            </w:r>
            <w:r w:rsidR="006E7171" w:rsidRPr="00C801A9">
              <w:rPr>
                <w:rFonts w:ascii="Arial" w:eastAsia="Aptos" w:hAnsi="Arial" w:cs="Arial"/>
                <w:sz w:val="24"/>
                <w:szCs w:val="24"/>
              </w:rPr>
              <w:t xml:space="preserve">this policy provides flexibility to districts and families. </w:t>
            </w:r>
            <w:r w:rsidR="00B66F0E" w:rsidRPr="00C801A9">
              <w:rPr>
                <w:rFonts w:ascii="Arial" w:eastAsia="Aptos" w:hAnsi="Arial" w:cs="Arial"/>
                <w:sz w:val="24"/>
                <w:szCs w:val="24"/>
              </w:rPr>
              <w:t xml:space="preserve"> </w:t>
            </w:r>
          </w:p>
        </w:tc>
      </w:tr>
    </w:tbl>
    <w:p w14:paraId="7A193D50" w14:textId="77777777" w:rsidR="00AE6ACF" w:rsidRPr="00DE32B1" w:rsidRDefault="00AE6ACF" w:rsidP="00F706B1">
      <w:pPr>
        <w:rPr>
          <w:rFonts w:ascii="Arial" w:eastAsia="Aptos" w:hAnsi="Arial" w:cs="Arial"/>
          <w:b/>
          <w:bCs/>
        </w:rPr>
      </w:pPr>
    </w:p>
    <w:p w14:paraId="74E3B4F4" w14:textId="370BB5B0" w:rsidR="00833FEC" w:rsidRPr="00B73243" w:rsidRDefault="009C78EE" w:rsidP="0065410D">
      <w:pPr>
        <w:pStyle w:val="Heading3"/>
        <w:rPr>
          <w:rFonts w:ascii="Arial" w:eastAsia="Aptos" w:hAnsi="Arial" w:cs="Arial"/>
          <w:color w:val="auto"/>
        </w:rPr>
      </w:pPr>
      <w:r w:rsidRPr="00B73243">
        <w:rPr>
          <w:rFonts w:ascii="Arial" w:eastAsia="Aptos" w:hAnsi="Arial" w:cs="Arial"/>
          <w:color w:val="auto"/>
        </w:rPr>
        <w:t>31.04(2)(a) English Proficiency Criteria</w:t>
      </w:r>
    </w:p>
    <w:p w14:paraId="0575B62F" w14:textId="3023056B" w:rsidR="00F050DC" w:rsidRPr="00D50973" w:rsidRDefault="00F050DC" w:rsidP="00F050DC">
      <w:pPr>
        <w:spacing w:after="0" w:line="240" w:lineRule="auto"/>
        <w:rPr>
          <w:rFonts w:ascii="Arial" w:eastAsia="Times New Roman" w:hAnsi="Arial" w:cs="Arial"/>
          <w:sz w:val="24"/>
          <w:szCs w:val="24"/>
        </w:rPr>
      </w:pPr>
      <w:r w:rsidRPr="055CDD46">
        <w:rPr>
          <w:rFonts w:ascii="Arial" w:eastAsia="Aptos" w:hAnsi="Arial" w:cs="Arial"/>
          <w:sz w:val="24"/>
          <w:szCs w:val="24"/>
        </w:rPr>
        <w:t xml:space="preserve">Most commenters </w:t>
      </w:r>
      <w:r w:rsidR="006E58B6" w:rsidRPr="055CDD46">
        <w:rPr>
          <w:rFonts w:ascii="Arial" w:eastAsia="Aptos" w:hAnsi="Arial" w:cs="Arial"/>
          <w:sz w:val="24"/>
          <w:szCs w:val="24"/>
        </w:rPr>
        <w:t xml:space="preserve">support </w:t>
      </w:r>
      <w:r w:rsidR="472353AF" w:rsidRPr="055CDD46">
        <w:rPr>
          <w:rFonts w:ascii="Arial" w:eastAsia="Aptos" w:hAnsi="Arial" w:cs="Arial"/>
          <w:sz w:val="24"/>
          <w:szCs w:val="24"/>
        </w:rPr>
        <w:t xml:space="preserve">the proposed </w:t>
      </w:r>
      <w:r w:rsidRPr="055CDD46">
        <w:rPr>
          <w:rFonts w:ascii="Arial" w:eastAsia="Times New Roman" w:hAnsi="Arial" w:cs="Arial"/>
          <w:color w:val="000000" w:themeColor="text1"/>
          <w:sz w:val="24"/>
          <w:szCs w:val="24"/>
        </w:rPr>
        <w:t xml:space="preserve">31.04 (2)(a) - Remove original English proficiency criteria 1, 2, 3, and 4, which referenced the old MCAS/Competency Determination regulations, and replace them with new criteria now labeled 1, 2, 3. These updated criteria still </w:t>
      </w:r>
      <w:r w:rsidRPr="055CDD46">
        <w:rPr>
          <w:rFonts w:ascii="Arial" w:eastAsia="Times New Roman" w:hAnsi="Arial" w:cs="Arial"/>
          <w:color w:val="000000" w:themeColor="text1"/>
          <w:sz w:val="24"/>
          <w:szCs w:val="24"/>
        </w:rPr>
        <w:lastRenderedPageBreak/>
        <w:t xml:space="preserve">use the grade 10 ELA MCAS test as a key measure of English proficiency, as required by state law, but they also give the Department the flexibility to approve additional measures of English proficiency by identifying other "nationally recognized or readily available assessments" and determining a score threshold aligned to the Meeting or Exceeding Expectations on the ELA MCAS. This change leverages the flexibility afforded to the Department within the law and also addresses feedback from a variety of stakeholders requesting additional options for students to demonstrate English proficiency.  </w:t>
      </w:r>
    </w:p>
    <w:tbl>
      <w:tblPr>
        <w:tblStyle w:val="TableGrid"/>
        <w:tblW w:w="0" w:type="auto"/>
        <w:tblLook w:val="04A0" w:firstRow="1" w:lastRow="0" w:firstColumn="1" w:lastColumn="0" w:noHBand="0" w:noVBand="1"/>
      </w:tblPr>
      <w:tblGrid>
        <w:gridCol w:w="7195"/>
        <w:gridCol w:w="7195"/>
      </w:tblGrid>
      <w:tr w:rsidR="009A1CD7" w:rsidRPr="009A1CD7" w14:paraId="21684A5A" w14:textId="77777777" w:rsidTr="009A1CD7">
        <w:tc>
          <w:tcPr>
            <w:tcW w:w="7195" w:type="dxa"/>
            <w:shd w:val="clear" w:color="auto" w:fill="BDD6EE" w:themeFill="accent5" w:themeFillTint="66"/>
          </w:tcPr>
          <w:p w14:paraId="62484201" w14:textId="7E79AD1F" w:rsidR="009A1CD7" w:rsidRPr="009A1CD7" w:rsidRDefault="009A1CD7" w:rsidP="00F706B1">
            <w:pPr>
              <w:rPr>
                <w:rFonts w:ascii="Arial" w:eastAsia="Aptos" w:hAnsi="Arial" w:cs="Arial"/>
                <w:b/>
                <w:bCs/>
                <w:sz w:val="24"/>
                <w:szCs w:val="24"/>
              </w:rPr>
            </w:pPr>
            <w:r w:rsidRPr="009A1CD7">
              <w:rPr>
                <w:rFonts w:ascii="Arial" w:eastAsia="Aptos" w:hAnsi="Arial" w:cs="Arial"/>
                <w:b/>
                <w:bCs/>
                <w:sz w:val="24"/>
                <w:szCs w:val="24"/>
              </w:rPr>
              <w:t>Public Comment Received</w:t>
            </w:r>
          </w:p>
        </w:tc>
        <w:tc>
          <w:tcPr>
            <w:tcW w:w="7195" w:type="dxa"/>
            <w:shd w:val="clear" w:color="auto" w:fill="BDD6EE" w:themeFill="accent5" w:themeFillTint="66"/>
          </w:tcPr>
          <w:p w14:paraId="09190F30" w14:textId="5571D39D" w:rsidR="009A1CD7" w:rsidRPr="009A1CD7" w:rsidRDefault="009A1CD7" w:rsidP="00F706B1">
            <w:pPr>
              <w:rPr>
                <w:rFonts w:ascii="Arial" w:eastAsia="Aptos" w:hAnsi="Arial" w:cs="Arial"/>
                <w:b/>
                <w:bCs/>
                <w:sz w:val="24"/>
                <w:szCs w:val="24"/>
              </w:rPr>
            </w:pPr>
            <w:r w:rsidRPr="009A1CD7">
              <w:rPr>
                <w:rFonts w:ascii="Arial" w:eastAsia="Aptos" w:hAnsi="Arial" w:cs="Arial"/>
                <w:b/>
                <w:bCs/>
                <w:sz w:val="24"/>
                <w:szCs w:val="24"/>
              </w:rPr>
              <w:t>Department’s Response</w:t>
            </w:r>
          </w:p>
        </w:tc>
      </w:tr>
      <w:tr w:rsidR="00066DDE" w:rsidRPr="009A1CD7" w14:paraId="16B59273" w14:textId="77777777" w:rsidTr="009A1CD7">
        <w:tc>
          <w:tcPr>
            <w:tcW w:w="7195" w:type="dxa"/>
          </w:tcPr>
          <w:p w14:paraId="66980792" w14:textId="6F08284D" w:rsidR="006175FA" w:rsidRPr="00347832" w:rsidRDefault="004A5BD9" w:rsidP="00316F98">
            <w:pPr>
              <w:autoSpaceDE w:val="0"/>
              <w:autoSpaceDN w:val="0"/>
              <w:adjustRightInd w:val="0"/>
              <w:spacing w:line="240" w:lineRule="auto"/>
              <w:rPr>
                <w:rFonts w:ascii="Arial" w:hAnsi="Arial" w:cs="Arial"/>
                <w:sz w:val="24"/>
                <w:szCs w:val="24"/>
              </w:rPr>
            </w:pPr>
            <w:r w:rsidRPr="00595A46">
              <w:rPr>
                <w:rFonts w:ascii="Arial" w:hAnsi="Arial" w:cs="Arial"/>
                <w:color w:val="000000" w:themeColor="text1"/>
                <w:sz w:val="24"/>
                <w:szCs w:val="24"/>
              </w:rPr>
              <w:t xml:space="preserve">Proficiency assessments for languages other than English don’t assess content knowledge like MCAS does, </w:t>
            </w:r>
            <w:r w:rsidR="00C66E55" w:rsidRPr="00595A46">
              <w:rPr>
                <w:rFonts w:ascii="Arial" w:hAnsi="Arial" w:cs="Arial"/>
                <w:color w:val="000000" w:themeColor="text1"/>
                <w:sz w:val="24"/>
                <w:szCs w:val="24"/>
              </w:rPr>
              <w:t xml:space="preserve">and </w:t>
            </w:r>
            <w:r w:rsidRPr="00595A46">
              <w:rPr>
                <w:rFonts w:ascii="Arial" w:hAnsi="Arial" w:cs="Arial"/>
                <w:color w:val="000000" w:themeColor="text1"/>
                <w:sz w:val="24"/>
                <w:szCs w:val="24"/>
              </w:rPr>
              <w:t>this puts our ELs/FELs at a disadvantage.</w:t>
            </w:r>
            <w:r w:rsidR="00C66E55" w:rsidRPr="00595A46">
              <w:rPr>
                <w:rFonts w:ascii="Arial" w:hAnsi="Arial" w:cs="Arial"/>
                <w:color w:val="000000" w:themeColor="text1"/>
                <w:sz w:val="24"/>
                <w:szCs w:val="24"/>
              </w:rPr>
              <w:t xml:space="preserve"> </w:t>
            </w:r>
            <w:r w:rsidR="00546A4F" w:rsidRPr="00595A46">
              <w:rPr>
                <w:rFonts w:ascii="Arial" w:hAnsi="Arial" w:cs="Arial"/>
                <w:sz w:val="24"/>
                <w:szCs w:val="24"/>
              </w:rPr>
              <w:t>Providing students the opportunity to demonstrate English proficiency through DESE-approved assessments such as STAMP</w:t>
            </w:r>
            <w:r w:rsidR="00AC7C29">
              <w:rPr>
                <w:rFonts w:ascii="Arial" w:hAnsi="Arial" w:cs="Arial"/>
                <w:sz w:val="24"/>
                <w:szCs w:val="24"/>
              </w:rPr>
              <w:t xml:space="preserve">, </w:t>
            </w:r>
            <w:r w:rsidR="00546A4F" w:rsidRPr="00595A46">
              <w:rPr>
                <w:rFonts w:ascii="Arial" w:hAnsi="Arial" w:cs="Arial"/>
                <w:sz w:val="24"/>
                <w:szCs w:val="24"/>
              </w:rPr>
              <w:t>AAPPL</w:t>
            </w:r>
            <w:r w:rsidR="00AC7C29">
              <w:rPr>
                <w:rFonts w:ascii="Arial" w:hAnsi="Arial" w:cs="Arial"/>
                <w:sz w:val="24"/>
                <w:szCs w:val="24"/>
              </w:rPr>
              <w:t xml:space="preserve">, </w:t>
            </w:r>
            <w:r w:rsidR="003035E2">
              <w:rPr>
                <w:rFonts w:ascii="Arial" w:hAnsi="Arial" w:cs="Arial"/>
                <w:sz w:val="24"/>
                <w:szCs w:val="24"/>
              </w:rPr>
              <w:t>WIDA Model, or ACCESS for ELLs</w:t>
            </w:r>
            <w:r w:rsidR="00833C12" w:rsidRPr="00595A46">
              <w:rPr>
                <w:rFonts w:ascii="Arial" w:hAnsi="Arial" w:cs="Arial"/>
                <w:sz w:val="24"/>
                <w:szCs w:val="24"/>
              </w:rPr>
              <w:t xml:space="preserve"> </w:t>
            </w:r>
            <w:r w:rsidR="00DD3DB7" w:rsidRPr="00595A46">
              <w:rPr>
                <w:rFonts w:ascii="Arial" w:hAnsi="Arial" w:cs="Arial"/>
                <w:sz w:val="24"/>
                <w:szCs w:val="24"/>
              </w:rPr>
              <w:t xml:space="preserve">would </w:t>
            </w:r>
            <w:r w:rsidR="004A72CC" w:rsidRPr="00595A46">
              <w:rPr>
                <w:rFonts w:ascii="Arial" w:hAnsi="Arial" w:cs="Arial"/>
                <w:sz w:val="24"/>
                <w:szCs w:val="24"/>
              </w:rPr>
              <w:t>be fairer</w:t>
            </w:r>
            <w:r w:rsidR="00B428F7" w:rsidRPr="00595A46">
              <w:rPr>
                <w:rFonts w:ascii="Arial" w:hAnsi="Arial" w:cs="Arial"/>
                <w:sz w:val="24"/>
                <w:szCs w:val="24"/>
              </w:rPr>
              <w:t>, and provide a more accurate reflection of the bilingual accomplishments of ELs.</w:t>
            </w:r>
          </w:p>
          <w:p w14:paraId="03ED11F4" w14:textId="77777777" w:rsidR="00066DDE" w:rsidRPr="009A1CD7" w:rsidRDefault="00066DDE" w:rsidP="009A1CD7">
            <w:pPr>
              <w:spacing w:line="240" w:lineRule="auto"/>
              <w:rPr>
                <w:rFonts w:ascii="Arial" w:hAnsi="Arial" w:cs="Arial"/>
                <w:color w:val="000000"/>
                <w:sz w:val="24"/>
                <w:szCs w:val="24"/>
              </w:rPr>
            </w:pPr>
          </w:p>
        </w:tc>
        <w:tc>
          <w:tcPr>
            <w:tcW w:w="7195" w:type="dxa"/>
          </w:tcPr>
          <w:p w14:paraId="38D67790" w14:textId="7159C01A" w:rsidR="00066DDE" w:rsidRPr="003907C1" w:rsidRDefault="00844CB7" w:rsidP="009A1CD7">
            <w:pPr>
              <w:rPr>
                <w:rFonts w:ascii="Arial" w:eastAsia="Aptos" w:hAnsi="Arial" w:cs="Arial"/>
                <w:sz w:val="24"/>
                <w:szCs w:val="24"/>
              </w:rPr>
            </w:pPr>
            <w:r w:rsidRPr="0099539A">
              <w:rPr>
                <w:rFonts w:ascii="Arial" w:eastAsia="Aptos" w:hAnsi="Arial" w:cs="Arial"/>
                <w:sz w:val="24"/>
                <w:szCs w:val="24"/>
              </w:rPr>
              <w:t>No changes</w:t>
            </w:r>
            <w:r w:rsidR="00A26AE3">
              <w:rPr>
                <w:rFonts w:ascii="Arial" w:eastAsia="Aptos" w:hAnsi="Arial" w:cs="Arial"/>
                <w:sz w:val="24"/>
                <w:szCs w:val="24"/>
              </w:rPr>
              <w:t>.</w:t>
            </w:r>
            <w:r w:rsidRPr="0099539A">
              <w:rPr>
                <w:rFonts w:ascii="Arial" w:eastAsia="Aptos" w:hAnsi="Arial" w:cs="Arial"/>
                <w:sz w:val="24"/>
                <w:szCs w:val="24"/>
              </w:rPr>
              <w:t xml:space="preserve"> DESE will use the Racial Equity Decision Making Tool (REDT</w:t>
            </w:r>
            <w:r w:rsidRPr="00D61815">
              <w:rPr>
                <w:rFonts w:ascii="Arial" w:eastAsia="Aptos" w:hAnsi="Arial" w:cs="Arial"/>
                <w:sz w:val="24"/>
                <w:szCs w:val="24"/>
              </w:rPr>
              <w:t>)</w:t>
            </w:r>
            <w:r w:rsidR="00E43EB5" w:rsidRPr="00D61815">
              <w:rPr>
                <w:rFonts w:ascii="Arial" w:eastAsia="Aptos" w:hAnsi="Arial" w:cs="Arial"/>
                <w:sz w:val="24"/>
                <w:szCs w:val="24"/>
              </w:rPr>
              <w:t xml:space="preserve">, </w:t>
            </w:r>
            <w:r w:rsidR="004C1924" w:rsidRPr="00D61815">
              <w:rPr>
                <w:rFonts w:ascii="Arial" w:hAnsi="Arial" w:cs="Arial"/>
                <w:sz w:val="24"/>
                <w:szCs w:val="24"/>
              </w:rPr>
              <w:t xml:space="preserve">a planning tool with an intentional focus on ensuring racial equity </w:t>
            </w:r>
            <w:r w:rsidR="00671190" w:rsidRPr="00D61815">
              <w:rPr>
                <w:rFonts w:ascii="Arial" w:hAnsi="Arial" w:cs="Arial"/>
                <w:sz w:val="24"/>
                <w:szCs w:val="24"/>
              </w:rPr>
              <w:t xml:space="preserve">and stakeholder </w:t>
            </w:r>
            <w:r w:rsidR="00D61815" w:rsidRPr="00D61815">
              <w:rPr>
                <w:rFonts w:ascii="Arial" w:hAnsi="Arial" w:cs="Arial"/>
                <w:sz w:val="24"/>
                <w:szCs w:val="24"/>
              </w:rPr>
              <w:t xml:space="preserve">input </w:t>
            </w:r>
            <w:r w:rsidR="004C1924" w:rsidRPr="00D61815">
              <w:rPr>
                <w:rFonts w:ascii="Arial" w:hAnsi="Arial" w:cs="Arial"/>
                <w:sz w:val="24"/>
                <w:szCs w:val="24"/>
              </w:rPr>
              <w:t>within the project decision-making process</w:t>
            </w:r>
            <w:r w:rsidR="00492D6E">
              <w:rPr>
                <w:rFonts w:ascii="Arial" w:hAnsi="Arial" w:cs="Arial"/>
                <w:sz w:val="24"/>
                <w:szCs w:val="24"/>
              </w:rPr>
              <w:t>,</w:t>
            </w:r>
            <w:r w:rsidRPr="0099539A">
              <w:rPr>
                <w:rFonts w:ascii="Arial" w:eastAsia="Aptos" w:hAnsi="Arial" w:cs="Arial"/>
                <w:sz w:val="24"/>
                <w:szCs w:val="24"/>
              </w:rPr>
              <w:t xml:space="preserve"> in considering and approving assessments</w:t>
            </w:r>
            <w:r w:rsidR="00671190">
              <w:rPr>
                <w:rFonts w:ascii="Arial" w:eastAsia="Aptos" w:hAnsi="Arial" w:cs="Arial"/>
                <w:sz w:val="24"/>
                <w:szCs w:val="24"/>
              </w:rPr>
              <w:t xml:space="preserve">. </w:t>
            </w:r>
          </w:p>
        </w:tc>
      </w:tr>
      <w:tr w:rsidR="009A1CD7" w:rsidRPr="009A1CD7" w14:paraId="1ACF0E79" w14:textId="77777777" w:rsidTr="009A1CD7">
        <w:tc>
          <w:tcPr>
            <w:tcW w:w="7195" w:type="dxa"/>
          </w:tcPr>
          <w:p w14:paraId="0AB64BFB" w14:textId="77777777" w:rsidR="009A1CD7" w:rsidRPr="009A1CD7" w:rsidRDefault="009A1CD7" w:rsidP="009A1CD7">
            <w:pPr>
              <w:spacing w:line="240" w:lineRule="auto"/>
              <w:rPr>
                <w:rFonts w:ascii="Arial" w:hAnsi="Arial" w:cs="Arial"/>
                <w:color w:val="000000"/>
                <w:sz w:val="24"/>
                <w:szCs w:val="24"/>
              </w:rPr>
            </w:pPr>
            <w:r w:rsidRPr="009A1CD7">
              <w:rPr>
                <w:rFonts w:ascii="Arial" w:hAnsi="Arial" w:cs="Arial"/>
                <w:color w:val="000000"/>
                <w:sz w:val="24"/>
                <w:szCs w:val="24"/>
              </w:rPr>
              <w:t>DESE should issue clear guidance on how additional assessments will be reviewed and approved, including communication timelines and alignment criteria. Transparent guidance will help districts plan effectively, ensure consistency statewide, and build confidence in the integrity of the Seal.</w:t>
            </w:r>
          </w:p>
          <w:p w14:paraId="38F93517" w14:textId="77777777" w:rsidR="009A1CD7" w:rsidRPr="009A1CD7" w:rsidRDefault="009A1CD7" w:rsidP="009A1CD7">
            <w:pPr>
              <w:rPr>
                <w:rFonts w:ascii="Arial" w:eastAsia="Aptos" w:hAnsi="Arial" w:cs="Arial"/>
                <w:b/>
                <w:bCs/>
                <w:sz w:val="24"/>
                <w:szCs w:val="24"/>
              </w:rPr>
            </w:pPr>
          </w:p>
        </w:tc>
        <w:tc>
          <w:tcPr>
            <w:tcW w:w="7195" w:type="dxa"/>
          </w:tcPr>
          <w:p w14:paraId="4B767764" w14:textId="7544FA0D" w:rsidR="009A1CD7" w:rsidRPr="0099539A" w:rsidRDefault="00076DC2" w:rsidP="009A1CD7">
            <w:pPr>
              <w:rPr>
                <w:rFonts w:ascii="Arial" w:eastAsia="Aptos" w:hAnsi="Arial" w:cs="Arial"/>
                <w:sz w:val="24"/>
                <w:szCs w:val="24"/>
              </w:rPr>
            </w:pPr>
            <w:r w:rsidRPr="0099539A">
              <w:rPr>
                <w:rFonts w:ascii="Arial" w:eastAsia="Aptos" w:hAnsi="Arial" w:cs="Arial"/>
                <w:sz w:val="24"/>
                <w:szCs w:val="24"/>
              </w:rPr>
              <w:t>No changes</w:t>
            </w:r>
            <w:r w:rsidR="00A26AE3">
              <w:rPr>
                <w:rFonts w:ascii="Arial" w:eastAsia="Aptos" w:hAnsi="Arial" w:cs="Arial"/>
                <w:sz w:val="24"/>
                <w:szCs w:val="24"/>
              </w:rPr>
              <w:t>.</w:t>
            </w:r>
            <w:r w:rsidRPr="0099539A">
              <w:rPr>
                <w:rFonts w:ascii="Arial" w:eastAsia="Aptos" w:hAnsi="Arial" w:cs="Arial"/>
                <w:sz w:val="24"/>
                <w:szCs w:val="24"/>
              </w:rPr>
              <w:t xml:space="preserve"> DESE will </w:t>
            </w:r>
            <w:r w:rsidR="00B93EFE" w:rsidRPr="0099539A">
              <w:rPr>
                <w:rFonts w:ascii="Arial" w:eastAsia="Aptos" w:hAnsi="Arial" w:cs="Arial"/>
                <w:sz w:val="24"/>
                <w:szCs w:val="24"/>
              </w:rPr>
              <w:t xml:space="preserve">use </w:t>
            </w:r>
            <w:r w:rsidR="00306E50" w:rsidRPr="0099539A">
              <w:rPr>
                <w:rFonts w:ascii="Arial" w:eastAsia="Aptos" w:hAnsi="Arial" w:cs="Arial"/>
                <w:sz w:val="24"/>
                <w:szCs w:val="24"/>
              </w:rPr>
              <w:t xml:space="preserve">the Racial Equity </w:t>
            </w:r>
            <w:r w:rsidR="00586F98" w:rsidRPr="0099539A">
              <w:rPr>
                <w:rFonts w:ascii="Arial" w:eastAsia="Aptos" w:hAnsi="Arial" w:cs="Arial"/>
                <w:sz w:val="24"/>
                <w:szCs w:val="24"/>
              </w:rPr>
              <w:t>Decision Making Tool (</w:t>
            </w:r>
            <w:r w:rsidR="00B93EFE" w:rsidRPr="0099539A">
              <w:rPr>
                <w:rFonts w:ascii="Arial" w:eastAsia="Aptos" w:hAnsi="Arial" w:cs="Arial"/>
                <w:sz w:val="24"/>
                <w:szCs w:val="24"/>
              </w:rPr>
              <w:t>REDT</w:t>
            </w:r>
            <w:r w:rsidR="00586F98" w:rsidRPr="0099539A">
              <w:rPr>
                <w:rFonts w:ascii="Arial" w:eastAsia="Aptos" w:hAnsi="Arial" w:cs="Arial"/>
                <w:sz w:val="24"/>
                <w:szCs w:val="24"/>
              </w:rPr>
              <w:t>)</w:t>
            </w:r>
            <w:r w:rsidR="00B93EFE" w:rsidRPr="0099539A">
              <w:rPr>
                <w:rFonts w:ascii="Arial" w:eastAsia="Aptos" w:hAnsi="Arial" w:cs="Arial"/>
                <w:sz w:val="24"/>
                <w:szCs w:val="24"/>
              </w:rPr>
              <w:t xml:space="preserve"> in considering and approving assessments and communicating </w:t>
            </w:r>
            <w:r w:rsidR="00A722ED" w:rsidRPr="0099539A">
              <w:rPr>
                <w:rFonts w:ascii="Arial" w:eastAsia="Aptos" w:hAnsi="Arial" w:cs="Arial"/>
                <w:sz w:val="24"/>
                <w:szCs w:val="24"/>
              </w:rPr>
              <w:t>changes or additions to the field</w:t>
            </w:r>
            <w:r w:rsidR="00690CF9">
              <w:rPr>
                <w:rFonts w:ascii="Arial" w:eastAsia="Aptos" w:hAnsi="Arial" w:cs="Arial"/>
                <w:sz w:val="24"/>
                <w:szCs w:val="24"/>
              </w:rPr>
              <w:t xml:space="preserve"> via guidance.</w:t>
            </w:r>
          </w:p>
        </w:tc>
      </w:tr>
      <w:tr w:rsidR="009A1CD7" w:rsidRPr="009A1CD7" w14:paraId="5557E224" w14:textId="77777777" w:rsidTr="009A1CD7">
        <w:tc>
          <w:tcPr>
            <w:tcW w:w="7195" w:type="dxa"/>
          </w:tcPr>
          <w:p w14:paraId="0E8D8912" w14:textId="77777777" w:rsidR="009A1CD7" w:rsidRPr="009A1CD7" w:rsidRDefault="009A1CD7" w:rsidP="009A1CD7">
            <w:pPr>
              <w:spacing w:line="240" w:lineRule="auto"/>
              <w:rPr>
                <w:rFonts w:ascii="Arial" w:hAnsi="Arial" w:cs="Arial"/>
                <w:color w:val="000000"/>
                <w:sz w:val="24"/>
                <w:szCs w:val="24"/>
              </w:rPr>
            </w:pPr>
            <w:r w:rsidRPr="009A1CD7">
              <w:rPr>
                <w:rFonts w:ascii="Arial" w:hAnsi="Arial" w:cs="Arial"/>
                <w:color w:val="000000"/>
                <w:sz w:val="24"/>
                <w:szCs w:val="24"/>
              </w:rPr>
              <w:t>When the Department identifies additional "nationally recognized or readily available assessments" to measure English Proficiency, we urge the Department to consult with educators implementing the Seal to create equitable and effective assessments that build on existing practices and to avoid unnecessary additional testing.</w:t>
            </w:r>
          </w:p>
          <w:p w14:paraId="146AF4F4" w14:textId="77777777" w:rsidR="009A1CD7" w:rsidRPr="009A1CD7" w:rsidRDefault="009A1CD7" w:rsidP="009A1CD7">
            <w:pPr>
              <w:rPr>
                <w:rFonts w:ascii="Arial" w:eastAsia="Aptos" w:hAnsi="Arial" w:cs="Arial"/>
                <w:b/>
                <w:bCs/>
                <w:sz w:val="24"/>
                <w:szCs w:val="24"/>
              </w:rPr>
            </w:pPr>
          </w:p>
        </w:tc>
        <w:tc>
          <w:tcPr>
            <w:tcW w:w="7195" w:type="dxa"/>
          </w:tcPr>
          <w:p w14:paraId="6643E292" w14:textId="2AD4C5FC" w:rsidR="009A1CD7" w:rsidRPr="0099539A" w:rsidRDefault="00773264" w:rsidP="009A1CD7">
            <w:pPr>
              <w:rPr>
                <w:rFonts w:ascii="Arial" w:eastAsia="Aptos" w:hAnsi="Arial" w:cs="Arial"/>
                <w:sz w:val="24"/>
                <w:szCs w:val="24"/>
              </w:rPr>
            </w:pPr>
            <w:r w:rsidRPr="0099539A">
              <w:rPr>
                <w:rFonts w:ascii="Arial" w:eastAsia="Aptos" w:hAnsi="Arial" w:cs="Arial"/>
                <w:sz w:val="24"/>
                <w:szCs w:val="24"/>
              </w:rPr>
              <w:t>No changes</w:t>
            </w:r>
            <w:r w:rsidR="00A26AE3">
              <w:rPr>
                <w:rFonts w:ascii="Arial" w:eastAsia="Aptos" w:hAnsi="Arial" w:cs="Arial"/>
                <w:sz w:val="24"/>
                <w:szCs w:val="24"/>
              </w:rPr>
              <w:t>.</w:t>
            </w:r>
            <w:r w:rsidRPr="0099539A">
              <w:rPr>
                <w:rFonts w:ascii="Arial" w:eastAsia="Aptos" w:hAnsi="Arial" w:cs="Arial"/>
                <w:sz w:val="24"/>
                <w:szCs w:val="24"/>
              </w:rPr>
              <w:t xml:space="preserve"> DESE will use the Racial Equity Decision Making Tool (REDT) in considering and approving assessments and communicating changes or additions to the field</w:t>
            </w:r>
            <w:r>
              <w:rPr>
                <w:rFonts w:ascii="Arial" w:eastAsia="Aptos" w:hAnsi="Arial" w:cs="Arial"/>
                <w:sz w:val="24"/>
                <w:szCs w:val="24"/>
              </w:rPr>
              <w:t xml:space="preserve"> via guidance.</w:t>
            </w:r>
          </w:p>
        </w:tc>
      </w:tr>
    </w:tbl>
    <w:p w14:paraId="396D7659" w14:textId="77777777" w:rsidR="00560E3D" w:rsidRPr="00DE32B1" w:rsidRDefault="00560E3D" w:rsidP="00F706B1">
      <w:pPr>
        <w:rPr>
          <w:rFonts w:ascii="Arial" w:hAnsi="Arial" w:cs="Arial"/>
        </w:rPr>
      </w:pPr>
    </w:p>
    <w:p w14:paraId="2F7E8E95" w14:textId="0757CD47" w:rsidR="0025135D" w:rsidRDefault="0025135D" w:rsidP="0065410D">
      <w:pPr>
        <w:pStyle w:val="Heading3"/>
        <w:rPr>
          <w:rFonts w:ascii="Arial" w:hAnsi="Arial" w:cs="Arial"/>
          <w:color w:val="auto"/>
        </w:rPr>
      </w:pPr>
      <w:r w:rsidRPr="00526C67">
        <w:rPr>
          <w:rFonts w:ascii="Arial" w:hAnsi="Arial" w:cs="Arial"/>
          <w:color w:val="auto"/>
        </w:rPr>
        <w:t>Other Comments</w:t>
      </w:r>
    </w:p>
    <w:tbl>
      <w:tblPr>
        <w:tblStyle w:val="TableGrid"/>
        <w:tblW w:w="0" w:type="auto"/>
        <w:tblLook w:val="04A0" w:firstRow="1" w:lastRow="0" w:firstColumn="1" w:lastColumn="0" w:noHBand="0" w:noVBand="1"/>
      </w:tblPr>
      <w:tblGrid>
        <w:gridCol w:w="7195"/>
        <w:gridCol w:w="7195"/>
      </w:tblGrid>
      <w:tr w:rsidR="00C839B1" w:rsidRPr="0048405B" w14:paraId="78D4A134" w14:textId="77777777" w:rsidTr="1FE7393C">
        <w:tc>
          <w:tcPr>
            <w:tcW w:w="7195" w:type="dxa"/>
            <w:shd w:val="clear" w:color="auto" w:fill="BDD6EE" w:themeFill="accent5" w:themeFillTint="66"/>
          </w:tcPr>
          <w:p w14:paraId="70F59A78" w14:textId="341F27E9" w:rsidR="00C839B1" w:rsidRPr="0048405B" w:rsidRDefault="004F1699" w:rsidP="00C839B1">
            <w:pPr>
              <w:rPr>
                <w:rFonts w:ascii="Arial" w:hAnsi="Arial" w:cs="Arial"/>
                <w:b/>
                <w:bCs/>
                <w:sz w:val="24"/>
                <w:szCs w:val="24"/>
              </w:rPr>
            </w:pPr>
            <w:r w:rsidRPr="0048405B">
              <w:rPr>
                <w:rFonts w:ascii="Arial" w:hAnsi="Arial" w:cs="Arial"/>
                <w:b/>
                <w:bCs/>
                <w:sz w:val="24"/>
                <w:szCs w:val="24"/>
              </w:rPr>
              <w:t>Public Comment Received</w:t>
            </w:r>
          </w:p>
        </w:tc>
        <w:tc>
          <w:tcPr>
            <w:tcW w:w="7195" w:type="dxa"/>
            <w:shd w:val="clear" w:color="auto" w:fill="BDD6EE" w:themeFill="accent5" w:themeFillTint="66"/>
          </w:tcPr>
          <w:p w14:paraId="1933F1EC" w14:textId="643F5BB9" w:rsidR="00C839B1" w:rsidRPr="0048405B" w:rsidRDefault="004F1699" w:rsidP="00C839B1">
            <w:pPr>
              <w:rPr>
                <w:rFonts w:ascii="Arial" w:hAnsi="Arial" w:cs="Arial"/>
                <w:b/>
                <w:bCs/>
                <w:sz w:val="24"/>
                <w:szCs w:val="24"/>
              </w:rPr>
            </w:pPr>
            <w:r w:rsidRPr="0048405B">
              <w:rPr>
                <w:rFonts w:ascii="Arial" w:hAnsi="Arial" w:cs="Arial"/>
                <w:b/>
                <w:bCs/>
                <w:sz w:val="24"/>
                <w:szCs w:val="24"/>
              </w:rPr>
              <w:t>Department’s Response</w:t>
            </w:r>
          </w:p>
        </w:tc>
      </w:tr>
      <w:tr w:rsidR="003B7E47" w:rsidRPr="0048405B" w14:paraId="2C39553F" w14:textId="77777777" w:rsidTr="1FE7393C">
        <w:tc>
          <w:tcPr>
            <w:tcW w:w="7195" w:type="dxa"/>
          </w:tcPr>
          <w:p w14:paraId="28D540B6" w14:textId="1FB363F8" w:rsidR="003B7E47" w:rsidRPr="0048405B" w:rsidRDefault="00ED3553" w:rsidP="008A7089">
            <w:pPr>
              <w:rPr>
                <w:rFonts w:ascii="Arial" w:hAnsi="Arial" w:cs="Arial"/>
                <w:color w:val="000000"/>
                <w:sz w:val="24"/>
                <w:szCs w:val="24"/>
              </w:rPr>
            </w:pPr>
            <w:r w:rsidRPr="003B7E47">
              <w:rPr>
                <w:rFonts w:ascii="Arial" w:hAnsi="Arial" w:cs="Arial"/>
                <w:color w:val="000000"/>
                <w:sz w:val="24"/>
                <w:szCs w:val="24"/>
              </w:rPr>
              <w:t xml:space="preserve">Currently, the district can only indicate one </w:t>
            </w:r>
            <w:r w:rsidR="004165F3">
              <w:rPr>
                <w:rFonts w:ascii="Arial" w:hAnsi="Arial" w:cs="Arial"/>
                <w:color w:val="000000"/>
                <w:sz w:val="24"/>
                <w:szCs w:val="24"/>
              </w:rPr>
              <w:t>Seal language</w:t>
            </w:r>
            <w:r w:rsidRPr="003B7E47">
              <w:rPr>
                <w:rFonts w:ascii="Arial" w:hAnsi="Arial" w:cs="Arial"/>
                <w:color w:val="000000"/>
                <w:sz w:val="24"/>
                <w:szCs w:val="24"/>
              </w:rPr>
              <w:t xml:space="preserve"> per</w:t>
            </w:r>
            <w:r>
              <w:rPr>
                <w:rFonts w:ascii="Arial" w:hAnsi="Arial" w:cs="Arial"/>
                <w:color w:val="000000"/>
                <w:sz w:val="24"/>
                <w:szCs w:val="24"/>
              </w:rPr>
              <w:t xml:space="preserve"> </w:t>
            </w:r>
            <w:r w:rsidRPr="003B7E47">
              <w:rPr>
                <w:rFonts w:ascii="Arial" w:hAnsi="Arial" w:cs="Arial"/>
                <w:color w:val="000000"/>
                <w:sz w:val="24"/>
                <w:szCs w:val="24"/>
              </w:rPr>
              <w:t xml:space="preserve">student </w:t>
            </w:r>
            <w:r w:rsidR="004165F3">
              <w:rPr>
                <w:rFonts w:ascii="Arial" w:hAnsi="Arial" w:cs="Arial"/>
                <w:color w:val="000000"/>
                <w:sz w:val="24"/>
                <w:szCs w:val="24"/>
              </w:rPr>
              <w:t>in</w:t>
            </w:r>
            <w:r w:rsidRPr="003B7E47">
              <w:rPr>
                <w:rFonts w:ascii="Arial" w:hAnsi="Arial" w:cs="Arial"/>
                <w:color w:val="000000"/>
                <w:sz w:val="24"/>
                <w:szCs w:val="24"/>
              </w:rPr>
              <w:t xml:space="preserve"> SIMS. </w:t>
            </w:r>
            <w:r w:rsidR="004165F3">
              <w:rPr>
                <w:rFonts w:ascii="Arial" w:hAnsi="Arial" w:cs="Arial"/>
                <w:color w:val="000000"/>
                <w:sz w:val="24"/>
                <w:szCs w:val="24"/>
              </w:rPr>
              <w:t>How can we document when a student qualifies for the Seal in multiple languages?</w:t>
            </w:r>
          </w:p>
        </w:tc>
        <w:tc>
          <w:tcPr>
            <w:tcW w:w="7195" w:type="dxa"/>
          </w:tcPr>
          <w:p w14:paraId="18205A6A" w14:textId="4C4CC226" w:rsidR="003B7E47" w:rsidRDefault="3CFD5ECC" w:rsidP="004F1699">
            <w:pPr>
              <w:rPr>
                <w:rFonts w:ascii="Arial" w:hAnsi="Arial" w:cs="Arial"/>
                <w:sz w:val="24"/>
                <w:szCs w:val="24"/>
              </w:rPr>
            </w:pPr>
            <w:r w:rsidRPr="1FE7393C">
              <w:rPr>
                <w:rFonts w:ascii="Arial" w:hAnsi="Arial" w:cs="Arial"/>
                <w:sz w:val="24"/>
                <w:szCs w:val="24"/>
              </w:rPr>
              <w:t>Change. Include a provision in</w:t>
            </w:r>
            <w:r w:rsidR="3D5D7E37" w:rsidRPr="1FE7393C">
              <w:rPr>
                <w:rFonts w:ascii="Arial" w:hAnsi="Arial" w:cs="Arial"/>
                <w:sz w:val="24"/>
                <w:szCs w:val="24"/>
              </w:rPr>
              <w:t xml:space="preserve"> the regulations requiring </w:t>
            </w:r>
            <w:r w:rsidR="6A61DC71" w:rsidRPr="1FE7393C">
              <w:rPr>
                <w:rFonts w:ascii="Arial" w:hAnsi="Arial" w:cs="Arial"/>
                <w:sz w:val="24"/>
                <w:szCs w:val="24"/>
              </w:rPr>
              <w:t>districts to report</w:t>
            </w:r>
            <w:r w:rsidR="2DB5A8F0" w:rsidRPr="1FE7393C">
              <w:rPr>
                <w:rFonts w:ascii="Arial" w:hAnsi="Arial" w:cs="Arial"/>
                <w:sz w:val="24"/>
                <w:szCs w:val="24"/>
              </w:rPr>
              <w:t xml:space="preserve"> this data</w:t>
            </w:r>
            <w:r w:rsidR="529BF0D0" w:rsidRPr="1FE7393C">
              <w:rPr>
                <w:rFonts w:ascii="Arial" w:hAnsi="Arial" w:cs="Arial"/>
                <w:sz w:val="24"/>
                <w:szCs w:val="24"/>
              </w:rPr>
              <w:t xml:space="preserve"> annually</w:t>
            </w:r>
            <w:r w:rsidR="2DB5A8F0" w:rsidRPr="1FE7393C">
              <w:rPr>
                <w:rFonts w:ascii="Arial" w:hAnsi="Arial" w:cs="Arial"/>
                <w:sz w:val="24"/>
                <w:szCs w:val="24"/>
              </w:rPr>
              <w:t xml:space="preserve"> </w:t>
            </w:r>
            <w:r w:rsidR="1222AE1A" w:rsidRPr="1FE7393C">
              <w:rPr>
                <w:rFonts w:ascii="Arial" w:hAnsi="Arial" w:cs="Arial"/>
                <w:sz w:val="24"/>
                <w:szCs w:val="24"/>
              </w:rPr>
              <w:t>(a</w:t>
            </w:r>
            <w:r w:rsidR="432C9296" w:rsidRPr="1FE7393C">
              <w:rPr>
                <w:rFonts w:ascii="Arial" w:hAnsi="Arial" w:cs="Arial"/>
                <w:sz w:val="24"/>
                <w:szCs w:val="24"/>
              </w:rPr>
              <w:t xml:space="preserve">ll languages in which the Seal has been earned). </w:t>
            </w:r>
          </w:p>
        </w:tc>
      </w:tr>
      <w:tr w:rsidR="004F1699" w:rsidRPr="0048405B" w14:paraId="4062CA82" w14:textId="77777777" w:rsidTr="1FE7393C">
        <w:tc>
          <w:tcPr>
            <w:tcW w:w="7195" w:type="dxa"/>
          </w:tcPr>
          <w:p w14:paraId="10394A1F" w14:textId="7B11278E" w:rsidR="004F1699" w:rsidRPr="0048405B" w:rsidRDefault="004F1699" w:rsidP="004F1699">
            <w:pPr>
              <w:rPr>
                <w:rFonts w:ascii="Arial" w:hAnsi="Arial" w:cs="Arial"/>
                <w:sz w:val="24"/>
                <w:szCs w:val="24"/>
              </w:rPr>
            </w:pPr>
            <w:r w:rsidRPr="0048405B">
              <w:rPr>
                <w:rFonts w:ascii="Arial" w:hAnsi="Arial" w:cs="Arial"/>
                <w:color w:val="000000"/>
                <w:sz w:val="24"/>
                <w:szCs w:val="24"/>
              </w:rPr>
              <w:lastRenderedPageBreak/>
              <w:t xml:space="preserve">There should be clear delineation of who/what district department is responsible for each aspect of Seal of Biliteracy records and assessments.  </w:t>
            </w:r>
          </w:p>
        </w:tc>
        <w:tc>
          <w:tcPr>
            <w:tcW w:w="7195" w:type="dxa"/>
          </w:tcPr>
          <w:p w14:paraId="00DD2F0E" w14:textId="5A040FE2" w:rsidR="004F1699" w:rsidRPr="0048405B" w:rsidRDefault="556169CE" w:rsidP="004F1699">
            <w:pPr>
              <w:rPr>
                <w:rFonts w:ascii="Arial" w:hAnsi="Arial" w:cs="Arial"/>
                <w:sz w:val="24"/>
                <w:szCs w:val="24"/>
              </w:rPr>
            </w:pPr>
            <w:r w:rsidRPr="1FE7393C">
              <w:rPr>
                <w:rFonts w:ascii="Arial" w:hAnsi="Arial" w:cs="Arial"/>
                <w:sz w:val="24"/>
                <w:szCs w:val="24"/>
              </w:rPr>
              <w:t xml:space="preserve">No changes. </w:t>
            </w:r>
            <w:r w:rsidR="2D2C96B1" w:rsidRPr="1FE7393C">
              <w:rPr>
                <w:rFonts w:ascii="Arial" w:hAnsi="Arial" w:cs="Arial"/>
                <w:sz w:val="24"/>
                <w:szCs w:val="24"/>
              </w:rPr>
              <w:t xml:space="preserve">This falls outside the scope of the amendments and </w:t>
            </w:r>
            <w:r w:rsidR="6B31009C" w:rsidRPr="1FE7393C">
              <w:rPr>
                <w:rFonts w:ascii="Arial" w:hAnsi="Arial" w:cs="Arial"/>
                <w:sz w:val="24"/>
                <w:szCs w:val="24"/>
              </w:rPr>
              <w:t xml:space="preserve">DESE </w:t>
            </w:r>
            <w:r w:rsidR="691DF95C" w:rsidRPr="1FE7393C">
              <w:rPr>
                <w:rFonts w:ascii="Arial" w:hAnsi="Arial" w:cs="Arial"/>
                <w:sz w:val="24"/>
                <w:szCs w:val="24"/>
              </w:rPr>
              <w:t>note</w:t>
            </w:r>
            <w:r w:rsidR="6B31009C" w:rsidRPr="1FE7393C">
              <w:rPr>
                <w:rFonts w:ascii="Arial" w:hAnsi="Arial" w:cs="Arial"/>
                <w:sz w:val="24"/>
                <w:szCs w:val="24"/>
              </w:rPr>
              <w:t>s</w:t>
            </w:r>
            <w:r w:rsidR="691DF95C" w:rsidRPr="1FE7393C">
              <w:rPr>
                <w:rFonts w:ascii="Arial" w:hAnsi="Arial" w:cs="Arial"/>
                <w:sz w:val="24"/>
                <w:szCs w:val="24"/>
              </w:rPr>
              <w:t xml:space="preserve"> that</w:t>
            </w:r>
            <w:r w:rsidR="552A9039" w:rsidRPr="1FE7393C">
              <w:rPr>
                <w:rFonts w:ascii="Arial" w:hAnsi="Arial" w:cs="Arial"/>
                <w:sz w:val="24"/>
                <w:szCs w:val="24"/>
              </w:rPr>
              <w:t xml:space="preserve"> these decisions are best</w:t>
            </w:r>
            <w:r w:rsidR="0E7E1A43" w:rsidRPr="1FE7393C">
              <w:rPr>
                <w:rFonts w:ascii="Arial" w:hAnsi="Arial" w:cs="Arial"/>
                <w:sz w:val="24"/>
                <w:szCs w:val="24"/>
              </w:rPr>
              <w:t xml:space="preserve"> made at the district level.</w:t>
            </w:r>
          </w:p>
        </w:tc>
      </w:tr>
      <w:tr w:rsidR="004F1699" w:rsidRPr="0048405B" w14:paraId="3D67DCA6" w14:textId="77777777" w:rsidTr="1FE7393C">
        <w:tc>
          <w:tcPr>
            <w:tcW w:w="7195" w:type="dxa"/>
          </w:tcPr>
          <w:p w14:paraId="28FFAD54" w14:textId="400FD5FE" w:rsidR="004F1699" w:rsidRPr="0048405B" w:rsidRDefault="004F1699" w:rsidP="002329D1">
            <w:pPr>
              <w:spacing w:line="240" w:lineRule="auto"/>
              <w:rPr>
                <w:rFonts w:ascii="Arial" w:hAnsi="Arial" w:cs="Arial"/>
                <w:sz w:val="24"/>
                <w:szCs w:val="24"/>
              </w:rPr>
            </w:pPr>
            <w:r w:rsidRPr="0048405B">
              <w:rPr>
                <w:rFonts w:ascii="Arial" w:hAnsi="Arial" w:cs="Arial"/>
                <w:color w:val="000000"/>
                <w:sz w:val="24"/>
                <w:szCs w:val="24"/>
              </w:rPr>
              <w:t>Private school students should have access to the Seal of Biliteracy.</w:t>
            </w:r>
          </w:p>
        </w:tc>
        <w:tc>
          <w:tcPr>
            <w:tcW w:w="7195" w:type="dxa"/>
          </w:tcPr>
          <w:p w14:paraId="73A9351F" w14:textId="1E9DF0AA" w:rsidR="004F1699" w:rsidRPr="0048405B" w:rsidRDefault="00B50EFA" w:rsidP="004F1699">
            <w:pPr>
              <w:rPr>
                <w:rFonts w:ascii="Arial" w:hAnsi="Arial" w:cs="Arial"/>
                <w:sz w:val="24"/>
                <w:szCs w:val="24"/>
              </w:rPr>
            </w:pPr>
            <w:r>
              <w:rPr>
                <w:rFonts w:ascii="Arial" w:hAnsi="Arial" w:cs="Arial"/>
                <w:sz w:val="24"/>
                <w:szCs w:val="24"/>
              </w:rPr>
              <w:t>No changes</w:t>
            </w:r>
            <w:r w:rsidR="00B65C77">
              <w:rPr>
                <w:rFonts w:ascii="Arial" w:hAnsi="Arial" w:cs="Arial"/>
                <w:sz w:val="24"/>
                <w:szCs w:val="24"/>
              </w:rPr>
              <w:t xml:space="preserve">. </w:t>
            </w:r>
            <w:r w:rsidR="00644038">
              <w:rPr>
                <w:rFonts w:ascii="Arial" w:hAnsi="Arial" w:cs="Arial"/>
                <w:sz w:val="24"/>
                <w:szCs w:val="24"/>
              </w:rPr>
              <w:t xml:space="preserve">DESE’s </w:t>
            </w:r>
            <w:r w:rsidR="009B5A26">
              <w:rPr>
                <w:rFonts w:ascii="Arial" w:hAnsi="Arial" w:cs="Arial"/>
                <w:sz w:val="24"/>
                <w:szCs w:val="24"/>
              </w:rPr>
              <w:t>approval</w:t>
            </w:r>
            <w:r w:rsidR="00644038">
              <w:rPr>
                <w:rFonts w:ascii="Arial" w:hAnsi="Arial" w:cs="Arial"/>
                <w:sz w:val="24"/>
                <w:szCs w:val="24"/>
              </w:rPr>
              <w:t xml:space="preserve"> of a</w:t>
            </w:r>
            <w:r w:rsidR="00F844E4">
              <w:rPr>
                <w:rFonts w:ascii="Arial" w:hAnsi="Arial" w:cs="Arial"/>
                <w:sz w:val="24"/>
                <w:szCs w:val="24"/>
              </w:rPr>
              <w:t xml:space="preserve">dditional </w:t>
            </w:r>
            <w:r w:rsidR="00C939E4">
              <w:rPr>
                <w:rFonts w:ascii="Arial" w:hAnsi="Arial" w:cs="Arial"/>
                <w:sz w:val="24"/>
                <w:szCs w:val="24"/>
              </w:rPr>
              <w:t xml:space="preserve">English </w:t>
            </w:r>
            <w:r w:rsidR="00671744">
              <w:rPr>
                <w:rFonts w:ascii="Arial" w:hAnsi="Arial" w:cs="Arial"/>
                <w:sz w:val="24"/>
                <w:szCs w:val="24"/>
              </w:rPr>
              <w:t>proficiency assessment options will provide access to private schools</w:t>
            </w:r>
            <w:r w:rsidR="00654D22">
              <w:rPr>
                <w:rFonts w:ascii="Arial" w:hAnsi="Arial" w:cs="Arial"/>
                <w:sz w:val="24"/>
                <w:szCs w:val="24"/>
              </w:rPr>
              <w:t xml:space="preserve"> who </w:t>
            </w:r>
            <w:r w:rsidR="00F62B1C">
              <w:rPr>
                <w:rFonts w:ascii="Arial" w:hAnsi="Arial" w:cs="Arial"/>
                <w:sz w:val="24"/>
                <w:szCs w:val="24"/>
              </w:rPr>
              <w:t>wish to award the Seal to qualified students</w:t>
            </w:r>
            <w:r w:rsidR="00671744">
              <w:rPr>
                <w:rFonts w:ascii="Arial" w:hAnsi="Arial" w:cs="Arial"/>
                <w:sz w:val="24"/>
                <w:szCs w:val="24"/>
              </w:rPr>
              <w:t xml:space="preserve">. </w:t>
            </w:r>
          </w:p>
        </w:tc>
      </w:tr>
      <w:tr w:rsidR="004F1699" w:rsidRPr="0048405B" w14:paraId="2A6DE5A2" w14:textId="77777777" w:rsidTr="1FE7393C">
        <w:tc>
          <w:tcPr>
            <w:tcW w:w="7195" w:type="dxa"/>
          </w:tcPr>
          <w:p w14:paraId="5DF32183" w14:textId="30F822DD" w:rsidR="004F1699" w:rsidRPr="0048405B" w:rsidRDefault="004F1699" w:rsidP="0026358F">
            <w:pPr>
              <w:spacing w:line="240" w:lineRule="auto"/>
              <w:rPr>
                <w:rFonts w:ascii="Arial" w:hAnsi="Arial" w:cs="Arial"/>
                <w:sz w:val="24"/>
                <w:szCs w:val="24"/>
              </w:rPr>
            </w:pPr>
            <w:r w:rsidRPr="00AB763C">
              <w:rPr>
                <w:rFonts w:ascii="Arial" w:hAnsi="Arial" w:cs="Arial"/>
                <w:color w:val="000000"/>
                <w:sz w:val="24"/>
                <w:szCs w:val="24"/>
              </w:rPr>
              <w:t xml:space="preserve">The criteria for the Seal of Biliteracy are not equitable because Category I languages such as French and Spanish are held to the same proficiency benchmark as Category IV languages, including Mandarin Chinese, Japanese, and Korean. Given the significant differences in linguistic complexity and the time required for English speakers to achieve comparable proficiency across these categories, </w:t>
            </w:r>
            <w:r w:rsidR="00CF2346">
              <w:rPr>
                <w:rFonts w:ascii="Arial" w:hAnsi="Arial" w:cs="Arial"/>
                <w:color w:val="000000"/>
                <w:sz w:val="24"/>
                <w:szCs w:val="24"/>
              </w:rPr>
              <w:t xml:space="preserve">DESE should </w:t>
            </w:r>
            <w:r w:rsidRPr="00AB763C">
              <w:rPr>
                <w:rFonts w:ascii="Arial" w:hAnsi="Arial" w:cs="Arial"/>
                <w:color w:val="000000"/>
                <w:sz w:val="24"/>
                <w:szCs w:val="24"/>
              </w:rPr>
              <w:t>adopt differentiated passing standards that align with established language difficulty classifications. This adjustment would ensure a fair and accurate assessment of student achievement across all languages.</w:t>
            </w:r>
          </w:p>
        </w:tc>
        <w:tc>
          <w:tcPr>
            <w:tcW w:w="7195" w:type="dxa"/>
          </w:tcPr>
          <w:p w14:paraId="5359786E" w14:textId="2AE1BC0C" w:rsidR="004F1699" w:rsidRPr="0048405B" w:rsidRDefault="0084570D" w:rsidP="004F1699">
            <w:pPr>
              <w:rPr>
                <w:rFonts w:ascii="Arial" w:hAnsi="Arial" w:cs="Arial"/>
                <w:sz w:val="24"/>
                <w:szCs w:val="24"/>
              </w:rPr>
            </w:pPr>
            <w:r>
              <w:rPr>
                <w:rFonts w:ascii="Arial" w:hAnsi="Arial" w:cs="Arial"/>
                <w:sz w:val="24"/>
                <w:szCs w:val="24"/>
              </w:rPr>
              <w:t>No changes. This is not within the scope of the proposed amendments</w:t>
            </w:r>
            <w:r w:rsidR="00FB2C92">
              <w:rPr>
                <w:rFonts w:ascii="Arial" w:hAnsi="Arial" w:cs="Arial"/>
                <w:sz w:val="24"/>
                <w:szCs w:val="24"/>
              </w:rPr>
              <w:t xml:space="preserve">. </w:t>
            </w:r>
          </w:p>
        </w:tc>
      </w:tr>
      <w:tr w:rsidR="00DE66C2" w:rsidRPr="0048405B" w14:paraId="7D280417" w14:textId="77777777" w:rsidTr="1FE7393C">
        <w:tc>
          <w:tcPr>
            <w:tcW w:w="7195" w:type="dxa"/>
          </w:tcPr>
          <w:p w14:paraId="1BB4E917" w14:textId="62A91539" w:rsidR="00DE66C2" w:rsidRPr="00AB763C" w:rsidRDefault="00DE66C2" w:rsidP="0026358F">
            <w:pPr>
              <w:spacing w:line="240" w:lineRule="auto"/>
              <w:rPr>
                <w:rFonts w:ascii="Arial" w:hAnsi="Arial" w:cs="Arial"/>
                <w:color w:val="000000"/>
                <w:sz w:val="24"/>
                <w:szCs w:val="24"/>
              </w:rPr>
            </w:pPr>
            <w:r w:rsidRPr="0048405B">
              <w:rPr>
                <w:rFonts w:ascii="Arial" w:hAnsi="Arial" w:cs="Arial"/>
                <w:color w:val="000000"/>
                <w:sz w:val="24"/>
                <w:szCs w:val="24"/>
              </w:rPr>
              <w:t>We urge the Board of Education to approve the amended regulations to take effect immediately for students in the 2026 graduating class.</w:t>
            </w:r>
          </w:p>
        </w:tc>
        <w:tc>
          <w:tcPr>
            <w:tcW w:w="7195" w:type="dxa"/>
          </w:tcPr>
          <w:p w14:paraId="065EC7EA" w14:textId="7C86617E" w:rsidR="00DE66C2" w:rsidRDefault="00DE66C2" w:rsidP="004F1699">
            <w:pPr>
              <w:rPr>
                <w:rFonts w:ascii="Arial" w:hAnsi="Arial" w:cs="Arial"/>
                <w:sz w:val="24"/>
                <w:szCs w:val="24"/>
              </w:rPr>
            </w:pPr>
            <w:r>
              <w:rPr>
                <w:rFonts w:ascii="Arial" w:hAnsi="Arial" w:cs="Arial"/>
                <w:sz w:val="24"/>
                <w:szCs w:val="24"/>
              </w:rPr>
              <w:t xml:space="preserve">No changes. </w:t>
            </w:r>
            <w:r w:rsidR="00A87E19">
              <w:rPr>
                <w:rFonts w:ascii="Arial" w:hAnsi="Arial" w:cs="Arial"/>
                <w:sz w:val="24"/>
                <w:szCs w:val="24"/>
              </w:rPr>
              <w:t xml:space="preserve">DESE will do everything in its power to implement these changes as soon as possible. </w:t>
            </w:r>
          </w:p>
        </w:tc>
      </w:tr>
    </w:tbl>
    <w:p w14:paraId="79E6F9E0" w14:textId="77777777" w:rsidR="00A01A76" w:rsidRDefault="00A01A76" w:rsidP="00F706B1">
      <w:pPr>
        <w:rPr>
          <w:rStyle w:val="Heading3Char"/>
          <w:rFonts w:ascii="Arial" w:hAnsi="Arial" w:cs="Arial"/>
          <w:color w:val="auto"/>
        </w:rPr>
      </w:pPr>
    </w:p>
    <w:p w14:paraId="13F4366B" w14:textId="2B3D081B" w:rsidR="00311EC5" w:rsidRPr="00DE32B1" w:rsidRDefault="00F706B1" w:rsidP="00F706B1">
      <w:pPr>
        <w:rPr>
          <w:rFonts w:ascii="Arial" w:hAnsi="Arial" w:cs="Arial"/>
        </w:rPr>
      </w:pPr>
      <w:r w:rsidRPr="00115C21">
        <w:rPr>
          <w:rStyle w:val="Heading3Char"/>
          <w:rFonts w:ascii="Arial" w:hAnsi="Arial" w:cs="Arial"/>
          <w:color w:val="auto"/>
        </w:rPr>
        <w:t>Overall:</w:t>
      </w:r>
      <w:r w:rsidRPr="00115C21">
        <w:rPr>
          <w:rStyle w:val="Heading3Char"/>
          <w:rFonts w:ascii="Arial" w:hAnsi="Arial" w:cs="Arial"/>
          <w:color w:val="auto"/>
        </w:rPr>
        <w:br/>
      </w:r>
      <w:r w:rsidRPr="00A87E19">
        <w:rPr>
          <w:rFonts w:ascii="Arial" w:hAnsi="Arial" w:cs="Arial"/>
          <w:sz w:val="24"/>
          <w:szCs w:val="24"/>
        </w:rPr>
        <w:t>Commenters overall support the changes (majority of individuals)</w:t>
      </w:r>
      <w:r w:rsidR="00311EC5" w:rsidRPr="00A87E19">
        <w:rPr>
          <w:rFonts w:ascii="Arial" w:hAnsi="Arial" w:cs="Arial"/>
          <w:sz w:val="24"/>
          <w:szCs w:val="24"/>
        </w:rPr>
        <w:br/>
        <w:t>Commenters support some of the changes (some individuals)</w:t>
      </w:r>
    </w:p>
    <w:sectPr w:rsidR="00311EC5" w:rsidRPr="00DE32B1" w:rsidSect="00F706B1">
      <w:headerReference w:type="default" r:id="rId10"/>
      <w:footerReference w:type="default" r:id="rId11"/>
      <w:headerReference w:type="first" r:id="rId12"/>
      <w:footerReference w:type="first" r:id="rId13"/>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B72D" w14:textId="77777777" w:rsidR="006A3D57" w:rsidRDefault="006A3D57" w:rsidP="00F40C63">
      <w:pPr>
        <w:spacing w:after="0" w:line="240" w:lineRule="auto"/>
      </w:pPr>
      <w:r>
        <w:separator/>
      </w:r>
    </w:p>
  </w:endnote>
  <w:endnote w:type="continuationSeparator" w:id="0">
    <w:p w14:paraId="48277D40" w14:textId="77777777" w:rsidR="006A3D57" w:rsidRDefault="006A3D57" w:rsidP="00F40C63">
      <w:pPr>
        <w:spacing w:after="0" w:line="240" w:lineRule="auto"/>
      </w:pPr>
      <w:r>
        <w:continuationSeparator/>
      </w:r>
    </w:p>
  </w:endnote>
  <w:endnote w:type="continuationNotice" w:id="1">
    <w:p w14:paraId="57A0BD87" w14:textId="77777777" w:rsidR="006A3D57" w:rsidRDefault="006A3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468293"/>
      <w:docPartObj>
        <w:docPartGallery w:val="Page Numbers (Bottom of Page)"/>
        <w:docPartUnique/>
      </w:docPartObj>
    </w:sdtPr>
    <w:sdtEndPr>
      <w:rPr>
        <w:noProof/>
      </w:rPr>
    </w:sdtEndPr>
    <w:sdtContent>
      <w:p w14:paraId="2AF6B229" w14:textId="77777777" w:rsidR="00D3775F" w:rsidRDefault="00D3775F">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551D995F" w14:textId="77777777" w:rsidR="00D3775F" w:rsidRDefault="00D37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142359"/>
      <w:docPartObj>
        <w:docPartGallery w:val="Page Numbers (Bottom of Page)"/>
        <w:docPartUnique/>
      </w:docPartObj>
    </w:sdtPr>
    <w:sdtContent>
      <w:sdt>
        <w:sdtPr>
          <w:id w:val="-1705238520"/>
          <w:docPartObj>
            <w:docPartGallery w:val="Page Numbers (Top of Page)"/>
            <w:docPartUnique/>
          </w:docPartObj>
        </w:sdtPr>
        <w:sdtContent>
          <w:p w14:paraId="53223D8A" w14:textId="77777777" w:rsidR="00D3775F" w:rsidRDefault="00D3775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17</w:t>
            </w:r>
            <w:r>
              <w:rPr>
                <w:b/>
                <w:bCs/>
                <w:sz w:val="24"/>
                <w:szCs w:val="24"/>
              </w:rPr>
              <w:fldChar w:fldCharType="end"/>
            </w:r>
          </w:p>
        </w:sdtContent>
      </w:sdt>
    </w:sdtContent>
  </w:sdt>
  <w:p w14:paraId="639FA73B" w14:textId="77777777" w:rsidR="00D3775F" w:rsidRDefault="00D3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10EA4" w14:textId="77777777" w:rsidR="006A3D57" w:rsidRDefault="006A3D57" w:rsidP="00F40C63">
      <w:pPr>
        <w:spacing w:after="0" w:line="240" w:lineRule="auto"/>
      </w:pPr>
      <w:r>
        <w:separator/>
      </w:r>
    </w:p>
  </w:footnote>
  <w:footnote w:type="continuationSeparator" w:id="0">
    <w:p w14:paraId="361356B8" w14:textId="77777777" w:rsidR="006A3D57" w:rsidRDefault="006A3D57" w:rsidP="00F40C63">
      <w:pPr>
        <w:spacing w:after="0" w:line="240" w:lineRule="auto"/>
      </w:pPr>
      <w:r>
        <w:continuationSeparator/>
      </w:r>
    </w:p>
  </w:footnote>
  <w:footnote w:type="continuationNotice" w:id="1">
    <w:p w14:paraId="5D8DD8A0" w14:textId="77777777" w:rsidR="006A3D57" w:rsidRDefault="006A3D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4A68" w14:textId="77777777" w:rsidR="00D3775F" w:rsidRDefault="00D37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08E6" w14:textId="77777777" w:rsidR="00D3775F" w:rsidRDefault="00D37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31FA"/>
    <w:multiLevelType w:val="hybridMultilevel"/>
    <w:tmpl w:val="FFFFFFFF"/>
    <w:lvl w:ilvl="0" w:tplc="D7CAFB64">
      <w:start w:val="1"/>
      <w:numFmt w:val="bullet"/>
      <w:lvlText w:val=""/>
      <w:lvlJc w:val="left"/>
      <w:pPr>
        <w:ind w:left="720" w:hanging="360"/>
      </w:pPr>
      <w:rPr>
        <w:rFonts w:ascii="Symbol" w:hAnsi="Symbol" w:hint="default"/>
      </w:rPr>
    </w:lvl>
    <w:lvl w:ilvl="1" w:tplc="F47AB052">
      <w:start w:val="1"/>
      <w:numFmt w:val="bullet"/>
      <w:lvlText w:val="o"/>
      <w:lvlJc w:val="left"/>
      <w:pPr>
        <w:ind w:left="1440" w:hanging="360"/>
      </w:pPr>
      <w:rPr>
        <w:rFonts w:ascii="Courier New" w:hAnsi="Courier New" w:hint="default"/>
      </w:rPr>
    </w:lvl>
    <w:lvl w:ilvl="2" w:tplc="A870809E">
      <w:start w:val="1"/>
      <w:numFmt w:val="bullet"/>
      <w:lvlText w:val=""/>
      <w:lvlJc w:val="left"/>
      <w:pPr>
        <w:ind w:left="2160" w:hanging="360"/>
      </w:pPr>
      <w:rPr>
        <w:rFonts w:ascii="Wingdings" w:hAnsi="Wingdings" w:hint="default"/>
      </w:rPr>
    </w:lvl>
    <w:lvl w:ilvl="3" w:tplc="B9463FC8">
      <w:start w:val="1"/>
      <w:numFmt w:val="bullet"/>
      <w:lvlText w:val=""/>
      <w:lvlJc w:val="left"/>
      <w:pPr>
        <w:ind w:left="2880" w:hanging="360"/>
      </w:pPr>
      <w:rPr>
        <w:rFonts w:ascii="Symbol" w:hAnsi="Symbol" w:hint="default"/>
      </w:rPr>
    </w:lvl>
    <w:lvl w:ilvl="4" w:tplc="4744746C">
      <w:start w:val="1"/>
      <w:numFmt w:val="bullet"/>
      <w:lvlText w:val="o"/>
      <w:lvlJc w:val="left"/>
      <w:pPr>
        <w:ind w:left="3600" w:hanging="360"/>
      </w:pPr>
      <w:rPr>
        <w:rFonts w:ascii="Courier New" w:hAnsi="Courier New" w:hint="default"/>
      </w:rPr>
    </w:lvl>
    <w:lvl w:ilvl="5" w:tplc="EAF07A7A">
      <w:start w:val="1"/>
      <w:numFmt w:val="bullet"/>
      <w:lvlText w:val=""/>
      <w:lvlJc w:val="left"/>
      <w:pPr>
        <w:ind w:left="4320" w:hanging="360"/>
      </w:pPr>
      <w:rPr>
        <w:rFonts w:ascii="Wingdings" w:hAnsi="Wingdings" w:hint="default"/>
      </w:rPr>
    </w:lvl>
    <w:lvl w:ilvl="6" w:tplc="35123C6A">
      <w:start w:val="1"/>
      <w:numFmt w:val="bullet"/>
      <w:lvlText w:val=""/>
      <w:lvlJc w:val="left"/>
      <w:pPr>
        <w:ind w:left="5040" w:hanging="360"/>
      </w:pPr>
      <w:rPr>
        <w:rFonts w:ascii="Symbol" w:hAnsi="Symbol" w:hint="default"/>
      </w:rPr>
    </w:lvl>
    <w:lvl w:ilvl="7" w:tplc="401E23FE">
      <w:start w:val="1"/>
      <w:numFmt w:val="bullet"/>
      <w:lvlText w:val="o"/>
      <w:lvlJc w:val="left"/>
      <w:pPr>
        <w:ind w:left="5760" w:hanging="360"/>
      </w:pPr>
      <w:rPr>
        <w:rFonts w:ascii="Courier New" w:hAnsi="Courier New" w:hint="default"/>
      </w:rPr>
    </w:lvl>
    <w:lvl w:ilvl="8" w:tplc="34CE3C60">
      <w:start w:val="1"/>
      <w:numFmt w:val="bullet"/>
      <w:lvlText w:val=""/>
      <w:lvlJc w:val="left"/>
      <w:pPr>
        <w:ind w:left="6480" w:hanging="360"/>
      </w:pPr>
      <w:rPr>
        <w:rFonts w:ascii="Wingdings" w:hAnsi="Wingdings" w:hint="default"/>
      </w:rPr>
    </w:lvl>
  </w:abstractNum>
  <w:abstractNum w:abstractNumId="1" w15:restartNumberingAfterBreak="0">
    <w:nsid w:val="0CC7C5BC"/>
    <w:multiLevelType w:val="hybridMultilevel"/>
    <w:tmpl w:val="FFFFFFFF"/>
    <w:lvl w:ilvl="0" w:tplc="AA923222">
      <w:start w:val="1"/>
      <w:numFmt w:val="bullet"/>
      <w:lvlText w:val=""/>
      <w:lvlJc w:val="left"/>
      <w:pPr>
        <w:ind w:left="720" w:hanging="360"/>
      </w:pPr>
      <w:rPr>
        <w:rFonts w:ascii="Symbol" w:hAnsi="Symbol" w:hint="default"/>
      </w:rPr>
    </w:lvl>
    <w:lvl w:ilvl="1" w:tplc="9490E800">
      <w:start w:val="1"/>
      <w:numFmt w:val="bullet"/>
      <w:lvlText w:val="o"/>
      <w:lvlJc w:val="left"/>
      <w:pPr>
        <w:ind w:left="1440" w:hanging="360"/>
      </w:pPr>
      <w:rPr>
        <w:rFonts w:ascii="Courier New" w:hAnsi="Courier New" w:hint="default"/>
      </w:rPr>
    </w:lvl>
    <w:lvl w:ilvl="2" w:tplc="D1D20DCA">
      <w:start w:val="1"/>
      <w:numFmt w:val="bullet"/>
      <w:lvlText w:val=""/>
      <w:lvlJc w:val="left"/>
      <w:pPr>
        <w:ind w:left="2160" w:hanging="360"/>
      </w:pPr>
      <w:rPr>
        <w:rFonts w:ascii="Wingdings" w:hAnsi="Wingdings" w:hint="default"/>
      </w:rPr>
    </w:lvl>
    <w:lvl w:ilvl="3" w:tplc="663CA158">
      <w:start w:val="1"/>
      <w:numFmt w:val="bullet"/>
      <w:lvlText w:val=""/>
      <w:lvlJc w:val="left"/>
      <w:pPr>
        <w:ind w:left="2880" w:hanging="360"/>
      </w:pPr>
      <w:rPr>
        <w:rFonts w:ascii="Symbol" w:hAnsi="Symbol" w:hint="default"/>
      </w:rPr>
    </w:lvl>
    <w:lvl w:ilvl="4" w:tplc="52807172">
      <w:start w:val="1"/>
      <w:numFmt w:val="bullet"/>
      <w:lvlText w:val="o"/>
      <w:lvlJc w:val="left"/>
      <w:pPr>
        <w:ind w:left="3600" w:hanging="360"/>
      </w:pPr>
      <w:rPr>
        <w:rFonts w:ascii="Courier New" w:hAnsi="Courier New" w:hint="default"/>
      </w:rPr>
    </w:lvl>
    <w:lvl w:ilvl="5" w:tplc="ADE48C80">
      <w:start w:val="1"/>
      <w:numFmt w:val="bullet"/>
      <w:lvlText w:val=""/>
      <w:lvlJc w:val="left"/>
      <w:pPr>
        <w:ind w:left="4320" w:hanging="360"/>
      </w:pPr>
      <w:rPr>
        <w:rFonts w:ascii="Wingdings" w:hAnsi="Wingdings" w:hint="default"/>
      </w:rPr>
    </w:lvl>
    <w:lvl w:ilvl="6" w:tplc="769249DA">
      <w:start w:val="1"/>
      <w:numFmt w:val="bullet"/>
      <w:lvlText w:val=""/>
      <w:lvlJc w:val="left"/>
      <w:pPr>
        <w:ind w:left="5040" w:hanging="360"/>
      </w:pPr>
      <w:rPr>
        <w:rFonts w:ascii="Symbol" w:hAnsi="Symbol" w:hint="default"/>
      </w:rPr>
    </w:lvl>
    <w:lvl w:ilvl="7" w:tplc="ABD6E026">
      <w:start w:val="1"/>
      <w:numFmt w:val="bullet"/>
      <w:lvlText w:val="o"/>
      <w:lvlJc w:val="left"/>
      <w:pPr>
        <w:ind w:left="5760" w:hanging="360"/>
      </w:pPr>
      <w:rPr>
        <w:rFonts w:ascii="Courier New" w:hAnsi="Courier New" w:hint="default"/>
      </w:rPr>
    </w:lvl>
    <w:lvl w:ilvl="8" w:tplc="8ED8632A">
      <w:start w:val="1"/>
      <w:numFmt w:val="bullet"/>
      <w:lvlText w:val=""/>
      <w:lvlJc w:val="left"/>
      <w:pPr>
        <w:ind w:left="6480" w:hanging="360"/>
      </w:pPr>
      <w:rPr>
        <w:rFonts w:ascii="Wingdings" w:hAnsi="Wingdings" w:hint="default"/>
      </w:rPr>
    </w:lvl>
  </w:abstractNum>
  <w:abstractNum w:abstractNumId="2" w15:restartNumberingAfterBreak="0">
    <w:nsid w:val="4CE4629E"/>
    <w:multiLevelType w:val="hybridMultilevel"/>
    <w:tmpl w:val="FFFFFFFF"/>
    <w:lvl w:ilvl="0" w:tplc="8F6A7592">
      <w:start w:val="1"/>
      <w:numFmt w:val="bullet"/>
      <w:lvlText w:val=""/>
      <w:lvlJc w:val="left"/>
      <w:pPr>
        <w:ind w:left="720" w:hanging="360"/>
      </w:pPr>
      <w:rPr>
        <w:rFonts w:ascii="Symbol" w:hAnsi="Symbol" w:hint="default"/>
      </w:rPr>
    </w:lvl>
    <w:lvl w:ilvl="1" w:tplc="D62E58C0">
      <w:start w:val="1"/>
      <w:numFmt w:val="bullet"/>
      <w:lvlText w:val="o"/>
      <w:lvlJc w:val="left"/>
      <w:pPr>
        <w:ind w:left="1440" w:hanging="360"/>
      </w:pPr>
      <w:rPr>
        <w:rFonts w:ascii="Courier New" w:hAnsi="Courier New" w:hint="default"/>
      </w:rPr>
    </w:lvl>
    <w:lvl w:ilvl="2" w:tplc="35849450">
      <w:start w:val="1"/>
      <w:numFmt w:val="bullet"/>
      <w:lvlText w:val=""/>
      <w:lvlJc w:val="left"/>
      <w:pPr>
        <w:ind w:left="2160" w:hanging="360"/>
      </w:pPr>
      <w:rPr>
        <w:rFonts w:ascii="Wingdings" w:hAnsi="Wingdings" w:hint="default"/>
      </w:rPr>
    </w:lvl>
    <w:lvl w:ilvl="3" w:tplc="2D321F54">
      <w:start w:val="1"/>
      <w:numFmt w:val="bullet"/>
      <w:lvlText w:val=""/>
      <w:lvlJc w:val="left"/>
      <w:pPr>
        <w:ind w:left="2880" w:hanging="360"/>
      </w:pPr>
      <w:rPr>
        <w:rFonts w:ascii="Symbol" w:hAnsi="Symbol" w:hint="default"/>
      </w:rPr>
    </w:lvl>
    <w:lvl w:ilvl="4" w:tplc="5A40BD50">
      <w:start w:val="1"/>
      <w:numFmt w:val="bullet"/>
      <w:lvlText w:val="o"/>
      <w:lvlJc w:val="left"/>
      <w:pPr>
        <w:ind w:left="3600" w:hanging="360"/>
      </w:pPr>
      <w:rPr>
        <w:rFonts w:ascii="Courier New" w:hAnsi="Courier New" w:hint="default"/>
      </w:rPr>
    </w:lvl>
    <w:lvl w:ilvl="5" w:tplc="3ECC8016">
      <w:start w:val="1"/>
      <w:numFmt w:val="bullet"/>
      <w:lvlText w:val=""/>
      <w:lvlJc w:val="left"/>
      <w:pPr>
        <w:ind w:left="4320" w:hanging="360"/>
      </w:pPr>
      <w:rPr>
        <w:rFonts w:ascii="Wingdings" w:hAnsi="Wingdings" w:hint="default"/>
      </w:rPr>
    </w:lvl>
    <w:lvl w:ilvl="6" w:tplc="52A4DA64">
      <w:start w:val="1"/>
      <w:numFmt w:val="bullet"/>
      <w:lvlText w:val=""/>
      <w:lvlJc w:val="left"/>
      <w:pPr>
        <w:ind w:left="5040" w:hanging="360"/>
      </w:pPr>
      <w:rPr>
        <w:rFonts w:ascii="Symbol" w:hAnsi="Symbol" w:hint="default"/>
      </w:rPr>
    </w:lvl>
    <w:lvl w:ilvl="7" w:tplc="B1F0EE2C">
      <w:start w:val="1"/>
      <w:numFmt w:val="bullet"/>
      <w:lvlText w:val="o"/>
      <w:lvlJc w:val="left"/>
      <w:pPr>
        <w:ind w:left="5760" w:hanging="360"/>
      </w:pPr>
      <w:rPr>
        <w:rFonts w:ascii="Courier New" w:hAnsi="Courier New" w:hint="default"/>
      </w:rPr>
    </w:lvl>
    <w:lvl w:ilvl="8" w:tplc="9CD2B4C4">
      <w:start w:val="1"/>
      <w:numFmt w:val="bullet"/>
      <w:lvlText w:val=""/>
      <w:lvlJc w:val="left"/>
      <w:pPr>
        <w:ind w:left="6480" w:hanging="360"/>
      </w:pPr>
      <w:rPr>
        <w:rFonts w:ascii="Wingdings" w:hAnsi="Wingdings" w:hint="default"/>
      </w:rPr>
    </w:lvl>
  </w:abstractNum>
  <w:abstractNum w:abstractNumId="3" w15:restartNumberingAfterBreak="0">
    <w:nsid w:val="64816E1B"/>
    <w:multiLevelType w:val="hybridMultilevel"/>
    <w:tmpl w:val="FFFFFFFF"/>
    <w:lvl w:ilvl="0" w:tplc="DE2A8CD4">
      <w:start w:val="1"/>
      <w:numFmt w:val="bullet"/>
      <w:lvlText w:val=""/>
      <w:lvlJc w:val="left"/>
      <w:pPr>
        <w:ind w:left="780" w:hanging="360"/>
      </w:pPr>
      <w:rPr>
        <w:rFonts w:ascii="Symbol" w:hAnsi="Symbol" w:hint="default"/>
      </w:rPr>
    </w:lvl>
    <w:lvl w:ilvl="1" w:tplc="27A0ADAE">
      <w:start w:val="1"/>
      <w:numFmt w:val="bullet"/>
      <w:lvlText w:val="o"/>
      <w:lvlJc w:val="left"/>
      <w:pPr>
        <w:ind w:left="1440" w:hanging="360"/>
      </w:pPr>
      <w:rPr>
        <w:rFonts w:ascii="Courier New" w:hAnsi="Courier New" w:hint="default"/>
      </w:rPr>
    </w:lvl>
    <w:lvl w:ilvl="2" w:tplc="8BE41642">
      <w:start w:val="1"/>
      <w:numFmt w:val="bullet"/>
      <w:lvlText w:val=""/>
      <w:lvlJc w:val="left"/>
      <w:pPr>
        <w:ind w:left="2160" w:hanging="360"/>
      </w:pPr>
      <w:rPr>
        <w:rFonts w:ascii="Wingdings" w:hAnsi="Wingdings" w:hint="default"/>
      </w:rPr>
    </w:lvl>
    <w:lvl w:ilvl="3" w:tplc="67DCC8B6">
      <w:start w:val="1"/>
      <w:numFmt w:val="bullet"/>
      <w:lvlText w:val=""/>
      <w:lvlJc w:val="left"/>
      <w:pPr>
        <w:ind w:left="2880" w:hanging="360"/>
      </w:pPr>
      <w:rPr>
        <w:rFonts w:ascii="Symbol" w:hAnsi="Symbol" w:hint="default"/>
      </w:rPr>
    </w:lvl>
    <w:lvl w:ilvl="4" w:tplc="7E6C89F0">
      <w:start w:val="1"/>
      <w:numFmt w:val="bullet"/>
      <w:lvlText w:val="o"/>
      <w:lvlJc w:val="left"/>
      <w:pPr>
        <w:ind w:left="3600" w:hanging="360"/>
      </w:pPr>
      <w:rPr>
        <w:rFonts w:ascii="Courier New" w:hAnsi="Courier New" w:hint="default"/>
      </w:rPr>
    </w:lvl>
    <w:lvl w:ilvl="5" w:tplc="5D2264B4">
      <w:start w:val="1"/>
      <w:numFmt w:val="bullet"/>
      <w:lvlText w:val=""/>
      <w:lvlJc w:val="left"/>
      <w:pPr>
        <w:ind w:left="4320" w:hanging="360"/>
      </w:pPr>
      <w:rPr>
        <w:rFonts w:ascii="Wingdings" w:hAnsi="Wingdings" w:hint="default"/>
      </w:rPr>
    </w:lvl>
    <w:lvl w:ilvl="6" w:tplc="DCB6E21E">
      <w:start w:val="1"/>
      <w:numFmt w:val="bullet"/>
      <w:lvlText w:val=""/>
      <w:lvlJc w:val="left"/>
      <w:pPr>
        <w:ind w:left="5040" w:hanging="360"/>
      </w:pPr>
      <w:rPr>
        <w:rFonts w:ascii="Symbol" w:hAnsi="Symbol" w:hint="default"/>
      </w:rPr>
    </w:lvl>
    <w:lvl w:ilvl="7" w:tplc="55900BC2">
      <w:start w:val="1"/>
      <w:numFmt w:val="bullet"/>
      <w:lvlText w:val="o"/>
      <w:lvlJc w:val="left"/>
      <w:pPr>
        <w:ind w:left="5760" w:hanging="360"/>
      </w:pPr>
      <w:rPr>
        <w:rFonts w:ascii="Courier New" w:hAnsi="Courier New" w:hint="default"/>
      </w:rPr>
    </w:lvl>
    <w:lvl w:ilvl="8" w:tplc="6674EEA8">
      <w:start w:val="1"/>
      <w:numFmt w:val="bullet"/>
      <w:lvlText w:val=""/>
      <w:lvlJc w:val="left"/>
      <w:pPr>
        <w:ind w:left="6480" w:hanging="360"/>
      </w:pPr>
      <w:rPr>
        <w:rFonts w:ascii="Wingdings" w:hAnsi="Wingdings" w:hint="default"/>
      </w:rPr>
    </w:lvl>
  </w:abstractNum>
  <w:abstractNum w:abstractNumId="4" w15:restartNumberingAfterBreak="0">
    <w:nsid w:val="79ED43B5"/>
    <w:multiLevelType w:val="hybridMultilevel"/>
    <w:tmpl w:val="97A6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697543">
    <w:abstractNumId w:val="1"/>
  </w:num>
  <w:num w:numId="2" w16cid:durableId="147719806">
    <w:abstractNumId w:val="3"/>
  </w:num>
  <w:num w:numId="3" w16cid:durableId="226428344">
    <w:abstractNumId w:val="2"/>
  </w:num>
  <w:num w:numId="4" w16cid:durableId="78331912">
    <w:abstractNumId w:val="0"/>
  </w:num>
  <w:num w:numId="5" w16cid:durableId="1365013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DB"/>
    <w:rsid w:val="000055E0"/>
    <w:rsid w:val="000139FD"/>
    <w:rsid w:val="000154DD"/>
    <w:rsid w:val="00021C70"/>
    <w:rsid w:val="00021FCF"/>
    <w:rsid w:val="00023D84"/>
    <w:rsid w:val="0003616D"/>
    <w:rsid w:val="00036236"/>
    <w:rsid w:val="00036538"/>
    <w:rsid w:val="000372F2"/>
    <w:rsid w:val="00041AD2"/>
    <w:rsid w:val="000436B4"/>
    <w:rsid w:val="00056A53"/>
    <w:rsid w:val="00057196"/>
    <w:rsid w:val="0006132B"/>
    <w:rsid w:val="00061C34"/>
    <w:rsid w:val="00062AA9"/>
    <w:rsid w:val="00066DDE"/>
    <w:rsid w:val="00076DC2"/>
    <w:rsid w:val="00077E14"/>
    <w:rsid w:val="00086B44"/>
    <w:rsid w:val="0009211B"/>
    <w:rsid w:val="00092FE1"/>
    <w:rsid w:val="00093BB0"/>
    <w:rsid w:val="000B568D"/>
    <w:rsid w:val="000B7147"/>
    <w:rsid w:val="000B792B"/>
    <w:rsid w:val="000B7DBB"/>
    <w:rsid w:val="000C17D7"/>
    <w:rsid w:val="000D22B0"/>
    <w:rsid w:val="000D3E7A"/>
    <w:rsid w:val="000D77A9"/>
    <w:rsid w:val="000E0305"/>
    <w:rsid w:val="000E1E3D"/>
    <w:rsid w:val="000E2349"/>
    <w:rsid w:val="000E6C35"/>
    <w:rsid w:val="000F192D"/>
    <w:rsid w:val="000F1D56"/>
    <w:rsid w:val="000F23A9"/>
    <w:rsid w:val="000F54DC"/>
    <w:rsid w:val="000F5D48"/>
    <w:rsid w:val="000F79AA"/>
    <w:rsid w:val="00104BA8"/>
    <w:rsid w:val="00112861"/>
    <w:rsid w:val="00115C21"/>
    <w:rsid w:val="00116B9F"/>
    <w:rsid w:val="001234E1"/>
    <w:rsid w:val="001248B6"/>
    <w:rsid w:val="001250D9"/>
    <w:rsid w:val="00127725"/>
    <w:rsid w:val="001324A0"/>
    <w:rsid w:val="00137956"/>
    <w:rsid w:val="00137C7E"/>
    <w:rsid w:val="00161549"/>
    <w:rsid w:val="00163896"/>
    <w:rsid w:val="0016584E"/>
    <w:rsid w:val="0016725F"/>
    <w:rsid w:val="001722CF"/>
    <w:rsid w:val="0017271C"/>
    <w:rsid w:val="00172F83"/>
    <w:rsid w:val="00176BE9"/>
    <w:rsid w:val="00184ABA"/>
    <w:rsid w:val="00190826"/>
    <w:rsid w:val="00190BF6"/>
    <w:rsid w:val="00193A03"/>
    <w:rsid w:val="001A100A"/>
    <w:rsid w:val="001A127B"/>
    <w:rsid w:val="001A1D5F"/>
    <w:rsid w:val="001A2155"/>
    <w:rsid w:val="001A5842"/>
    <w:rsid w:val="001A63F5"/>
    <w:rsid w:val="001B0C9D"/>
    <w:rsid w:val="001B0ED5"/>
    <w:rsid w:val="001B6C51"/>
    <w:rsid w:val="001C382D"/>
    <w:rsid w:val="001C4675"/>
    <w:rsid w:val="001C7DDD"/>
    <w:rsid w:val="001C7E45"/>
    <w:rsid w:val="001D4DB8"/>
    <w:rsid w:val="001D795B"/>
    <w:rsid w:val="001E114A"/>
    <w:rsid w:val="001E2838"/>
    <w:rsid w:val="001E3236"/>
    <w:rsid w:val="001E79DE"/>
    <w:rsid w:val="001F0313"/>
    <w:rsid w:val="001F4BBF"/>
    <w:rsid w:val="001F5961"/>
    <w:rsid w:val="001F66F9"/>
    <w:rsid w:val="002025E8"/>
    <w:rsid w:val="0020738D"/>
    <w:rsid w:val="00211111"/>
    <w:rsid w:val="002203E7"/>
    <w:rsid w:val="00225C88"/>
    <w:rsid w:val="00226898"/>
    <w:rsid w:val="002329D1"/>
    <w:rsid w:val="002353DC"/>
    <w:rsid w:val="00240BB6"/>
    <w:rsid w:val="0025135D"/>
    <w:rsid w:val="00253AB8"/>
    <w:rsid w:val="00254A2E"/>
    <w:rsid w:val="002617C6"/>
    <w:rsid w:val="0026358F"/>
    <w:rsid w:val="00264153"/>
    <w:rsid w:val="00265269"/>
    <w:rsid w:val="00265C3D"/>
    <w:rsid w:val="00266549"/>
    <w:rsid w:val="002707E2"/>
    <w:rsid w:val="002713FB"/>
    <w:rsid w:val="00275287"/>
    <w:rsid w:val="002779A1"/>
    <w:rsid w:val="00285615"/>
    <w:rsid w:val="0028634C"/>
    <w:rsid w:val="00291002"/>
    <w:rsid w:val="002A12C3"/>
    <w:rsid w:val="002C2CE1"/>
    <w:rsid w:val="002D08DD"/>
    <w:rsid w:val="002D34A6"/>
    <w:rsid w:val="002D43F5"/>
    <w:rsid w:val="002D62F3"/>
    <w:rsid w:val="002E0BB9"/>
    <w:rsid w:val="002F31DC"/>
    <w:rsid w:val="002F4C06"/>
    <w:rsid w:val="003035E2"/>
    <w:rsid w:val="00305017"/>
    <w:rsid w:val="003069F4"/>
    <w:rsid w:val="00306E50"/>
    <w:rsid w:val="00311EC5"/>
    <w:rsid w:val="00316F98"/>
    <w:rsid w:val="003206BC"/>
    <w:rsid w:val="00321B03"/>
    <w:rsid w:val="00323866"/>
    <w:rsid w:val="00324AD1"/>
    <w:rsid w:val="00330960"/>
    <w:rsid w:val="00337154"/>
    <w:rsid w:val="00337337"/>
    <w:rsid w:val="0034058E"/>
    <w:rsid w:val="00343AD2"/>
    <w:rsid w:val="00343FB2"/>
    <w:rsid w:val="00347832"/>
    <w:rsid w:val="00357F0F"/>
    <w:rsid w:val="0036501C"/>
    <w:rsid w:val="0036587F"/>
    <w:rsid w:val="00367C5E"/>
    <w:rsid w:val="0037298A"/>
    <w:rsid w:val="00374CEB"/>
    <w:rsid w:val="003765D2"/>
    <w:rsid w:val="003766A8"/>
    <w:rsid w:val="00380FC8"/>
    <w:rsid w:val="0038647C"/>
    <w:rsid w:val="003907C1"/>
    <w:rsid w:val="00396D5D"/>
    <w:rsid w:val="003A716A"/>
    <w:rsid w:val="003B4EE7"/>
    <w:rsid w:val="003B6F2F"/>
    <w:rsid w:val="003B7E47"/>
    <w:rsid w:val="003C7057"/>
    <w:rsid w:val="003D0919"/>
    <w:rsid w:val="003D1474"/>
    <w:rsid w:val="003D2CF8"/>
    <w:rsid w:val="003D4998"/>
    <w:rsid w:val="003D559A"/>
    <w:rsid w:val="003D7C5E"/>
    <w:rsid w:val="003E7560"/>
    <w:rsid w:val="003F5129"/>
    <w:rsid w:val="003F5848"/>
    <w:rsid w:val="003F5CCA"/>
    <w:rsid w:val="003F7DC6"/>
    <w:rsid w:val="00405FEE"/>
    <w:rsid w:val="00412413"/>
    <w:rsid w:val="004165F3"/>
    <w:rsid w:val="00417BB1"/>
    <w:rsid w:val="004220CB"/>
    <w:rsid w:val="004279B7"/>
    <w:rsid w:val="00431C65"/>
    <w:rsid w:val="004410F5"/>
    <w:rsid w:val="004430D9"/>
    <w:rsid w:val="0044381C"/>
    <w:rsid w:val="00445CA9"/>
    <w:rsid w:val="004473D5"/>
    <w:rsid w:val="00447BE1"/>
    <w:rsid w:val="004519A1"/>
    <w:rsid w:val="004521B1"/>
    <w:rsid w:val="00452AAB"/>
    <w:rsid w:val="00457161"/>
    <w:rsid w:val="004710FA"/>
    <w:rsid w:val="00473F13"/>
    <w:rsid w:val="00474277"/>
    <w:rsid w:val="00476AE7"/>
    <w:rsid w:val="00477D89"/>
    <w:rsid w:val="0048405B"/>
    <w:rsid w:val="00484A5F"/>
    <w:rsid w:val="00487837"/>
    <w:rsid w:val="00491D8D"/>
    <w:rsid w:val="00492D6E"/>
    <w:rsid w:val="0049307E"/>
    <w:rsid w:val="00494E19"/>
    <w:rsid w:val="004A1C1B"/>
    <w:rsid w:val="004A24B4"/>
    <w:rsid w:val="004A5BD9"/>
    <w:rsid w:val="004A72CC"/>
    <w:rsid w:val="004B01ED"/>
    <w:rsid w:val="004B7299"/>
    <w:rsid w:val="004B75EB"/>
    <w:rsid w:val="004C00CD"/>
    <w:rsid w:val="004C071B"/>
    <w:rsid w:val="004C1924"/>
    <w:rsid w:val="004C52D3"/>
    <w:rsid w:val="004D3BB2"/>
    <w:rsid w:val="004D3E18"/>
    <w:rsid w:val="004D7325"/>
    <w:rsid w:val="004E0234"/>
    <w:rsid w:val="004F0842"/>
    <w:rsid w:val="004F1699"/>
    <w:rsid w:val="004F49B0"/>
    <w:rsid w:val="004F73A7"/>
    <w:rsid w:val="00501D3F"/>
    <w:rsid w:val="0051064C"/>
    <w:rsid w:val="00513720"/>
    <w:rsid w:val="005141C8"/>
    <w:rsid w:val="00515A94"/>
    <w:rsid w:val="00520109"/>
    <w:rsid w:val="00525BDC"/>
    <w:rsid w:val="005266A0"/>
    <w:rsid w:val="005268C2"/>
    <w:rsid w:val="00526C12"/>
    <w:rsid w:val="00526C67"/>
    <w:rsid w:val="005319B1"/>
    <w:rsid w:val="0053243E"/>
    <w:rsid w:val="00535C7A"/>
    <w:rsid w:val="00541CD2"/>
    <w:rsid w:val="00544D1C"/>
    <w:rsid w:val="00546A4F"/>
    <w:rsid w:val="00560E3D"/>
    <w:rsid w:val="005619EA"/>
    <w:rsid w:val="00561DFE"/>
    <w:rsid w:val="00566CD8"/>
    <w:rsid w:val="00566DE5"/>
    <w:rsid w:val="00570CA8"/>
    <w:rsid w:val="0058123B"/>
    <w:rsid w:val="00581AA2"/>
    <w:rsid w:val="00584874"/>
    <w:rsid w:val="005862BB"/>
    <w:rsid w:val="00586F98"/>
    <w:rsid w:val="00591A0A"/>
    <w:rsid w:val="00593E2F"/>
    <w:rsid w:val="00595A46"/>
    <w:rsid w:val="005A35DB"/>
    <w:rsid w:val="005A4F66"/>
    <w:rsid w:val="005B29BD"/>
    <w:rsid w:val="005B2BF2"/>
    <w:rsid w:val="005B703A"/>
    <w:rsid w:val="005C12C1"/>
    <w:rsid w:val="005C18E4"/>
    <w:rsid w:val="005C1DAA"/>
    <w:rsid w:val="005C550C"/>
    <w:rsid w:val="005C66AF"/>
    <w:rsid w:val="005D5635"/>
    <w:rsid w:val="005E4EB8"/>
    <w:rsid w:val="005E5A70"/>
    <w:rsid w:val="005E63E0"/>
    <w:rsid w:val="005F10D3"/>
    <w:rsid w:val="005F15F1"/>
    <w:rsid w:val="005F5541"/>
    <w:rsid w:val="0061040C"/>
    <w:rsid w:val="00613597"/>
    <w:rsid w:val="00615BE6"/>
    <w:rsid w:val="006175FA"/>
    <w:rsid w:val="006359B2"/>
    <w:rsid w:val="00640C39"/>
    <w:rsid w:val="00641442"/>
    <w:rsid w:val="006425E0"/>
    <w:rsid w:val="0064306F"/>
    <w:rsid w:val="00644038"/>
    <w:rsid w:val="00644454"/>
    <w:rsid w:val="006472DC"/>
    <w:rsid w:val="006511EB"/>
    <w:rsid w:val="0065410D"/>
    <w:rsid w:val="00654D22"/>
    <w:rsid w:val="00657A6B"/>
    <w:rsid w:val="00657B6D"/>
    <w:rsid w:val="00663136"/>
    <w:rsid w:val="00671190"/>
    <w:rsid w:val="00671744"/>
    <w:rsid w:val="00681357"/>
    <w:rsid w:val="006859A9"/>
    <w:rsid w:val="00690CF9"/>
    <w:rsid w:val="006A1198"/>
    <w:rsid w:val="006A16F1"/>
    <w:rsid w:val="006A3D57"/>
    <w:rsid w:val="006A5D54"/>
    <w:rsid w:val="006B1C16"/>
    <w:rsid w:val="006B3BE3"/>
    <w:rsid w:val="006B402F"/>
    <w:rsid w:val="006B40A5"/>
    <w:rsid w:val="006C45F5"/>
    <w:rsid w:val="006C4C88"/>
    <w:rsid w:val="006C59E7"/>
    <w:rsid w:val="006D2138"/>
    <w:rsid w:val="006D307E"/>
    <w:rsid w:val="006D3D05"/>
    <w:rsid w:val="006D44B7"/>
    <w:rsid w:val="006E364A"/>
    <w:rsid w:val="006E58B6"/>
    <w:rsid w:val="006E7171"/>
    <w:rsid w:val="006F4BF2"/>
    <w:rsid w:val="0070155F"/>
    <w:rsid w:val="00704B5E"/>
    <w:rsid w:val="00704E35"/>
    <w:rsid w:val="00705F6D"/>
    <w:rsid w:val="007073F1"/>
    <w:rsid w:val="007127BA"/>
    <w:rsid w:val="00721D47"/>
    <w:rsid w:val="00725350"/>
    <w:rsid w:val="00726625"/>
    <w:rsid w:val="007313B2"/>
    <w:rsid w:val="00731D4D"/>
    <w:rsid w:val="00732D28"/>
    <w:rsid w:val="00734723"/>
    <w:rsid w:val="007356F2"/>
    <w:rsid w:val="00735A8F"/>
    <w:rsid w:val="00736235"/>
    <w:rsid w:val="0073655B"/>
    <w:rsid w:val="007461C2"/>
    <w:rsid w:val="007469C7"/>
    <w:rsid w:val="00750674"/>
    <w:rsid w:val="00753C27"/>
    <w:rsid w:val="007659CA"/>
    <w:rsid w:val="007730F0"/>
    <w:rsid w:val="00773264"/>
    <w:rsid w:val="00776BAF"/>
    <w:rsid w:val="0079314A"/>
    <w:rsid w:val="007A0CE3"/>
    <w:rsid w:val="007A10EB"/>
    <w:rsid w:val="007A1671"/>
    <w:rsid w:val="007A1887"/>
    <w:rsid w:val="007A48E2"/>
    <w:rsid w:val="007A7274"/>
    <w:rsid w:val="007B3C84"/>
    <w:rsid w:val="007B6695"/>
    <w:rsid w:val="007D0BDC"/>
    <w:rsid w:val="007D250E"/>
    <w:rsid w:val="007E21C8"/>
    <w:rsid w:val="007E3703"/>
    <w:rsid w:val="007E54B0"/>
    <w:rsid w:val="007E7E18"/>
    <w:rsid w:val="007F1FAC"/>
    <w:rsid w:val="007F7B10"/>
    <w:rsid w:val="00801835"/>
    <w:rsid w:val="00805AAA"/>
    <w:rsid w:val="008072D0"/>
    <w:rsid w:val="00813505"/>
    <w:rsid w:val="00822FD8"/>
    <w:rsid w:val="00822FF9"/>
    <w:rsid w:val="00824374"/>
    <w:rsid w:val="00824DA1"/>
    <w:rsid w:val="00827229"/>
    <w:rsid w:val="008320B7"/>
    <w:rsid w:val="00832FE0"/>
    <w:rsid w:val="00833C12"/>
    <w:rsid w:val="00833FEC"/>
    <w:rsid w:val="00836817"/>
    <w:rsid w:val="008400D7"/>
    <w:rsid w:val="00843714"/>
    <w:rsid w:val="00844194"/>
    <w:rsid w:val="00844CB7"/>
    <w:rsid w:val="0084570D"/>
    <w:rsid w:val="008470C1"/>
    <w:rsid w:val="00871BC6"/>
    <w:rsid w:val="00872BC7"/>
    <w:rsid w:val="00873883"/>
    <w:rsid w:val="008760C3"/>
    <w:rsid w:val="00881BF4"/>
    <w:rsid w:val="00883144"/>
    <w:rsid w:val="00884ED2"/>
    <w:rsid w:val="00887032"/>
    <w:rsid w:val="00897CE5"/>
    <w:rsid w:val="008A2799"/>
    <w:rsid w:val="008A57EF"/>
    <w:rsid w:val="008A7089"/>
    <w:rsid w:val="008B0DE6"/>
    <w:rsid w:val="008B2973"/>
    <w:rsid w:val="008B4D8F"/>
    <w:rsid w:val="008B5935"/>
    <w:rsid w:val="008B6AB5"/>
    <w:rsid w:val="008D3DCF"/>
    <w:rsid w:val="008D6AD4"/>
    <w:rsid w:val="008E02ED"/>
    <w:rsid w:val="008E29C1"/>
    <w:rsid w:val="008E2EE8"/>
    <w:rsid w:val="008E3902"/>
    <w:rsid w:val="0090044F"/>
    <w:rsid w:val="00901DE0"/>
    <w:rsid w:val="00902705"/>
    <w:rsid w:val="00905ED6"/>
    <w:rsid w:val="009063A8"/>
    <w:rsid w:val="0091604A"/>
    <w:rsid w:val="009257D9"/>
    <w:rsid w:val="00935BD7"/>
    <w:rsid w:val="00935D4B"/>
    <w:rsid w:val="0093791D"/>
    <w:rsid w:val="00942256"/>
    <w:rsid w:val="00942E72"/>
    <w:rsid w:val="00954D00"/>
    <w:rsid w:val="00955E07"/>
    <w:rsid w:val="00957584"/>
    <w:rsid w:val="00957A36"/>
    <w:rsid w:val="009650A8"/>
    <w:rsid w:val="00975EF0"/>
    <w:rsid w:val="00976351"/>
    <w:rsid w:val="0098117F"/>
    <w:rsid w:val="0098409D"/>
    <w:rsid w:val="009900C7"/>
    <w:rsid w:val="009901AF"/>
    <w:rsid w:val="0099539A"/>
    <w:rsid w:val="009A1CD7"/>
    <w:rsid w:val="009A6F01"/>
    <w:rsid w:val="009A7B29"/>
    <w:rsid w:val="009B0CC6"/>
    <w:rsid w:val="009B2771"/>
    <w:rsid w:val="009B41CB"/>
    <w:rsid w:val="009B5A26"/>
    <w:rsid w:val="009B8E1D"/>
    <w:rsid w:val="009C78EE"/>
    <w:rsid w:val="009D1754"/>
    <w:rsid w:val="009D536B"/>
    <w:rsid w:val="009E127E"/>
    <w:rsid w:val="009E2E56"/>
    <w:rsid w:val="009F2939"/>
    <w:rsid w:val="009F3799"/>
    <w:rsid w:val="00A009E3"/>
    <w:rsid w:val="00A01A76"/>
    <w:rsid w:val="00A02E43"/>
    <w:rsid w:val="00A032BE"/>
    <w:rsid w:val="00A17064"/>
    <w:rsid w:val="00A26AE3"/>
    <w:rsid w:val="00A26D23"/>
    <w:rsid w:val="00A30845"/>
    <w:rsid w:val="00A31444"/>
    <w:rsid w:val="00A32266"/>
    <w:rsid w:val="00A3239B"/>
    <w:rsid w:val="00A33444"/>
    <w:rsid w:val="00A40087"/>
    <w:rsid w:val="00A47A5E"/>
    <w:rsid w:val="00A50620"/>
    <w:rsid w:val="00A54054"/>
    <w:rsid w:val="00A57094"/>
    <w:rsid w:val="00A62D02"/>
    <w:rsid w:val="00A661B8"/>
    <w:rsid w:val="00A7058A"/>
    <w:rsid w:val="00A722ED"/>
    <w:rsid w:val="00A755E4"/>
    <w:rsid w:val="00A76BFE"/>
    <w:rsid w:val="00A83AF7"/>
    <w:rsid w:val="00A85ACC"/>
    <w:rsid w:val="00A85D69"/>
    <w:rsid w:val="00A870EF"/>
    <w:rsid w:val="00A87E19"/>
    <w:rsid w:val="00A92046"/>
    <w:rsid w:val="00A92248"/>
    <w:rsid w:val="00A93C77"/>
    <w:rsid w:val="00A96738"/>
    <w:rsid w:val="00AA779F"/>
    <w:rsid w:val="00AB1A56"/>
    <w:rsid w:val="00AB4D66"/>
    <w:rsid w:val="00AB5BFF"/>
    <w:rsid w:val="00AB763C"/>
    <w:rsid w:val="00AC7C29"/>
    <w:rsid w:val="00AD47B4"/>
    <w:rsid w:val="00AD4DEA"/>
    <w:rsid w:val="00AD6935"/>
    <w:rsid w:val="00AD7DD1"/>
    <w:rsid w:val="00AE28B8"/>
    <w:rsid w:val="00AE3317"/>
    <w:rsid w:val="00AE6806"/>
    <w:rsid w:val="00AE6ACF"/>
    <w:rsid w:val="00AF24CF"/>
    <w:rsid w:val="00AF51F7"/>
    <w:rsid w:val="00AF6085"/>
    <w:rsid w:val="00B03BB1"/>
    <w:rsid w:val="00B06BC4"/>
    <w:rsid w:val="00B12C0F"/>
    <w:rsid w:val="00B1448D"/>
    <w:rsid w:val="00B1629F"/>
    <w:rsid w:val="00B20270"/>
    <w:rsid w:val="00B22815"/>
    <w:rsid w:val="00B27696"/>
    <w:rsid w:val="00B27928"/>
    <w:rsid w:val="00B3475C"/>
    <w:rsid w:val="00B35690"/>
    <w:rsid w:val="00B360D7"/>
    <w:rsid w:val="00B423A4"/>
    <w:rsid w:val="00B428F7"/>
    <w:rsid w:val="00B46717"/>
    <w:rsid w:val="00B50EFA"/>
    <w:rsid w:val="00B51E9F"/>
    <w:rsid w:val="00B56BE0"/>
    <w:rsid w:val="00B57C54"/>
    <w:rsid w:val="00B6154B"/>
    <w:rsid w:val="00B6528A"/>
    <w:rsid w:val="00B65C77"/>
    <w:rsid w:val="00B66F0E"/>
    <w:rsid w:val="00B66F3A"/>
    <w:rsid w:val="00B671DC"/>
    <w:rsid w:val="00B70254"/>
    <w:rsid w:val="00B73243"/>
    <w:rsid w:val="00B746AE"/>
    <w:rsid w:val="00B775CC"/>
    <w:rsid w:val="00B77EED"/>
    <w:rsid w:val="00B816EF"/>
    <w:rsid w:val="00B81A00"/>
    <w:rsid w:val="00B82EAC"/>
    <w:rsid w:val="00B851A8"/>
    <w:rsid w:val="00B90556"/>
    <w:rsid w:val="00B90719"/>
    <w:rsid w:val="00B92853"/>
    <w:rsid w:val="00B9293E"/>
    <w:rsid w:val="00B93EFE"/>
    <w:rsid w:val="00BA61EF"/>
    <w:rsid w:val="00BB6F84"/>
    <w:rsid w:val="00BB70B7"/>
    <w:rsid w:val="00BC40B0"/>
    <w:rsid w:val="00BC4245"/>
    <w:rsid w:val="00BC768B"/>
    <w:rsid w:val="00BD42AC"/>
    <w:rsid w:val="00BD4C1D"/>
    <w:rsid w:val="00BD5670"/>
    <w:rsid w:val="00BE0188"/>
    <w:rsid w:val="00BE2503"/>
    <w:rsid w:val="00BE55A3"/>
    <w:rsid w:val="00BF1376"/>
    <w:rsid w:val="00BF6445"/>
    <w:rsid w:val="00C02DC8"/>
    <w:rsid w:val="00C14002"/>
    <w:rsid w:val="00C14CD8"/>
    <w:rsid w:val="00C2422A"/>
    <w:rsid w:val="00C25009"/>
    <w:rsid w:val="00C26607"/>
    <w:rsid w:val="00C41679"/>
    <w:rsid w:val="00C46713"/>
    <w:rsid w:val="00C471C9"/>
    <w:rsid w:val="00C51FD6"/>
    <w:rsid w:val="00C62D67"/>
    <w:rsid w:val="00C66E55"/>
    <w:rsid w:val="00C70E1E"/>
    <w:rsid w:val="00C72877"/>
    <w:rsid w:val="00C72DFE"/>
    <w:rsid w:val="00C757DB"/>
    <w:rsid w:val="00C801A9"/>
    <w:rsid w:val="00C839B1"/>
    <w:rsid w:val="00C84BC3"/>
    <w:rsid w:val="00C8593B"/>
    <w:rsid w:val="00C920CB"/>
    <w:rsid w:val="00C939E4"/>
    <w:rsid w:val="00C967AE"/>
    <w:rsid w:val="00CB1B6C"/>
    <w:rsid w:val="00CB6313"/>
    <w:rsid w:val="00CB6BB3"/>
    <w:rsid w:val="00CC2C93"/>
    <w:rsid w:val="00CC495B"/>
    <w:rsid w:val="00CC7DF0"/>
    <w:rsid w:val="00CD3E33"/>
    <w:rsid w:val="00CE084E"/>
    <w:rsid w:val="00CE716F"/>
    <w:rsid w:val="00CF2346"/>
    <w:rsid w:val="00CF3BE8"/>
    <w:rsid w:val="00CF3DBF"/>
    <w:rsid w:val="00CF3FC5"/>
    <w:rsid w:val="00D0091D"/>
    <w:rsid w:val="00D03DCC"/>
    <w:rsid w:val="00D06B7D"/>
    <w:rsid w:val="00D07003"/>
    <w:rsid w:val="00D2788B"/>
    <w:rsid w:val="00D3337D"/>
    <w:rsid w:val="00D3775F"/>
    <w:rsid w:val="00D3794B"/>
    <w:rsid w:val="00D37B50"/>
    <w:rsid w:val="00D421A6"/>
    <w:rsid w:val="00D426F2"/>
    <w:rsid w:val="00D46A50"/>
    <w:rsid w:val="00D470CF"/>
    <w:rsid w:val="00D50876"/>
    <w:rsid w:val="00D50973"/>
    <w:rsid w:val="00D525BE"/>
    <w:rsid w:val="00D61815"/>
    <w:rsid w:val="00D72965"/>
    <w:rsid w:val="00D73EC9"/>
    <w:rsid w:val="00D745F6"/>
    <w:rsid w:val="00D75D4D"/>
    <w:rsid w:val="00D80745"/>
    <w:rsid w:val="00D82D29"/>
    <w:rsid w:val="00D859FE"/>
    <w:rsid w:val="00D85B26"/>
    <w:rsid w:val="00D86DA9"/>
    <w:rsid w:val="00D917FC"/>
    <w:rsid w:val="00D94B60"/>
    <w:rsid w:val="00DA04E7"/>
    <w:rsid w:val="00DA1384"/>
    <w:rsid w:val="00DB08DB"/>
    <w:rsid w:val="00DB1E11"/>
    <w:rsid w:val="00DB4419"/>
    <w:rsid w:val="00DC6D51"/>
    <w:rsid w:val="00DC71EF"/>
    <w:rsid w:val="00DD10F0"/>
    <w:rsid w:val="00DD2144"/>
    <w:rsid w:val="00DD3DB7"/>
    <w:rsid w:val="00DE32B1"/>
    <w:rsid w:val="00DE32D9"/>
    <w:rsid w:val="00DE5612"/>
    <w:rsid w:val="00DE59F0"/>
    <w:rsid w:val="00DE66C2"/>
    <w:rsid w:val="00DF3CE6"/>
    <w:rsid w:val="00E05359"/>
    <w:rsid w:val="00E07C40"/>
    <w:rsid w:val="00E1311C"/>
    <w:rsid w:val="00E15F7D"/>
    <w:rsid w:val="00E1751D"/>
    <w:rsid w:val="00E17E6A"/>
    <w:rsid w:val="00E202B5"/>
    <w:rsid w:val="00E25E9E"/>
    <w:rsid w:val="00E37195"/>
    <w:rsid w:val="00E376B4"/>
    <w:rsid w:val="00E37771"/>
    <w:rsid w:val="00E37C0B"/>
    <w:rsid w:val="00E42E81"/>
    <w:rsid w:val="00E43EB5"/>
    <w:rsid w:val="00E44C22"/>
    <w:rsid w:val="00E4578E"/>
    <w:rsid w:val="00E5333E"/>
    <w:rsid w:val="00E603F2"/>
    <w:rsid w:val="00E645AF"/>
    <w:rsid w:val="00E67889"/>
    <w:rsid w:val="00E70439"/>
    <w:rsid w:val="00E708C1"/>
    <w:rsid w:val="00E70EDD"/>
    <w:rsid w:val="00E821F0"/>
    <w:rsid w:val="00E8393C"/>
    <w:rsid w:val="00E852BE"/>
    <w:rsid w:val="00E85CD9"/>
    <w:rsid w:val="00E91741"/>
    <w:rsid w:val="00E962C0"/>
    <w:rsid w:val="00EA02F1"/>
    <w:rsid w:val="00EA3D3E"/>
    <w:rsid w:val="00EA61E1"/>
    <w:rsid w:val="00EB022F"/>
    <w:rsid w:val="00EB064A"/>
    <w:rsid w:val="00EB06D6"/>
    <w:rsid w:val="00EC0455"/>
    <w:rsid w:val="00EC2CFB"/>
    <w:rsid w:val="00EC3417"/>
    <w:rsid w:val="00EC4E18"/>
    <w:rsid w:val="00EC6822"/>
    <w:rsid w:val="00EC7812"/>
    <w:rsid w:val="00EC7EAD"/>
    <w:rsid w:val="00ED04A8"/>
    <w:rsid w:val="00ED3553"/>
    <w:rsid w:val="00ED3E1B"/>
    <w:rsid w:val="00EE179A"/>
    <w:rsid w:val="00EE5F77"/>
    <w:rsid w:val="00EF33FD"/>
    <w:rsid w:val="00EF5929"/>
    <w:rsid w:val="00EF60B1"/>
    <w:rsid w:val="00F040CD"/>
    <w:rsid w:val="00F050DC"/>
    <w:rsid w:val="00F0710A"/>
    <w:rsid w:val="00F10B25"/>
    <w:rsid w:val="00F13DC4"/>
    <w:rsid w:val="00F14FD3"/>
    <w:rsid w:val="00F16DB1"/>
    <w:rsid w:val="00F23F10"/>
    <w:rsid w:val="00F25423"/>
    <w:rsid w:val="00F31286"/>
    <w:rsid w:val="00F40890"/>
    <w:rsid w:val="00F40C63"/>
    <w:rsid w:val="00F50B21"/>
    <w:rsid w:val="00F50DB8"/>
    <w:rsid w:val="00F52FA9"/>
    <w:rsid w:val="00F53BDB"/>
    <w:rsid w:val="00F54760"/>
    <w:rsid w:val="00F62B1C"/>
    <w:rsid w:val="00F66F2C"/>
    <w:rsid w:val="00F70349"/>
    <w:rsid w:val="00F706B1"/>
    <w:rsid w:val="00F73C4D"/>
    <w:rsid w:val="00F74753"/>
    <w:rsid w:val="00F771AA"/>
    <w:rsid w:val="00F779DC"/>
    <w:rsid w:val="00F83342"/>
    <w:rsid w:val="00F83CFA"/>
    <w:rsid w:val="00F844E4"/>
    <w:rsid w:val="00F866EF"/>
    <w:rsid w:val="00F920F3"/>
    <w:rsid w:val="00F9338D"/>
    <w:rsid w:val="00F9582C"/>
    <w:rsid w:val="00F9764F"/>
    <w:rsid w:val="00FA7884"/>
    <w:rsid w:val="00FB2C92"/>
    <w:rsid w:val="00FB4778"/>
    <w:rsid w:val="00FB4D9D"/>
    <w:rsid w:val="00FB54FA"/>
    <w:rsid w:val="00FC050C"/>
    <w:rsid w:val="00FC14B3"/>
    <w:rsid w:val="00FC17FC"/>
    <w:rsid w:val="00FC3372"/>
    <w:rsid w:val="00FC4D71"/>
    <w:rsid w:val="00FC609B"/>
    <w:rsid w:val="00FD24F8"/>
    <w:rsid w:val="00FD6CFD"/>
    <w:rsid w:val="00FD7E90"/>
    <w:rsid w:val="00FF4A43"/>
    <w:rsid w:val="00FF7F59"/>
    <w:rsid w:val="0448C99C"/>
    <w:rsid w:val="048A98A9"/>
    <w:rsid w:val="04AEBC2F"/>
    <w:rsid w:val="055CDD46"/>
    <w:rsid w:val="07C41B64"/>
    <w:rsid w:val="089F39EA"/>
    <w:rsid w:val="0C453928"/>
    <w:rsid w:val="0DFDC91E"/>
    <w:rsid w:val="0E7E1A43"/>
    <w:rsid w:val="1222AE1A"/>
    <w:rsid w:val="1B6AB89A"/>
    <w:rsid w:val="1FE7393C"/>
    <w:rsid w:val="2094A1EF"/>
    <w:rsid w:val="218F1E9F"/>
    <w:rsid w:val="25AFEC88"/>
    <w:rsid w:val="283B298D"/>
    <w:rsid w:val="2D2C96B1"/>
    <w:rsid w:val="2D4ACB30"/>
    <w:rsid w:val="2DB5A8F0"/>
    <w:rsid w:val="2F4AF5FE"/>
    <w:rsid w:val="2FAE28D6"/>
    <w:rsid w:val="30549A98"/>
    <w:rsid w:val="30772D70"/>
    <w:rsid w:val="33239606"/>
    <w:rsid w:val="35180867"/>
    <w:rsid w:val="37D080D3"/>
    <w:rsid w:val="381A4C39"/>
    <w:rsid w:val="39820639"/>
    <w:rsid w:val="3A0069CE"/>
    <w:rsid w:val="3B9DD52A"/>
    <w:rsid w:val="3CFD5ECC"/>
    <w:rsid w:val="3D5D7E37"/>
    <w:rsid w:val="3DC6388A"/>
    <w:rsid w:val="3F76B5A3"/>
    <w:rsid w:val="40103FF1"/>
    <w:rsid w:val="40DD3E37"/>
    <w:rsid w:val="427B37D8"/>
    <w:rsid w:val="432C9296"/>
    <w:rsid w:val="472353AF"/>
    <w:rsid w:val="522E22D5"/>
    <w:rsid w:val="522F7159"/>
    <w:rsid w:val="529BF0D0"/>
    <w:rsid w:val="533FFD89"/>
    <w:rsid w:val="552A9039"/>
    <w:rsid w:val="55415015"/>
    <w:rsid w:val="556169CE"/>
    <w:rsid w:val="570EDA3E"/>
    <w:rsid w:val="5C3BCAB8"/>
    <w:rsid w:val="5D4DC594"/>
    <w:rsid w:val="63352F37"/>
    <w:rsid w:val="64EF75A3"/>
    <w:rsid w:val="6624E1F3"/>
    <w:rsid w:val="691DF95C"/>
    <w:rsid w:val="6A61DC71"/>
    <w:rsid w:val="6B31009C"/>
    <w:rsid w:val="71D5BFEF"/>
    <w:rsid w:val="7DF70A25"/>
    <w:rsid w:val="7F3E6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030E2"/>
  <w15:chartTrackingRefBased/>
  <w15:docId w15:val="{96C63C1C-D90D-4114-A8A7-0F4F4BE8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8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0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B0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B08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8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8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8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B08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B08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8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8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8DB"/>
    <w:rPr>
      <w:rFonts w:eastAsiaTheme="majorEastAsia" w:cstheme="majorBidi"/>
      <w:color w:val="272727" w:themeColor="text1" w:themeTint="D8"/>
    </w:rPr>
  </w:style>
  <w:style w:type="paragraph" w:styleId="Title">
    <w:name w:val="Title"/>
    <w:basedOn w:val="Normal"/>
    <w:next w:val="Normal"/>
    <w:link w:val="TitleChar"/>
    <w:uiPriority w:val="10"/>
    <w:qFormat/>
    <w:rsid w:val="00DB0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8DB"/>
    <w:pPr>
      <w:spacing w:before="160"/>
      <w:jc w:val="center"/>
    </w:pPr>
    <w:rPr>
      <w:i/>
      <w:iCs/>
      <w:color w:val="404040" w:themeColor="text1" w:themeTint="BF"/>
    </w:rPr>
  </w:style>
  <w:style w:type="character" w:customStyle="1" w:styleId="QuoteChar">
    <w:name w:val="Quote Char"/>
    <w:basedOn w:val="DefaultParagraphFont"/>
    <w:link w:val="Quote"/>
    <w:uiPriority w:val="29"/>
    <w:rsid w:val="00DB08DB"/>
    <w:rPr>
      <w:i/>
      <w:iCs/>
      <w:color w:val="404040" w:themeColor="text1" w:themeTint="BF"/>
    </w:rPr>
  </w:style>
  <w:style w:type="paragraph" w:styleId="ListParagraph">
    <w:name w:val="List Paragraph"/>
    <w:basedOn w:val="Normal"/>
    <w:link w:val="ListParagraphChar"/>
    <w:uiPriority w:val="34"/>
    <w:qFormat/>
    <w:rsid w:val="00DB08DB"/>
    <w:pPr>
      <w:ind w:left="720"/>
      <w:contextualSpacing/>
    </w:pPr>
  </w:style>
  <w:style w:type="character" w:styleId="IntenseEmphasis">
    <w:name w:val="Intense Emphasis"/>
    <w:basedOn w:val="DefaultParagraphFont"/>
    <w:uiPriority w:val="21"/>
    <w:qFormat/>
    <w:rsid w:val="00DB08DB"/>
    <w:rPr>
      <w:i/>
      <w:iCs/>
      <w:color w:val="2F5496" w:themeColor="accent1" w:themeShade="BF"/>
    </w:rPr>
  </w:style>
  <w:style w:type="paragraph" w:styleId="IntenseQuote">
    <w:name w:val="Intense Quote"/>
    <w:basedOn w:val="Normal"/>
    <w:next w:val="Normal"/>
    <w:link w:val="IntenseQuoteChar"/>
    <w:uiPriority w:val="30"/>
    <w:qFormat/>
    <w:rsid w:val="00DB0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8DB"/>
    <w:rPr>
      <w:i/>
      <w:iCs/>
      <w:color w:val="2F5496" w:themeColor="accent1" w:themeShade="BF"/>
    </w:rPr>
  </w:style>
  <w:style w:type="character" w:styleId="IntenseReference">
    <w:name w:val="Intense Reference"/>
    <w:basedOn w:val="DefaultParagraphFont"/>
    <w:uiPriority w:val="32"/>
    <w:qFormat/>
    <w:rsid w:val="00DB08DB"/>
    <w:rPr>
      <w:b/>
      <w:bCs/>
      <w:smallCaps/>
      <w:color w:val="2F5496" w:themeColor="accent1" w:themeShade="BF"/>
      <w:spacing w:val="5"/>
    </w:rPr>
  </w:style>
  <w:style w:type="table" w:styleId="TableGrid">
    <w:name w:val="Table Grid"/>
    <w:basedOn w:val="TableNormal"/>
    <w:uiPriority w:val="39"/>
    <w:rsid w:val="00DB08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B08DB"/>
    <w:rPr>
      <w:sz w:val="16"/>
      <w:szCs w:val="16"/>
    </w:rPr>
  </w:style>
  <w:style w:type="paragraph" w:styleId="CommentText">
    <w:name w:val="annotation text"/>
    <w:basedOn w:val="Normal"/>
    <w:link w:val="CommentTextChar"/>
    <w:uiPriority w:val="99"/>
    <w:unhideWhenUsed/>
    <w:rsid w:val="00DB08DB"/>
    <w:pPr>
      <w:spacing w:line="240" w:lineRule="auto"/>
    </w:pPr>
    <w:rPr>
      <w:sz w:val="20"/>
      <w:szCs w:val="20"/>
    </w:rPr>
  </w:style>
  <w:style w:type="character" w:customStyle="1" w:styleId="CommentTextChar">
    <w:name w:val="Comment Text Char"/>
    <w:basedOn w:val="DefaultParagraphFont"/>
    <w:link w:val="CommentText"/>
    <w:uiPriority w:val="99"/>
    <w:rsid w:val="00DB08DB"/>
    <w:rPr>
      <w:kern w:val="0"/>
      <w:sz w:val="20"/>
      <w:szCs w:val="20"/>
      <w14:ligatures w14:val="none"/>
    </w:rPr>
  </w:style>
  <w:style w:type="paragraph" w:styleId="Header">
    <w:name w:val="header"/>
    <w:basedOn w:val="Normal"/>
    <w:link w:val="HeaderChar"/>
    <w:uiPriority w:val="99"/>
    <w:unhideWhenUsed/>
    <w:rsid w:val="00DB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8DB"/>
    <w:rPr>
      <w:kern w:val="0"/>
      <w:sz w:val="22"/>
      <w:szCs w:val="22"/>
      <w14:ligatures w14:val="none"/>
    </w:rPr>
  </w:style>
  <w:style w:type="paragraph" w:styleId="Footer">
    <w:name w:val="footer"/>
    <w:basedOn w:val="Normal"/>
    <w:link w:val="FooterChar"/>
    <w:uiPriority w:val="99"/>
    <w:unhideWhenUsed/>
    <w:rsid w:val="00DB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8DB"/>
    <w:rPr>
      <w:kern w:val="0"/>
      <w:sz w:val="22"/>
      <w:szCs w:val="22"/>
      <w14:ligatures w14:val="none"/>
    </w:rPr>
  </w:style>
  <w:style w:type="paragraph" w:styleId="NormalWeb">
    <w:name w:val="Normal (Web)"/>
    <w:basedOn w:val="Normal"/>
    <w:uiPriority w:val="99"/>
    <w:unhideWhenUsed/>
    <w:rsid w:val="00DB08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99"/>
    <w:locked/>
    <w:rsid w:val="00DB08DB"/>
  </w:style>
  <w:style w:type="character" w:styleId="Mention">
    <w:name w:val="Mention"/>
    <w:basedOn w:val="DefaultParagraphFont"/>
    <w:uiPriority w:val="99"/>
    <w:unhideWhenUsed/>
    <w:rsid w:val="00DB08DB"/>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E852BE"/>
    <w:rPr>
      <w:b/>
      <w:bCs/>
    </w:rPr>
  </w:style>
  <w:style w:type="character" w:customStyle="1" w:styleId="CommentSubjectChar">
    <w:name w:val="Comment Subject Char"/>
    <w:basedOn w:val="CommentTextChar"/>
    <w:link w:val="CommentSubject"/>
    <w:uiPriority w:val="99"/>
    <w:semiHidden/>
    <w:rsid w:val="00E852BE"/>
    <w:rPr>
      <w:b/>
      <w:bCs/>
      <w:kern w:val="0"/>
      <w:sz w:val="20"/>
      <w:szCs w:val="20"/>
      <w14:ligatures w14:val="none"/>
    </w:rPr>
  </w:style>
  <w:style w:type="paragraph" w:customStyle="1" w:styleId="paragraph">
    <w:name w:val="paragraph"/>
    <w:basedOn w:val="Normal"/>
    <w:rsid w:val="009E2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E56"/>
  </w:style>
  <w:style w:type="character" w:customStyle="1" w:styleId="eop">
    <w:name w:val="eop"/>
    <w:basedOn w:val="DefaultParagraphFont"/>
    <w:rsid w:val="009E2E56"/>
  </w:style>
  <w:style w:type="paragraph" w:styleId="Revision">
    <w:name w:val="Revision"/>
    <w:hidden/>
    <w:uiPriority w:val="99"/>
    <w:semiHidden/>
    <w:rsid w:val="00F13DC4"/>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09747">
      <w:bodyDiv w:val="1"/>
      <w:marLeft w:val="0"/>
      <w:marRight w:val="0"/>
      <w:marTop w:val="0"/>
      <w:marBottom w:val="0"/>
      <w:divBdr>
        <w:top w:val="none" w:sz="0" w:space="0" w:color="auto"/>
        <w:left w:val="none" w:sz="0" w:space="0" w:color="auto"/>
        <w:bottom w:val="none" w:sz="0" w:space="0" w:color="auto"/>
        <w:right w:val="none" w:sz="0" w:space="0" w:color="auto"/>
      </w:divBdr>
      <w:divsChild>
        <w:div w:id="846796640">
          <w:marLeft w:val="0"/>
          <w:marRight w:val="0"/>
          <w:marTop w:val="0"/>
          <w:marBottom w:val="0"/>
          <w:divBdr>
            <w:top w:val="none" w:sz="0" w:space="0" w:color="auto"/>
            <w:left w:val="none" w:sz="0" w:space="0" w:color="auto"/>
            <w:bottom w:val="none" w:sz="0" w:space="0" w:color="auto"/>
            <w:right w:val="none" w:sz="0" w:space="0" w:color="auto"/>
          </w:divBdr>
        </w:div>
        <w:div w:id="213093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8E910-B4CA-4025-B2E3-1556FCA8F60D}">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2.xml><?xml version="1.0" encoding="utf-8"?>
<ds:datastoreItem xmlns:ds="http://schemas.openxmlformats.org/officeDocument/2006/customXml" ds:itemID="{BF5342AD-41CB-47AC-9A26-D9F3F6A4D2F5}">
  <ds:schemaRefs>
    <ds:schemaRef ds:uri="http://schemas.microsoft.com/sharepoint/v3/contenttype/forms"/>
  </ds:schemaRefs>
</ds:datastoreItem>
</file>

<file path=customXml/itemProps3.xml><?xml version="1.0" encoding="utf-8"?>
<ds:datastoreItem xmlns:ds="http://schemas.openxmlformats.org/officeDocument/2006/customXml" ds:itemID="{FBECF64A-2DE8-4E5A-9C36-07F6ED488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Summary of Public Comments on Proposed Amendments to Regulations on State Seal of Biliteracy, 603 CMR 31.04</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January 27, 2026 Regular Meeting Item 2 Attachment: Summary of Public Comments on Proposed Amendments to Regulations on State Seal of Biliteracy, 603 CMR 31.04</dc:title>
  <dc:subject/>
  <dc:creator>DESE</dc:creator>
  <cp:keywords/>
  <dc:description/>
  <cp:lastModifiedBy>Zou, Dong (EOE)</cp:lastModifiedBy>
  <cp:revision>4</cp:revision>
  <dcterms:created xsi:type="dcterms:W3CDTF">2026-01-21T22:03:00Z</dcterms:created>
  <dcterms:modified xsi:type="dcterms:W3CDTF">2026-01-21T23:05:00Z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21 2026 12:01AM</vt:lpwstr>
  </property>
</Properties>
</file>