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A821" w14:textId="5A99BA91" w:rsidR="00DB08DB" w:rsidRPr="00691737" w:rsidRDefault="00DB08DB" w:rsidP="00691737">
      <w:pPr>
        <w:pStyle w:val="Heading1"/>
      </w:pPr>
      <w:r w:rsidRPr="00691737">
        <w:t>Summary of Public Comments on Proposed Changes to the Regulations for Educator Licensure and Preparation Program Approval</w:t>
      </w:r>
      <w:r w:rsidR="004E15B8" w:rsidRPr="00691737">
        <w:t>, 603 CMR 7.00</w:t>
      </w:r>
    </w:p>
    <w:p w14:paraId="3146A599" w14:textId="77777777" w:rsidR="00DB08DB" w:rsidRPr="00691737" w:rsidRDefault="00DB08DB" w:rsidP="00691737">
      <w:pPr>
        <w:pStyle w:val="Heading2"/>
      </w:pPr>
      <w:r w:rsidRPr="00691737">
        <w:t>Introduction</w:t>
      </w:r>
    </w:p>
    <w:p w14:paraId="7E4BAD7A" w14:textId="6CD05FA1" w:rsidR="00DB08DB" w:rsidRPr="00E95959" w:rsidRDefault="00DB08DB" w:rsidP="00DB08DB">
      <w:p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The Massachusetts Department of Elementary and Secondary Education (Department) invited public feedback on proposed changes to the state’s Regulations for Educator Licensure and Preparation Program Approval (603 CMR 7.00) from </w:t>
      </w:r>
      <w:r w:rsidR="00665151" w:rsidRPr="00E95959">
        <w:rPr>
          <w:rFonts w:ascii="Arial" w:eastAsia="Aptos" w:hAnsi="Arial" w:cs="Arial"/>
          <w:color w:val="000000" w:themeColor="text1"/>
          <w:sz w:val="24"/>
          <w:szCs w:val="24"/>
        </w:rPr>
        <w:t>November</w:t>
      </w:r>
      <w:r w:rsidR="00930234"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19, </w:t>
      </w:r>
      <w:proofErr w:type="gramStart"/>
      <w:r w:rsidR="00930234" w:rsidRPr="00E95959">
        <w:rPr>
          <w:rFonts w:ascii="Arial" w:eastAsia="Aptos" w:hAnsi="Arial" w:cs="Arial"/>
          <w:color w:val="000000" w:themeColor="text1"/>
          <w:sz w:val="24"/>
          <w:szCs w:val="24"/>
        </w:rPr>
        <w:t>2025</w:t>
      </w:r>
      <w:proofErr w:type="gramEnd"/>
      <w:r w:rsidR="00665151"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through January 2</w:t>
      </w:r>
      <w:r w:rsidR="00397D2A" w:rsidRPr="00E95959">
        <w:rPr>
          <w:rFonts w:ascii="Arial" w:eastAsia="Aptos" w:hAnsi="Arial" w:cs="Arial"/>
          <w:color w:val="000000" w:themeColor="text1"/>
          <w:sz w:val="24"/>
          <w:szCs w:val="24"/>
        </w:rPr>
        <w:t>3</w:t>
      </w:r>
      <w:r w:rsidR="00665151" w:rsidRPr="00E95959">
        <w:rPr>
          <w:rFonts w:ascii="Arial" w:eastAsia="Aptos" w:hAnsi="Arial" w:cs="Arial"/>
          <w:color w:val="000000" w:themeColor="text1"/>
          <w:sz w:val="24"/>
          <w:szCs w:val="24"/>
        </w:rPr>
        <w:t>, 2026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. During this period, the Department received a total of </w:t>
      </w:r>
      <w:r w:rsidR="002808E5" w:rsidRPr="00E95959">
        <w:rPr>
          <w:rFonts w:ascii="Arial" w:eastAsia="Aptos" w:hAnsi="Arial" w:cs="Arial"/>
          <w:color w:val="000000" w:themeColor="text1"/>
          <w:sz w:val="24"/>
          <w:szCs w:val="24"/>
        </w:rPr>
        <w:t>2</w:t>
      </w:r>
      <w:r w:rsidR="00203132" w:rsidRPr="00E95959">
        <w:rPr>
          <w:rFonts w:ascii="Arial" w:eastAsia="Aptos" w:hAnsi="Arial" w:cs="Arial"/>
          <w:color w:val="000000" w:themeColor="text1"/>
          <w:sz w:val="24"/>
          <w:szCs w:val="24"/>
        </w:rPr>
        <w:t>0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comments via email</w:t>
      </w:r>
      <w:r w:rsidR="0067292A" w:rsidRPr="00E95959">
        <w:rPr>
          <w:rFonts w:ascii="Arial" w:eastAsia="Aptos" w:hAnsi="Arial" w:cs="Arial"/>
          <w:color w:val="000000" w:themeColor="text1"/>
          <w:sz w:val="24"/>
          <w:szCs w:val="24"/>
        </w:rPr>
        <w:t>, one mail-in public comment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and </w:t>
      </w:r>
      <w:r w:rsidR="003C4655" w:rsidRPr="00E95959">
        <w:rPr>
          <w:rFonts w:ascii="Arial" w:eastAsia="Aptos" w:hAnsi="Arial" w:cs="Arial"/>
          <w:color w:val="000000" w:themeColor="text1"/>
          <w:sz w:val="24"/>
          <w:szCs w:val="24"/>
        </w:rPr>
        <w:t>201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comments through a dedicated public comment survey tool. Redacted versions of all survey responses and emails are available upon request. </w:t>
      </w:r>
    </w:p>
    <w:p w14:paraId="384B2BCA" w14:textId="73ED67DC" w:rsidR="00DB08DB" w:rsidRPr="00E95959" w:rsidRDefault="6B5FDE04" w:rsidP="00DB08DB">
      <w:pPr>
        <w:spacing w:after="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Among the </w:t>
      </w:r>
      <w:r w:rsidR="47002988"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201 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comments submitted through the survey tool, </w:t>
      </w:r>
      <w:r w:rsidR="11A8653E" w:rsidRPr="00E95959">
        <w:rPr>
          <w:rFonts w:ascii="Arial" w:eastAsia="Aptos" w:hAnsi="Arial" w:cs="Arial"/>
          <w:color w:val="000000" w:themeColor="text1"/>
          <w:sz w:val="24"/>
          <w:szCs w:val="24"/>
        </w:rPr>
        <w:t>14 percent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 came from individuals representing their school, district, or organization, while </w:t>
      </w:r>
      <w:r w:rsidR="7256DF33"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66 percent 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were submitted by individuals on their own behalf. The breakdown of comments by role is as follows (respondents were able to select multiple roles):</w:t>
      </w:r>
    </w:p>
    <w:p w14:paraId="36DBB1A3" w14:textId="404DA592" w:rsidR="00DB08DB" w:rsidRPr="00E95959" w:rsidRDefault="004B0CF0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10</w:t>
      </w:r>
      <w:r w:rsidR="00DB08DB" w:rsidRPr="00E95959">
        <w:rPr>
          <w:rFonts w:ascii="Arial" w:eastAsia="Aptos" w:hAnsi="Arial" w:cs="Arial"/>
          <w:color w:val="000000" w:themeColor="text1"/>
          <w:sz w:val="24"/>
          <w:szCs w:val="24"/>
        </w:rPr>
        <w:t>% from district administrators</w:t>
      </w:r>
    </w:p>
    <w:p w14:paraId="0A8B78C4" w14:textId="5DA613FF" w:rsidR="004B0CF0" w:rsidRPr="00E95959" w:rsidRDefault="00DE0CCC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6% </w:t>
      </w:r>
      <w:r w:rsidR="00CD1F5D" w:rsidRPr="00E95959">
        <w:rPr>
          <w:rFonts w:ascii="Arial" w:eastAsia="Aptos" w:hAnsi="Arial" w:cs="Arial"/>
          <w:color w:val="000000" w:themeColor="text1"/>
          <w:sz w:val="24"/>
          <w:szCs w:val="24"/>
        </w:rPr>
        <w:t xml:space="preserve">from </w:t>
      </w:r>
      <w:r w:rsidR="004B0CF0" w:rsidRPr="00E95959">
        <w:rPr>
          <w:rFonts w:ascii="Arial" w:eastAsia="Aptos" w:hAnsi="Arial" w:cs="Arial"/>
          <w:color w:val="000000" w:themeColor="text1"/>
          <w:sz w:val="24"/>
          <w:szCs w:val="24"/>
        </w:rPr>
        <w:t>Educator Preparation Program Staff or Faculty</w:t>
      </w:r>
    </w:p>
    <w:p w14:paraId="253A781C" w14:textId="52E92E60" w:rsidR="00DB08DB" w:rsidRPr="00E95959" w:rsidRDefault="00DE0CCC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2</w:t>
      </w:r>
      <w:r w:rsidR="00DB08DB" w:rsidRPr="00E95959">
        <w:rPr>
          <w:rFonts w:ascii="Arial" w:eastAsia="Aptos" w:hAnsi="Arial" w:cs="Arial"/>
          <w:color w:val="000000" w:themeColor="text1"/>
          <w:sz w:val="24"/>
          <w:szCs w:val="24"/>
        </w:rPr>
        <w:t>% from members of advocacy organizations</w:t>
      </w:r>
    </w:p>
    <w:p w14:paraId="4F1E7EFF" w14:textId="47A1DEB9" w:rsidR="00DB08DB" w:rsidRPr="00E95959" w:rsidRDefault="00DE0CCC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6</w:t>
      </w:r>
      <w:r w:rsidR="00DB08DB" w:rsidRPr="00E95959">
        <w:rPr>
          <w:rFonts w:ascii="Arial" w:eastAsia="Aptos" w:hAnsi="Arial" w:cs="Arial"/>
          <w:color w:val="000000" w:themeColor="text1"/>
          <w:sz w:val="24"/>
          <w:szCs w:val="24"/>
        </w:rPr>
        <w:t>% from parents and community members</w:t>
      </w:r>
    </w:p>
    <w:p w14:paraId="5FFAD8A6" w14:textId="62335528" w:rsidR="00DB08DB" w:rsidRPr="00E95959" w:rsidRDefault="00DE0CCC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8</w:t>
      </w:r>
      <w:r w:rsidR="00DB08DB" w:rsidRPr="00E95959">
        <w:rPr>
          <w:rFonts w:ascii="Arial" w:eastAsia="Aptos" w:hAnsi="Arial" w:cs="Arial"/>
          <w:color w:val="000000" w:themeColor="text1"/>
          <w:sz w:val="24"/>
          <w:szCs w:val="24"/>
        </w:rPr>
        <w:t>% from school administrators</w:t>
      </w:r>
    </w:p>
    <w:p w14:paraId="3556343E" w14:textId="291217AD" w:rsidR="00DB08DB" w:rsidRPr="00E95959" w:rsidRDefault="00DE0CCC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1</w:t>
      </w:r>
      <w:r w:rsidR="00DB08DB" w:rsidRPr="00E95959">
        <w:rPr>
          <w:rFonts w:ascii="Arial" w:eastAsia="Aptos" w:hAnsi="Arial" w:cs="Arial"/>
          <w:color w:val="000000" w:themeColor="text1"/>
          <w:sz w:val="24"/>
          <w:szCs w:val="24"/>
        </w:rPr>
        <w:t>% from students</w:t>
      </w:r>
    </w:p>
    <w:p w14:paraId="471F037E" w14:textId="3BF7FA36" w:rsidR="00DB08DB" w:rsidRPr="00E95959" w:rsidRDefault="00DB08DB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5</w:t>
      </w:r>
      <w:r w:rsidR="00D65A52" w:rsidRPr="00E95959">
        <w:rPr>
          <w:rFonts w:ascii="Arial" w:eastAsia="Aptos" w:hAnsi="Arial" w:cs="Arial"/>
          <w:color w:val="000000" w:themeColor="text1"/>
          <w:sz w:val="24"/>
          <w:szCs w:val="24"/>
        </w:rPr>
        <w:t>6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% from teachers</w:t>
      </w:r>
    </w:p>
    <w:p w14:paraId="0BD5D1DE" w14:textId="3E35209F" w:rsidR="00DB08DB" w:rsidRPr="00E95959" w:rsidRDefault="00DB08DB" w:rsidP="00DB08DB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</w:rPr>
      </w:pP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2</w:t>
      </w:r>
      <w:r w:rsidR="00D65A52" w:rsidRPr="00E95959">
        <w:rPr>
          <w:rFonts w:ascii="Arial" w:eastAsia="Aptos" w:hAnsi="Arial" w:cs="Arial"/>
          <w:color w:val="000000" w:themeColor="text1"/>
          <w:sz w:val="24"/>
          <w:szCs w:val="24"/>
        </w:rPr>
        <w:t>6</w:t>
      </w:r>
      <w:r w:rsidRPr="00E95959">
        <w:rPr>
          <w:rFonts w:ascii="Arial" w:eastAsia="Aptos" w:hAnsi="Arial" w:cs="Arial"/>
          <w:color w:val="000000" w:themeColor="text1"/>
          <w:sz w:val="24"/>
          <w:szCs w:val="24"/>
        </w:rPr>
        <w:t>% from individuals identifying as “other”</w:t>
      </w:r>
    </w:p>
    <w:p w14:paraId="4CADD414" w14:textId="43CE5209" w:rsidR="009E2E56" w:rsidRPr="00E95959" w:rsidRDefault="009E2E56" w:rsidP="4767D6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A2064B7" w14:textId="6FED0209" w:rsidR="009E2E56" w:rsidRPr="00E95959" w:rsidRDefault="009E2E56" w:rsidP="009E2E5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95959">
        <w:rPr>
          <w:rStyle w:val="normaltextrun"/>
          <w:rFonts w:ascii="Arial" w:eastAsiaTheme="majorEastAsia" w:hAnsi="Arial" w:cs="Arial"/>
        </w:rPr>
        <w:t>For the purposes of this summary, the Department has summarized the number of responses for each comment as follows: Some (1-24%), Many (25-49%)</w:t>
      </w:r>
      <w:r w:rsidR="003761AA" w:rsidRPr="00E95959">
        <w:rPr>
          <w:rStyle w:val="normaltextrun"/>
          <w:rFonts w:ascii="Arial" w:eastAsiaTheme="majorEastAsia" w:hAnsi="Arial" w:cs="Arial"/>
        </w:rPr>
        <w:t>, M</w:t>
      </w:r>
      <w:r w:rsidR="00E866D5" w:rsidRPr="00E95959">
        <w:rPr>
          <w:rStyle w:val="normaltextrun"/>
          <w:rFonts w:ascii="Arial" w:eastAsiaTheme="majorEastAsia" w:hAnsi="Arial" w:cs="Arial"/>
        </w:rPr>
        <w:t>ajority</w:t>
      </w:r>
      <w:r w:rsidR="003761AA" w:rsidRPr="00E95959">
        <w:rPr>
          <w:rStyle w:val="normaltextrun"/>
          <w:rFonts w:ascii="Arial" w:eastAsiaTheme="majorEastAsia" w:hAnsi="Arial" w:cs="Arial"/>
        </w:rPr>
        <w:t xml:space="preserve"> (50-</w:t>
      </w:r>
      <w:r w:rsidR="009E4249" w:rsidRPr="00E95959">
        <w:rPr>
          <w:rStyle w:val="normaltextrun"/>
          <w:rFonts w:ascii="Arial" w:eastAsiaTheme="majorEastAsia" w:hAnsi="Arial" w:cs="Arial"/>
        </w:rPr>
        <w:t>74</w:t>
      </w:r>
      <w:r w:rsidR="00BB122B" w:rsidRPr="00E95959">
        <w:rPr>
          <w:rStyle w:val="normaltextrun"/>
          <w:rFonts w:ascii="Arial" w:eastAsiaTheme="majorEastAsia" w:hAnsi="Arial" w:cs="Arial"/>
        </w:rPr>
        <w:t>%)</w:t>
      </w:r>
      <w:r w:rsidR="00024A10" w:rsidRPr="00E95959">
        <w:rPr>
          <w:rStyle w:val="normaltextrun"/>
          <w:rFonts w:ascii="Arial" w:eastAsiaTheme="majorEastAsia" w:hAnsi="Arial" w:cs="Arial"/>
        </w:rPr>
        <w:t xml:space="preserve"> or</w:t>
      </w:r>
      <w:r w:rsidRPr="00E95959">
        <w:rPr>
          <w:rStyle w:val="normaltextrun"/>
          <w:rFonts w:ascii="Arial" w:eastAsiaTheme="majorEastAsia" w:hAnsi="Arial" w:cs="Arial"/>
        </w:rPr>
        <w:t xml:space="preserve"> M</w:t>
      </w:r>
      <w:r w:rsidR="00E866D5" w:rsidRPr="00E95959">
        <w:rPr>
          <w:rStyle w:val="normaltextrun"/>
          <w:rFonts w:ascii="Arial" w:eastAsiaTheme="majorEastAsia" w:hAnsi="Arial" w:cs="Arial"/>
        </w:rPr>
        <w:t>ost</w:t>
      </w:r>
      <w:r w:rsidRPr="00E95959">
        <w:rPr>
          <w:rStyle w:val="normaltextrun"/>
          <w:rFonts w:ascii="Arial" w:eastAsiaTheme="majorEastAsia" w:hAnsi="Arial" w:cs="Arial"/>
        </w:rPr>
        <w:t xml:space="preserve"> (</w:t>
      </w:r>
      <w:r w:rsidR="005D6086" w:rsidRPr="00E95959">
        <w:rPr>
          <w:rStyle w:val="normaltextrun"/>
          <w:rFonts w:ascii="Arial" w:eastAsiaTheme="majorEastAsia" w:hAnsi="Arial" w:cs="Arial"/>
        </w:rPr>
        <w:t>7</w:t>
      </w:r>
      <w:r w:rsidR="00E01409" w:rsidRPr="00E95959">
        <w:rPr>
          <w:rStyle w:val="normaltextrun"/>
          <w:rFonts w:ascii="Arial" w:eastAsiaTheme="majorEastAsia" w:hAnsi="Arial" w:cs="Arial"/>
        </w:rPr>
        <w:t>5-100%</w:t>
      </w:r>
      <w:r w:rsidRPr="00E95959">
        <w:rPr>
          <w:rStyle w:val="normaltextrun"/>
          <w:rFonts w:ascii="Arial" w:eastAsiaTheme="majorEastAsia" w:hAnsi="Arial" w:cs="Arial"/>
        </w:rPr>
        <w:t xml:space="preserve">) </w:t>
      </w:r>
    </w:p>
    <w:p w14:paraId="6297B03C" w14:textId="41447E0E" w:rsidR="00DB08DB" w:rsidRPr="00E95959" w:rsidRDefault="00DB08DB" w:rsidP="00DB08DB">
      <w:p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95959">
        <w:rPr>
          <w:rFonts w:ascii="Arial" w:hAnsi="Arial" w:cs="Arial"/>
        </w:rPr>
        <w:br w:type="page"/>
      </w:r>
    </w:p>
    <w:p w14:paraId="7050DEA3" w14:textId="77777777" w:rsidR="00DB08DB" w:rsidRPr="00E95959" w:rsidRDefault="00DB08DB" w:rsidP="00691737">
      <w:pPr>
        <w:pStyle w:val="Heading2"/>
        <w:rPr>
          <w:color w:val="000000" w:themeColor="text1"/>
          <w:sz w:val="24"/>
          <w:szCs w:val="24"/>
        </w:rPr>
      </w:pPr>
      <w:r w:rsidRPr="00E95959">
        <w:lastRenderedPageBreak/>
        <w:t>Summary of Public Comment</w:t>
      </w:r>
    </w:p>
    <w:tbl>
      <w:tblPr>
        <w:tblStyle w:val="TableGrid"/>
        <w:tblW w:w="14400" w:type="dxa"/>
        <w:tblLook w:val="06A0" w:firstRow="1" w:lastRow="0" w:firstColumn="1" w:lastColumn="0" w:noHBand="1" w:noVBand="1"/>
      </w:tblPr>
      <w:tblGrid>
        <w:gridCol w:w="7440"/>
        <w:gridCol w:w="6960"/>
      </w:tblGrid>
      <w:tr w:rsidR="00DB08DB" w:rsidRPr="00E95959" w14:paraId="479887E7" w14:textId="77777777" w:rsidTr="0E392B2F">
        <w:trPr>
          <w:trHeight w:val="300"/>
        </w:trPr>
        <w:tc>
          <w:tcPr>
            <w:tcW w:w="7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BDD6EE" w:themeFill="accent5" w:themeFillTint="66"/>
          </w:tcPr>
          <w:p w14:paraId="697A022E" w14:textId="77777777" w:rsidR="00DB08DB" w:rsidRPr="00E95959" w:rsidRDefault="00DB08DB" w:rsidP="00E66902">
            <w:pPr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Summary of Public Comment Themes and Department Response</w:t>
            </w:r>
          </w:p>
        </w:tc>
        <w:tc>
          <w:tcPr>
            <w:tcW w:w="696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5" w:themeFillTint="66"/>
          </w:tcPr>
          <w:p w14:paraId="08B29F5E" w14:textId="77777777" w:rsidR="00DB08DB" w:rsidRPr="00E95959" w:rsidRDefault="00DB08DB" w:rsidP="00E66902">
            <w:pPr>
              <w:rPr>
                <w:rFonts w:ascii="Arial" w:eastAsia="Aptos" w:hAnsi="Arial" w:cs="Arial"/>
                <w:b/>
                <w:bCs/>
              </w:rPr>
            </w:pPr>
          </w:p>
        </w:tc>
      </w:tr>
      <w:tr w:rsidR="00DB08DB" w:rsidRPr="00E95959" w14:paraId="021D3DF4" w14:textId="77777777" w:rsidTr="0E392B2F">
        <w:trPr>
          <w:trHeight w:val="300"/>
        </w:trPr>
        <w:tc>
          <w:tcPr>
            <w:tcW w:w="7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41A28FF2" w14:textId="77777777" w:rsidR="00DB08DB" w:rsidRPr="00E95959" w:rsidRDefault="00DB08DB" w:rsidP="00E66902">
            <w:pPr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Public Comment Received</w:t>
            </w:r>
          </w:p>
        </w:tc>
        <w:tc>
          <w:tcPr>
            <w:tcW w:w="696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5" w:themeFillTint="33"/>
          </w:tcPr>
          <w:p w14:paraId="14790764" w14:textId="77777777" w:rsidR="00DB08DB" w:rsidRPr="00E95959" w:rsidRDefault="00DB08DB" w:rsidP="00E66902">
            <w:pPr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Department’s Response</w:t>
            </w:r>
          </w:p>
        </w:tc>
      </w:tr>
      <w:tr w:rsidR="00DB08DB" w:rsidRPr="00E95959" w14:paraId="10712E08" w14:textId="77777777" w:rsidTr="0E392B2F">
        <w:trPr>
          <w:trHeight w:val="321"/>
        </w:trPr>
        <w:tc>
          <w:tcPr>
            <w:tcW w:w="14400" w:type="dxa"/>
            <w:gridSpan w:val="2"/>
            <w:tcBorders>
              <w:top w:val="single" w:sz="12" w:space="0" w:color="000000" w:themeColor="text1"/>
            </w:tcBorders>
            <w:shd w:val="clear" w:color="auto" w:fill="FBE4D5" w:themeFill="accent2" w:themeFillTint="33"/>
          </w:tcPr>
          <w:p w14:paraId="36DE7D14" w14:textId="418571D6" w:rsidR="00DB08DB" w:rsidRPr="00E95959" w:rsidRDefault="00DB08DB" w:rsidP="001D0421">
            <w:pPr>
              <w:spacing w:line="240" w:lineRule="auto"/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7.0</w:t>
            </w:r>
            <w:r w:rsidR="00914A01" w:rsidRPr="00E95959">
              <w:rPr>
                <w:rFonts w:ascii="Arial" w:eastAsia="Aptos" w:hAnsi="Arial" w:cs="Arial"/>
                <w:b/>
                <w:bCs/>
              </w:rPr>
              <w:t>2</w:t>
            </w:r>
            <w:r w:rsidRPr="00E95959">
              <w:rPr>
                <w:rFonts w:ascii="Arial" w:eastAsia="Aptos" w:hAnsi="Arial" w:cs="Arial"/>
                <w:b/>
                <w:bCs/>
              </w:rPr>
              <w:t xml:space="preserve"> </w:t>
            </w:r>
            <w:r w:rsidR="00914A01" w:rsidRPr="00E95959">
              <w:rPr>
                <w:rFonts w:ascii="Arial" w:eastAsia="Aptos" w:hAnsi="Arial" w:cs="Arial"/>
                <w:b/>
                <w:bCs/>
              </w:rPr>
              <w:t>Definitions</w:t>
            </w:r>
            <w:r w:rsidR="001D0421" w:rsidRPr="00E95959">
              <w:rPr>
                <w:rFonts w:ascii="Arial" w:eastAsia="Aptos" w:hAnsi="Arial" w:cs="Arial"/>
                <w:b/>
                <w:bCs/>
              </w:rPr>
              <w:t xml:space="preserve"> - </w:t>
            </w:r>
            <w:r w:rsidR="001D0421" w:rsidRPr="00E959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</w:rPr>
              <w:t xml:space="preserve">New and amended </w:t>
            </w:r>
            <w:r w:rsidR="003A5C9B" w:rsidRPr="00E959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  <w:r w:rsidR="001D0421" w:rsidRPr="00E959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</w:rPr>
              <w:t>efinitions in alignment with the proposed alternative licensure pathway</w:t>
            </w:r>
            <w:r w:rsidR="001D0421" w:rsidRPr="00E9595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DB08DB" w:rsidRPr="00E95959" w14:paraId="2ED6A439" w14:textId="77777777" w:rsidTr="0E392B2F">
        <w:trPr>
          <w:trHeight w:val="300"/>
        </w:trPr>
        <w:tc>
          <w:tcPr>
            <w:tcW w:w="7440" w:type="dxa"/>
          </w:tcPr>
          <w:p w14:paraId="60FF9124" w14:textId="2169F0F5" w:rsidR="00DB08DB" w:rsidRPr="00E95959" w:rsidDel="002B683F" w:rsidRDefault="00DB08DB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Commenters overall support </w:t>
            </w:r>
            <w:r w:rsidR="00B13890" w:rsidRPr="00E95959">
              <w:rPr>
                <w:rFonts w:ascii="Arial" w:eastAsia="Aptos" w:hAnsi="Arial" w:cs="Arial"/>
                <w:color w:val="000000" w:themeColor="text1"/>
              </w:rPr>
              <w:t>the new and revised definitions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(most individuals and organizations).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477000AC" w14:textId="77777777" w:rsidR="00DB08DB" w:rsidRPr="00E95959" w:rsidRDefault="00DB08DB" w:rsidP="00E66902">
            <w:pPr>
              <w:rPr>
                <w:rFonts w:ascii="Arial" w:eastAsia="Aptos" w:hAnsi="Arial" w:cs="Arial"/>
                <w:b/>
                <w:bCs/>
                <w:highlight w:val="yellow"/>
              </w:rPr>
            </w:pPr>
          </w:p>
        </w:tc>
      </w:tr>
      <w:tr w:rsidR="00215D42" w:rsidRPr="00E95959" w14:paraId="4700F8B4" w14:textId="77777777" w:rsidTr="0E392B2F">
        <w:trPr>
          <w:trHeight w:val="300"/>
        </w:trPr>
        <w:tc>
          <w:tcPr>
            <w:tcW w:w="7440" w:type="dxa"/>
          </w:tcPr>
          <w:p w14:paraId="5DFBBB39" w14:textId="3E73ED91" w:rsidR="00215D42" w:rsidRPr="00E95959" w:rsidRDefault="00215D42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Expand the school-based employment experiences definition </w:t>
            </w:r>
            <w:r w:rsidR="00C758C9" w:rsidRPr="00E95959">
              <w:rPr>
                <w:rFonts w:ascii="Arial" w:eastAsia="Aptos" w:hAnsi="Arial" w:cs="Arial"/>
                <w:color w:val="000000" w:themeColor="text1"/>
              </w:rPr>
              <w:t xml:space="preserve">to allow for a combination of </w:t>
            </w:r>
            <w:r w:rsidR="00D0024A" w:rsidRPr="00E95959">
              <w:rPr>
                <w:rFonts w:ascii="Arial" w:eastAsia="Aptos" w:hAnsi="Arial" w:cs="Arial"/>
                <w:color w:val="000000" w:themeColor="text1"/>
              </w:rPr>
              <w:t xml:space="preserve">different </w:t>
            </w:r>
            <w:r w:rsidR="00C758C9" w:rsidRPr="00E95959">
              <w:rPr>
                <w:rFonts w:ascii="Arial" w:eastAsia="Aptos" w:hAnsi="Arial" w:cs="Arial"/>
                <w:color w:val="000000" w:themeColor="text1"/>
              </w:rPr>
              <w:t>experiences</w:t>
            </w:r>
            <w:r w:rsidR="00A2008F" w:rsidRPr="00E95959">
              <w:rPr>
                <w:rFonts w:ascii="Arial" w:eastAsia="Aptos" w:hAnsi="Arial" w:cs="Arial"/>
                <w:color w:val="000000" w:themeColor="text1"/>
              </w:rPr>
              <w:t xml:space="preserve">, including </w:t>
            </w:r>
            <w:r w:rsidR="003F14D2" w:rsidRPr="00E95959">
              <w:rPr>
                <w:rFonts w:ascii="Arial" w:eastAsia="Aptos" w:hAnsi="Arial" w:cs="Arial"/>
                <w:color w:val="000000" w:themeColor="text1"/>
              </w:rPr>
              <w:t xml:space="preserve">experience as a paraprofessional, </w:t>
            </w:r>
            <w:r w:rsidR="004E2390" w:rsidRPr="00E95959">
              <w:rPr>
                <w:rFonts w:ascii="Arial" w:eastAsia="Aptos" w:hAnsi="Arial" w:cs="Arial"/>
                <w:color w:val="000000" w:themeColor="text1"/>
              </w:rPr>
              <w:t>temporary substitute teacher, completion of a field-based experience, employment under a waiver</w:t>
            </w:r>
            <w:r w:rsidR="006F6D98" w:rsidRPr="00E95959">
              <w:rPr>
                <w:rFonts w:ascii="Arial" w:eastAsia="Aptos" w:hAnsi="Arial" w:cs="Arial"/>
                <w:color w:val="000000" w:themeColor="text1"/>
              </w:rPr>
              <w:t>, experience outside of Massachusetts and other school-based employment, as verified by a school administrator.</w:t>
            </w:r>
            <w:r w:rsidR="00C758C9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D0024A" w:rsidRPr="00E95959">
              <w:rPr>
                <w:rFonts w:ascii="Arial" w:eastAsia="Aptos" w:hAnsi="Arial" w:cs="Arial"/>
                <w:color w:val="000000" w:themeColor="text1"/>
              </w:rPr>
              <w:t>(</w:t>
            </w:r>
            <w:r w:rsidR="00B9089B" w:rsidRPr="00E95959">
              <w:rPr>
                <w:rFonts w:ascii="Arial" w:eastAsia="Aptos" w:hAnsi="Arial" w:cs="Arial"/>
                <w:color w:val="000000" w:themeColor="text1"/>
              </w:rPr>
              <w:t>one organization)</w:t>
            </w:r>
            <w:r w:rsidR="00C758C9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</w:tc>
        <w:tc>
          <w:tcPr>
            <w:tcW w:w="6960" w:type="dxa"/>
          </w:tcPr>
          <w:p w14:paraId="1D4A508D" w14:textId="3BDAF10D" w:rsidR="00215D42" w:rsidRPr="00E95959" w:rsidRDefault="00A800DA" w:rsidP="00E66902">
            <w:pPr>
              <w:rPr>
                <w:rFonts w:ascii="Arial" w:eastAsia="Aptos" w:hAnsi="Arial" w:cs="Arial"/>
                <w:highlight w:val="yellow"/>
              </w:rPr>
            </w:pPr>
            <w:r w:rsidRPr="00E95959">
              <w:rPr>
                <w:rFonts w:ascii="Arial" w:eastAsia="Aptos" w:hAnsi="Arial" w:cs="Arial"/>
              </w:rPr>
              <w:t xml:space="preserve">Change. </w:t>
            </w:r>
            <w:r w:rsidR="006D2D5B" w:rsidRPr="00E95959">
              <w:rPr>
                <w:rFonts w:ascii="Arial" w:eastAsia="Aptos" w:hAnsi="Arial" w:cs="Arial"/>
              </w:rPr>
              <w:t xml:space="preserve">We have updated the school-based employment </w:t>
            </w:r>
            <w:r w:rsidR="006F0C51" w:rsidRPr="00E95959">
              <w:rPr>
                <w:rFonts w:ascii="Arial" w:eastAsia="Aptos" w:hAnsi="Arial" w:cs="Arial"/>
              </w:rPr>
              <w:t xml:space="preserve">definition to </w:t>
            </w:r>
            <w:r w:rsidR="00AE52E7" w:rsidRPr="00E95959">
              <w:rPr>
                <w:rFonts w:ascii="Arial" w:eastAsia="Aptos" w:hAnsi="Arial" w:cs="Arial"/>
              </w:rPr>
              <w:t xml:space="preserve">include </w:t>
            </w:r>
            <w:r w:rsidR="008B70C8" w:rsidRPr="00E95959">
              <w:rPr>
                <w:rFonts w:ascii="Arial" w:eastAsia="Aptos" w:hAnsi="Arial" w:cs="Arial"/>
              </w:rPr>
              <w:t xml:space="preserve">experience in a district not just one school for </w:t>
            </w:r>
            <w:r w:rsidR="00274828" w:rsidRPr="00E95959">
              <w:rPr>
                <w:rFonts w:ascii="Arial" w:eastAsia="Aptos" w:hAnsi="Arial" w:cs="Arial"/>
              </w:rPr>
              <w:t xml:space="preserve">eligibility for the Portfolio. </w:t>
            </w:r>
            <w:r w:rsidR="000B7E33" w:rsidRPr="00E95959">
              <w:rPr>
                <w:rFonts w:ascii="Arial" w:eastAsia="Aptos" w:hAnsi="Arial" w:cs="Arial"/>
              </w:rPr>
              <w:t xml:space="preserve">This allows someone who may </w:t>
            </w:r>
            <w:r w:rsidR="00B83724" w:rsidRPr="00E95959">
              <w:rPr>
                <w:rFonts w:ascii="Arial" w:eastAsia="Aptos" w:hAnsi="Arial" w:cs="Arial"/>
              </w:rPr>
              <w:t>move schools within a district to complete the two years of required experience.</w:t>
            </w:r>
          </w:p>
        </w:tc>
      </w:tr>
      <w:tr w:rsidR="00DB08DB" w:rsidRPr="00E95959" w14:paraId="4CA97EE6" w14:textId="77777777" w:rsidTr="0E392B2F">
        <w:trPr>
          <w:trHeight w:val="300"/>
        </w:trPr>
        <w:tc>
          <w:tcPr>
            <w:tcW w:w="14400" w:type="dxa"/>
            <w:gridSpan w:val="2"/>
            <w:shd w:val="clear" w:color="auto" w:fill="FBE4D5" w:themeFill="accent2" w:themeFillTint="33"/>
          </w:tcPr>
          <w:p w14:paraId="6DE6DC97" w14:textId="2C8D8042" w:rsidR="00DB08DB" w:rsidRPr="00E95959" w:rsidRDefault="00DB08DB" w:rsidP="009823D6">
            <w:pPr>
              <w:spacing w:line="240" w:lineRule="auto"/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 xml:space="preserve">7.04 </w:t>
            </w:r>
            <w:r w:rsidR="006D5D40" w:rsidRPr="00E95959">
              <w:rPr>
                <w:rFonts w:ascii="Arial" w:eastAsia="Aptos" w:hAnsi="Arial" w:cs="Arial"/>
                <w:b/>
                <w:bCs/>
              </w:rPr>
              <w:t>New Alternative Licensure Pathway</w:t>
            </w:r>
            <w:r w:rsidR="00A51BB5" w:rsidRPr="00E95959">
              <w:rPr>
                <w:rFonts w:ascii="Arial" w:eastAsia="Aptos" w:hAnsi="Arial" w:cs="Arial"/>
                <w:b/>
                <w:bCs/>
              </w:rPr>
              <w:t xml:space="preserve"> for </w:t>
            </w:r>
            <w:r w:rsidR="000E0494" w:rsidRPr="00E95959">
              <w:rPr>
                <w:rFonts w:ascii="Arial" w:eastAsia="Aptos" w:hAnsi="Arial" w:cs="Arial"/>
                <w:b/>
                <w:bCs/>
              </w:rPr>
              <w:t xml:space="preserve">Teachers to </w:t>
            </w:r>
            <w:r w:rsidR="00A51BB5" w:rsidRPr="00E95959">
              <w:rPr>
                <w:rFonts w:ascii="Arial" w:eastAsia="Aptos" w:hAnsi="Arial" w:cs="Arial"/>
                <w:b/>
                <w:bCs/>
              </w:rPr>
              <w:t>waiv</w:t>
            </w:r>
            <w:r w:rsidR="000E0494" w:rsidRPr="00E95959">
              <w:rPr>
                <w:rFonts w:ascii="Arial" w:eastAsia="Aptos" w:hAnsi="Arial" w:cs="Arial"/>
                <w:b/>
                <w:bCs/>
              </w:rPr>
              <w:t>e</w:t>
            </w:r>
            <w:r w:rsidR="00A51BB5" w:rsidRPr="00E95959">
              <w:rPr>
                <w:rFonts w:ascii="Arial" w:eastAsia="Aptos" w:hAnsi="Arial" w:cs="Arial"/>
                <w:b/>
                <w:bCs/>
              </w:rPr>
              <w:t xml:space="preserve"> the </w:t>
            </w:r>
            <w:r w:rsidR="0059741B" w:rsidRPr="00E95959">
              <w:rPr>
                <w:rFonts w:ascii="Arial" w:eastAsia="Aptos" w:hAnsi="Arial" w:cs="Arial"/>
                <w:b/>
                <w:bCs/>
              </w:rPr>
              <w:t>Communication and Literacy Skills</w:t>
            </w:r>
            <w:r w:rsidR="00A51BB5" w:rsidRPr="00E95959">
              <w:rPr>
                <w:rFonts w:ascii="Arial" w:eastAsia="Aptos" w:hAnsi="Arial" w:cs="Arial"/>
                <w:b/>
                <w:bCs/>
              </w:rPr>
              <w:t xml:space="preserve"> or Subject Matter Test </w:t>
            </w:r>
          </w:p>
        </w:tc>
      </w:tr>
      <w:tr w:rsidR="00DB08DB" w:rsidRPr="00E95959" w14:paraId="170ABF6F" w14:textId="77777777" w:rsidTr="0E392B2F">
        <w:trPr>
          <w:trHeight w:val="300"/>
        </w:trPr>
        <w:tc>
          <w:tcPr>
            <w:tcW w:w="7440" w:type="dxa"/>
          </w:tcPr>
          <w:p w14:paraId="1D760E1B" w14:textId="53A1E02E" w:rsidR="00DB08DB" w:rsidRPr="00E95959" w:rsidRDefault="00547F7A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Commentors overall s</w:t>
            </w:r>
            <w:r w:rsidR="00DB08DB" w:rsidRPr="00E95959">
              <w:rPr>
                <w:rFonts w:ascii="Arial" w:eastAsia="Aptos" w:hAnsi="Arial" w:cs="Arial"/>
                <w:color w:val="000000" w:themeColor="text1"/>
              </w:rPr>
              <w:t>upport</w:t>
            </w:r>
            <w:r w:rsidR="00DB08DB" w:rsidRPr="00E95959" w:rsidDel="005002DA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DB08DB" w:rsidRPr="00E95959">
              <w:rPr>
                <w:rFonts w:ascii="Arial" w:eastAsia="Aptos" w:hAnsi="Arial" w:cs="Arial"/>
                <w:color w:val="000000" w:themeColor="text1"/>
              </w:rPr>
              <w:t xml:space="preserve">creating </w:t>
            </w:r>
            <w:r w:rsidR="007A1D52" w:rsidRPr="00E95959">
              <w:rPr>
                <w:rFonts w:ascii="Arial" w:eastAsia="Aptos" w:hAnsi="Arial" w:cs="Arial"/>
                <w:color w:val="000000" w:themeColor="text1"/>
              </w:rPr>
              <w:t>this new Alternative Licensure Pathway</w:t>
            </w:r>
            <w:r w:rsidR="00403BFD" w:rsidRPr="00E95959">
              <w:rPr>
                <w:rFonts w:ascii="Arial" w:eastAsia="Aptos" w:hAnsi="Arial" w:cs="Arial"/>
                <w:color w:val="000000" w:themeColor="text1"/>
              </w:rPr>
              <w:t xml:space="preserve"> for teachers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403BFD" w:rsidRPr="00E95959">
              <w:rPr>
                <w:rFonts w:ascii="Arial" w:eastAsia="Aptos" w:hAnsi="Arial" w:cs="Arial"/>
                <w:color w:val="000000" w:themeColor="text1"/>
              </w:rPr>
              <w:t xml:space="preserve">to waive the Communications and Literacy Skills or Subject Matter test 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(most individuals and </w:t>
            </w:r>
            <w:r w:rsidR="00403BFD" w:rsidRPr="00E95959">
              <w:rPr>
                <w:rFonts w:ascii="Arial" w:eastAsia="Aptos" w:hAnsi="Arial" w:cs="Arial"/>
                <w:color w:val="000000" w:themeColor="text1"/>
              </w:rPr>
              <w:t>organizations)</w:t>
            </w:r>
            <w:r w:rsidR="00DB08DB" w:rsidRPr="00E95959">
              <w:rPr>
                <w:rFonts w:ascii="Arial" w:eastAsia="Aptos" w:hAnsi="Arial" w:cs="Arial"/>
                <w:color w:val="000000" w:themeColor="text1"/>
              </w:rPr>
              <w:t>.</w:t>
            </w:r>
          </w:p>
          <w:p w14:paraId="2DDC5DCC" w14:textId="77777777" w:rsidR="00DF12D2" w:rsidRPr="00E95959" w:rsidRDefault="00DF12D2" w:rsidP="00E66902">
            <w:pPr>
              <w:rPr>
                <w:rFonts w:ascii="Arial" w:eastAsia="Aptos" w:hAnsi="Arial" w:cs="Arial"/>
                <w:color w:val="000000" w:themeColor="text1"/>
              </w:rPr>
            </w:pPr>
          </w:p>
          <w:p w14:paraId="5507DF66" w14:textId="6C5BCCCF" w:rsidR="00DB08DB" w:rsidRPr="00E95959" w:rsidRDefault="0057422A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S</w:t>
            </w:r>
            <w:r w:rsidR="001D1645" w:rsidRPr="00E95959">
              <w:rPr>
                <w:rFonts w:ascii="Arial" w:eastAsia="Aptos" w:hAnsi="Arial" w:cs="Arial"/>
                <w:color w:val="000000" w:themeColor="text1"/>
              </w:rPr>
              <w:t>upport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for </w:t>
            </w:r>
            <w:r w:rsidR="001D1645" w:rsidRPr="00E95959">
              <w:rPr>
                <w:rFonts w:ascii="Arial" w:eastAsia="Aptos" w:hAnsi="Arial" w:cs="Arial"/>
                <w:color w:val="000000" w:themeColor="text1"/>
              </w:rPr>
              <w:t xml:space="preserve">this new pathway </w:t>
            </w:r>
            <w:r w:rsidR="000E7C0B" w:rsidRPr="00E95959">
              <w:rPr>
                <w:rFonts w:ascii="Arial" w:eastAsia="Aptos" w:hAnsi="Arial" w:cs="Arial"/>
                <w:color w:val="000000" w:themeColor="text1"/>
              </w:rPr>
              <w:t>with</w:t>
            </w:r>
            <w:r w:rsidR="001D1645" w:rsidRPr="00E95959">
              <w:rPr>
                <w:rFonts w:ascii="Arial" w:eastAsia="Aptos" w:hAnsi="Arial" w:cs="Arial"/>
                <w:color w:val="000000" w:themeColor="text1"/>
              </w:rPr>
              <w:t xml:space="preserve"> shared stories </w:t>
            </w:r>
            <w:r w:rsidR="00350CC7" w:rsidRPr="00E95959">
              <w:rPr>
                <w:rFonts w:ascii="Arial" w:eastAsia="Aptos" w:hAnsi="Arial" w:cs="Arial"/>
                <w:color w:val="000000" w:themeColor="text1"/>
              </w:rPr>
              <w:t>about the</w:t>
            </w:r>
            <w:r w:rsidR="001D1645" w:rsidRPr="00E95959">
              <w:rPr>
                <w:rFonts w:ascii="Arial" w:eastAsia="Aptos" w:hAnsi="Arial" w:cs="Arial"/>
                <w:color w:val="000000" w:themeColor="text1"/>
              </w:rPr>
              <w:t xml:space="preserve"> impact this change would have on their ability to be licensed and teach in Massachusetts</w:t>
            </w:r>
            <w:r w:rsidR="009F70B8" w:rsidRPr="00E95959">
              <w:rPr>
                <w:rFonts w:ascii="Arial" w:eastAsia="Aptos" w:hAnsi="Arial" w:cs="Arial"/>
                <w:color w:val="000000" w:themeColor="text1"/>
              </w:rPr>
              <w:t xml:space="preserve"> (some)</w:t>
            </w:r>
            <w:r w:rsidR="001D1645" w:rsidRPr="00E95959">
              <w:rPr>
                <w:rFonts w:ascii="Arial" w:eastAsia="Aptos" w:hAnsi="Arial" w:cs="Arial"/>
                <w:color w:val="000000" w:themeColor="text1"/>
              </w:rPr>
              <w:t>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2A1231BC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  <w:tr w:rsidR="00F472FF" w:rsidRPr="00E95959" w14:paraId="3415FA93" w14:textId="77777777" w:rsidTr="0E392B2F">
        <w:trPr>
          <w:trHeight w:val="300"/>
        </w:trPr>
        <w:tc>
          <w:tcPr>
            <w:tcW w:w="7440" w:type="dxa"/>
          </w:tcPr>
          <w:p w14:paraId="084A435C" w14:textId="64BE2206" w:rsidR="00F472FF" w:rsidRPr="00E95959" w:rsidRDefault="007F3137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Both the Communications and Literacy Skills test and the Subject Matter test should </w:t>
            </w:r>
            <w:r w:rsidR="00376BAA" w:rsidRPr="00E95959">
              <w:rPr>
                <w:rFonts w:ascii="Arial" w:eastAsia="Aptos" w:hAnsi="Arial" w:cs="Arial"/>
                <w:color w:val="000000" w:themeColor="text1"/>
              </w:rPr>
              <w:t xml:space="preserve">be </w:t>
            </w:r>
            <w:proofErr w:type="gramStart"/>
            <w:r w:rsidR="00376BAA" w:rsidRPr="00E95959">
              <w:rPr>
                <w:rFonts w:ascii="Arial" w:eastAsia="Aptos" w:hAnsi="Arial" w:cs="Arial"/>
                <w:color w:val="000000" w:themeColor="text1"/>
              </w:rPr>
              <w:t>allowable</w:t>
            </w:r>
            <w:proofErr w:type="gramEnd"/>
            <w:r w:rsidR="00376BAA" w:rsidRPr="00E95959">
              <w:rPr>
                <w:rFonts w:ascii="Arial" w:eastAsia="Aptos" w:hAnsi="Arial" w:cs="Arial"/>
                <w:color w:val="000000" w:themeColor="text1"/>
              </w:rPr>
              <w:t xml:space="preserve"> to be waived</w:t>
            </w:r>
            <w:r w:rsidR="00F70EFB" w:rsidRPr="00E95959">
              <w:rPr>
                <w:rFonts w:ascii="Arial" w:eastAsia="Aptos" w:hAnsi="Arial" w:cs="Arial"/>
                <w:color w:val="000000" w:themeColor="text1"/>
              </w:rPr>
              <w:t xml:space="preserve"> (some individuals and organizations)</w:t>
            </w:r>
            <w:r w:rsidR="00376BAA" w:rsidRPr="00E95959">
              <w:rPr>
                <w:rFonts w:ascii="Arial" w:eastAsia="Aptos" w:hAnsi="Arial" w:cs="Arial"/>
                <w:color w:val="000000" w:themeColor="text1"/>
              </w:rPr>
              <w:t>.</w:t>
            </w:r>
          </w:p>
        </w:tc>
        <w:tc>
          <w:tcPr>
            <w:tcW w:w="6960" w:type="dxa"/>
          </w:tcPr>
          <w:p w14:paraId="2406CDE8" w14:textId="6E548764" w:rsidR="00F472FF" w:rsidRPr="00E95959" w:rsidRDefault="00602C98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</w:t>
            </w:r>
            <w:r w:rsidR="00A42D45" w:rsidRPr="00E95959">
              <w:rPr>
                <w:rFonts w:ascii="Arial" w:eastAsia="Aptos" w:hAnsi="Arial" w:cs="Arial"/>
              </w:rPr>
              <w:t>c</w:t>
            </w:r>
            <w:r w:rsidRPr="00E95959">
              <w:rPr>
                <w:rFonts w:ascii="Arial" w:eastAsia="Aptos" w:hAnsi="Arial" w:cs="Arial"/>
              </w:rPr>
              <w:t>hange.</w:t>
            </w:r>
            <w:r w:rsidR="00180D79" w:rsidRPr="00E95959">
              <w:rPr>
                <w:rFonts w:ascii="Arial" w:eastAsia="Aptos" w:hAnsi="Arial" w:cs="Arial"/>
              </w:rPr>
              <w:t xml:space="preserve"> The new law </w:t>
            </w:r>
            <w:r w:rsidR="007D4416" w:rsidRPr="00E95959">
              <w:rPr>
                <w:rFonts w:ascii="Arial" w:eastAsia="Aptos" w:hAnsi="Arial" w:cs="Arial"/>
              </w:rPr>
              <w:t>state</w:t>
            </w:r>
            <w:r w:rsidR="00D01D69" w:rsidRPr="00E95959">
              <w:rPr>
                <w:rFonts w:ascii="Arial" w:eastAsia="Aptos" w:hAnsi="Arial" w:cs="Arial"/>
              </w:rPr>
              <w:t>s</w:t>
            </w:r>
            <w:r w:rsidR="007D4416" w:rsidRPr="00E95959">
              <w:rPr>
                <w:rFonts w:ascii="Arial" w:eastAsia="Aptos" w:hAnsi="Arial" w:cs="Arial"/>
              </w:rPr>
              <w:t>: “Section 300(d): …The department may implement, subject to approval of the board of elementary and secondary education, an alternative certification process that may allow for a waiver of not more than 1 of the 2 tests required by section 38G of said chapter 71, per candidate…”</w:t>
            </w:r>
            <w:r w:rsidR="00D01D69" w:rsidRPr="00E95959">
              <w:rPr>
                <w:rFonts w:ascii="Arial" w:eastAsia="Aptos" w:hAnsi="Arial" w:cs="Arial"/>
              </w:rPr>
              <w:t xml:space="preserve"> The </w:t>
            </w:r>
            <w:r w:rsidR="00A42D45" w:rsidRPr="00E95959">
              <w:rPr>
                <w:rFonts w:ascii="Arial" w:eastAsia="Aptos" w:hAnsi="Arial" w:cs="Arial"/>
              </w:rPr>
              <w:t xml:space="preserve">new alternative licensure pathway is in alignment with the law for </w:t>
            </w:r>
            <w:proofErr w:type="gramStart"/>
            <w:r w:rsidR="00A42D45" w:rsidRPr="00E95959">
              <w:rPr>
                <w:rFonts w:ascii="Arial" w:eastAsia="Aptos" w:hAnsi="Arial" w:cs="Arial"/>
              </w:rPr>
              <w:t>waiving</w:t>
            </w:r>
            <w:proofErr w:type="gramEnd"/>
            <w:r w:rsidR="00A42D45" w:rsidRPr="00E95959">
              <w:rPr>
                <w:rFonts w:ascii="Arial" w:eastAsia="Aptos" w:hAnsi="Arial" w:cs="Arial"/>
              </w:rPr>
              <w:t xml:space="preserve"> one test per candidate.</w:t>
            </w:r>
          </w:p>
        </w:tc>
      </w:tr>
      <w:tr w:rsidR="00F472FF" w:rsidRPr="00E95959" w14:paraId="24AA8D5A" w14:textId="77777777" w:rsidTr="0E392B2F">
        <w:trPr>
          <w:trHeight w:val="300"/>
        </w:trPr>
        <w:tc>
          <w:tcPr>
            <w:tcW w:w="7440" w:type="dxa"/>
          </w:tcPr>
          <w:p w14:paraId="36A589F4" w14:textId="0C3285FE" w:rsidR="00F472FF" w:rsidRPr="00E95959" w:rsidRDefault="000407E0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Create assessments or a</w:t>
            </w:r>
            <w:r w:rsidR="00277660" w:rsidRPr="00E95959">
              <w:rPr>
                <w:rFonts w:ascii="Arial" w:eastAsia="Aptos" w:hAnsi="Arial" w:cs="Arial"/>
                <w:color w:val="000000" w:themeColor="text1"/>
              </w:rPr>
              <w:t xml:space="preserve">llow </w:t>
            </w:r>
            <w:r w:rsidR="0014313A" w:rsidRPr="00E95959">
              <w:rPr>
                <w:rFonts w:ascii="Arial" w:eastAsia="Aptos" w:hAnsi="Arial" w:cs="Arial"/>
                <w:color w:val="000000" w:themeColor="text1"/>
              </w:rPr>
              <w:t xml:space="preserve">competency reviews, performance assessment or portfolios </w:t>
            </w:r>
            <w:r w:rsidR="001958C9" w:rsidRPr="00E95959">
              <w:rPr>
                <w:rFonts w:ascii="Arial" w:eastAsia="Aptos" w:hAnsi="Arial" w:cs="Arial"/>
                <w:color w:val="000000" w:themeColor="text1"/>
              </w:rPr>
              <w:t>in the target language of educators seeking to teach in that language</w:t>
            </w:r>
            <w:r w:rsidR="00EB2E14" w:rsidRPr="00E95959">
              <w:rPr>
                <w:rFonts w:ascii="Arial" w:eastAsia="Aptos" w:hAnsi="Arial" w:cs="Arial"/>
                <w:color w:val="000000" w:themeColor="text1"/>
              </w:rPr>
              <w:t xml:space="preserve"> (some individuals and organizations</w:t>
            </w:r>
            <w:r w:rsidR="33C78E9A" w:rsidRPr="00E95959">
              <w:rPr>
                <w:rFonts w:ascii="Arial" w:eastAsia="Aptos" w:hAnsi="Arial" w:cs="Arial"/>
                <w:color w:val="000000" w:themeColor="text1"/>
              </w:rPr>
              <w:t>)</w:t>
            </w:r>
            <w:r w:rsidR="3D62FDE8" w:rsidRPr="00E95959">
              <w:rPr>
                <w:rFonts w:ascii="Arial" w:eastAsia="Aptos" w:hAnsi="Arial" w:cs="Arial"/>
                <w:color w:val="000000" w:themeColor="text1"/>
              </w:rPr>
              <w:t>.</w:t>
            </w:r>
          </w:p>
        </w:tc>
        <w:tc>
          <w:tcPr>
            <w:tcW w:w="6960" w:type="dxa"/>
          </w:tcPr>
          <w:p w14:paraId="07AA206C" w14:textId="595E64F3" w:rsidR="00F472FF" w:rsidRPr="00E95959" w:rsidRDefault="00A42D45" w:rsidP="009E03CD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>No change.</w:t>
            </w:r>
            <w:r w:rsidR="00B77224" w:rsidRPr="00E95959">
              <w:rPr>
                <w:rFonts w:ascii="Arial" w:eastAsia="Aptos" w:hAnsi="Arial" w:cs="Arial"/>
              </w:rPr>
              <w:t xml:space="preserve"> </w:t>
            </w:r>
            <w:r w:rsidR="0002328E" w:rsidRPr="00E95959">
              <w:rPr>
                <w:rFonts w:ascii="Arial" w:eastAsia="Aptos" w:hAnsi="Arial" w:cs="Arial"/>
              </w:rPr>
              <w:t>Regardless of their intended employment, educators must be prepared to deliver content in the language of instruction, which is predominantly English in Massachusetts</w:t>
            </w:r>
            <w:r w:rsidR="009E03CD" w:rsidRPr="00E95959">
              <w:rPr>
                <w:rFonts w:ascii="Arial" w:eastAsia="Aptos" w:hAnsi="Arial" w:cs="Arial"/>
              </w:rPr>
              <w:t xml:space="preserve">. </w:t>
            </w:r>
            <w:r w:rsidR="007C234B" w:rsidRPr="00E95959">
              <w:rPr>
                <w:rFonts w:ascii="Arial" w:eastAsia="Aptos" w:hAnsi="Arial" w:cs="Arial"/>
              </w:rPr>
              <w:t xml:space="preserve">We will continue to explore considerations for </w:t>
            </w:r>
            <w:r w:rsidR="00716234" w:rsidRPr="00E95959">
              <w:rPr>
                <w:rFonts w:ascii="Arial" w:eastAsia="Aptos" w:hAnsi="Arial" w:cs="Arial"/>
              </w:rPr>
              <w:t xml:space="preserve">teachers working in our bilingual schools in Massachusetts. </w:t>
            </w:r>
          </w:p>
        </w:tc>
      </w:tr>
      <w:tr w:rsidR="00F472FF" w:rsidRPr="00E95959" w14:paraId="3DA1BC36" w14:textId="77777777" w:rsidTr="0E392B2F">
        <w:trPr>
          <w:trHeight w:val="300"/>
        </w:trPr>
        <w:tc>
          <w:tcPr>
            <w:tcW w:w="7440" w:type="dxa"/>
          </w:tcPr>
          <w:p w14:paraId="5BF675F2" w14:textId="7174F56C" w:rsidR="00F472FF" w:rsidRPr="00E95959" w:rsidRDefault="63978998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Expan</w:t>
            </w:r>
            <w:r w:rsidR="399706E3" w:rsidRPr="00E95959">
              <w:rPr>
                <w:rFonts w:ascii="Arial" w:eastAsia="Aptos" w:hAnsi="Arial" w:cs="Arial"/>
                <w:color w:val="000000" w:themeColor="text1"/>
              </w:rPr>
              <w:t xml:space="preserve">d options for the subject matter </w:t>
            </w:r>
            <w:r w:rsidR="4319ECFE" w:rsidRPr="00E95959">
              <w:rPr>
                <w:rFonts w:ascii="Arial" w:eastAsia="Aptos" w:hAnsi="Arial" w:cs="Arial"/>
                <w:color w:val="000000" w:themeColor="text1"/>
              </w:rPr>
              <w:t>test</w:t>
            </w:r>
            <w:r w:rsidR="0AD6FBFF" w:rsidRPr="00E95959">
              <w:rPr>
                <w:rFonts w:ascii="Arial" w:eastAsia="Aptos" w:hAnsi="Arial" w:cs="Arial"/>
                <w:color w:val="000000" w:themeColor="text1"/>
              </w:rPr>
              <w:t xml:space="preserve"> waiver eligibility</w:t>
            </w:r>
            <w:r w:rsidR="335F68F9" w:rsidRPr="00E95959">
              <w:rPr>
                <w:rFonts w:ascii="Arial" w:eastAsia="Aptos" w:hAnsi="Arial" w:cs="Arial"/>
                <w:color w:val="000000" w:themeColor="text1"/>
              </w:rPr>
              <w:t xml:space="preserve">, including </w:t>
            </w:r>
            <w:r w:rsidR="1F345BF3" w:rsidRPr="00E95959">
              <w:rPr>
                <w:rFonts w:ascii="Arial" w:eastAsia="Aptos" w:hAnsi="Arial" w:cs="Arial"/>
                <w:color w:val="000000" w:themeColor="text1"/>
              </w:rPr>
              <w:t xml:space="preserve">passing scores on </w:t>
            </w:r>
            <w:r w:rsidR="761B515B" w:rsidRPr="00E95959">
              <w:rPr>
                <w:rFonts w:ascii="Arial" w:eastAsia="Aptos" w:hAnsi="Arial" w:cs="Arial"/>
                <w:color w:val="000000" w:themeColor="text1"/>
              </w:rPr>
              <w:t>tests for</w:t>
            </w:r>
            <w:r w:rsidR="335F68F9" w:rsidRPr="00E95959">
              <w:rPr>
                <w:rFonts w:ascii="Arial" w:eastAsia="Aptos" w:hAnsi="Arial" w:cs="Arial"/>
                <w:color w:val="000000" w:themeColor="text1"/>
              </w:rPr>
              <w:t xml:space="preserve"> Career Technical </w:t>
            </w:r>
            <w:r w:rsidR="1F345BF3" w:rsidRPr="00E95959">
              <w:rPr>
                <w:rFonts w:ascii="Arial" w:eastAsia="Aptos" w:hAnsi="Arial" w:cs="Arial"/>
                <w:color w:val="000000" w:themeColor="text1"/>
              </w:rPr>
              <w:t>Education</w:t>
            </w:r>
            <w:r w:rsidR="74AC8BB9" w:rsidRPr="00E95959">
              <w:rPr>
                <w:rFonts w:ascii="Arial" w:eastAsia="Aptos" w:hAnsi="Arial" w:cs="Arial"/>
                <w:color w:val="000000" w:themeColor="text1"/>
              </w:rPr>
              <w:t xml:space="preserve"> (CTE)</w:t>
            </w:r>
            <w:r w:rsidR="761B515B" w:rsidRPr="00E95959">
              <w:rPr>
                <w:rFonts w:ascii="Arial" w:eastAsia="Aptos" w:hAnsi="Arial" w:cs="Arial"/>
                <w:color w:val="000000" w:themeColor="text1"/>
              </w:rPr>
              <w:t xml:space="preserve"> licensure</w:t>
            </w:r>
            <w:r w:rsidR="4CEF01E2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16520B" w:rsidRPr="00E95959">
              <w:rPr>
                <w:rFonts w:ascii="Arial" w:eastAsia="Aptos" w:hAnsi="Arial" w:cs="Arial"/>
                <w:color w:val="000000" w:themeColor="text1"/>
              </w:rPr>
              <w:t xml:space="preserve">(some individuals and organizations) </w:t>
            </w:r>
          </w:p>
        </w:tc>
        <w:tc>
          <w:tcPr>
            <w:tcW w:w="6960" w:type="dxa"/>
          </w:tcPr>
          <w:p w14:paraId="1917B5AF" w14:textId="02B8AA0F" w:rsidR="00F472FF" w:rsidRPr="00E95959" w:rsidRDefault="002057CE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Change. </w:t>
            </w:r>
            <w:r w:rsidR="00FF0E3A" w:rsidRPr="00E95959">
              <w:rPr>
                <w:rFonts w:ascii="Arial" w:eastAsia="Aptos" w:hAnsi="Arial" w:cs="Arial"/>
              </w:rPr>
              <w:t>We have added</w:t>
            </w:r>
            <w:r w:rsidRPr="00E95959">
              <w:rPr>
                <w:rFonts w:ascii="Arial" w:eastAsia="Aptos" w:hAnsi="Arial" w:cs="Arial"/>
              </w:rPr>
              <w:t xml:space="preserve"> a passing score on a licens</w:t>
            </w:r>
            <w:r w:rsidR="005D66AB" w:rsidRPr="00E95959">
              <w:rPr>
                <w:rFonts w:ascii="Arial" w:eastAsia="Aptos" w:hAnsi="Arial" w:cs="Arial"/>
              </w:rPr>
              <w:t>ure</w:t>
            </w:r>
            <w:r w:rsidRPr="00E95959">
              <w:rPr>
                <w:rFonts w:ascii="Arial" w:eastAsia="Aptos" w:hAnsi="Arial" w:cs="Arial"/>
              </w:rPr>
              <w:t xml:space="preserve"> test</w:t>
            </w:r>
            <w:r w:rsidR="004D5522" w:rsidRPr="00E95959">
              <w:rPr>
                <w:rFonts w:ascii="Arial" w:eastAsia="Aptos" w:hAnsi="Arial" w:cs="Arial"/>
              </w:rPr>
              <w:t xml:space="preserve"> for</w:t>
            </w:r>
            <w:r w:rsidRPr="00E95959">
              <w:rPr>
                <w:rFonts w:ascii="Arial" w:eastAsia="Aptos" w:hAnsi="Arial" w:cs="Arial"/>
              </w:rPr>
              <w:t xml:space="preserve"> </w:t>
            </w:r>
            <w:r w:rsidR="00AD261F" w:rsidRPr="00E95959">
              <w:rPr>
                <w:rFonts w:ascii="Arial" w:eastAsia="Aptos" w:hAnsi="Arial" w:cs="Arial"/>
              </w:rPr>
              <w:t xml:space="preserve">a </w:t>
            </w:r>
            <w:r w:rsidRPr="00E95959">
              <w:rPr>
                <w:rFonts w:ascii="Arial" w:eastAsia="Aptos" w:hAnsi="Arial" w:cs="Arial"/>
              </w:rPr>
              <w:t xml:space="preserve">Career Technical teacher license </w:t>
            </w:r>
            <w:r w:rsidR="005D66AB" w:rsidRPr="00E95959">
              <w:rPr>
                <w:rFonts w:ascii="Arial" w:eastAsia="Aptos" w:hAnsi="Arial" w:cs="Arial"/>
              </w:rPr>
              <w:t xml:space="preserve">in the field of the license sought </w:t>
            </w:r>
            <w:r w:rsidRPr="00E95959">
              <w:rPr>
                <w:rFonts w:ascii="Arial" w:eastAsia="Aptos" w:hAnsi="Arial" w:cs="Arial"/>
              </w:rPr>
              <w:t xml:space="preserve">to </w:t>
            </w:r>
            <w:r w:rsidRPr="00E95959">
              <w:rPr>
                <w:rFonts w:ascii="Arial" w:eastAsia="Aptos" w:hAnsi="Arial" w:cs="Arial"/>
              </w:rPr>
              <w:lastRenderedPageBreak/>
              <w:t>the options for eligibility for the portfolio,</w:t>
            </w:r>
            <w:r w:rsidR="005D66AB" w:rsidRPr="00E95959">
              <w:rPr>
                <w:rFonts w:ascii="Arial" w:eastAsia="Aptos" w:hAnsi="Arial" w:cs="Arial"/>
              </w:rPr>
              <w:t xml:space="preserve"> to waive the subject matter knowledge assessment</w:t>
            </w:r>
            <w:r w:rsidR="004D5522" w:rsidRPr="00E95959">
              <w:rPr>
                <w:rFonts w:ascii="Arial" w:eastAsia="Aptos" w:hAnsi="Arial" w:cs="Arial"/>
              </w:rPr>
              <w:t>.</w:t>
            </w:r>
          </w:p>
        </w:tc>
      </w:tr>
      <w:tr w:rsidR="73365B2C" w:rsidRPr="00E95959" w14:paraId="4FB8796F" w14:textId="77777777" w:rsidTr="0E392B2F">
        <w:trPr>
          <w:trHeight w:val="300"/>
        </w:trPr>
        <w:tc>
          <w:tcPr>
            <w:tcW w:w="7440" w:type="dxa"/>
          </w:tcPr>
          <w:p w14:paraId="675D82C4" w14:textId="316827A5" w:rsidR="586A0831" w:rsidRPr="00E95959" w:rsidRDefault="586A0831" w:rsidP="73365B2C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lastRenderedPageBreak/>
              <w:t>Expand options for the subject matter test waiver eligibility, including active and valid licenses or certifications required by industry or government work in the technical area (some individuals and organizations)</w:t>
            </w:r>
          </w:p>
        </w:tc>
        <w:tc>
          <w:tcPr>
            <w:tcW w:w="6960" w:type="dxa"/>
          </w:tcPr>
          <w:p w14:paraId="7DDC51F1" w14:textId="6BEFEC99" w:rsidR="586A0831" w:rsidRPr="00E95959" w:rsidRDefault="586A0831" w:rsidP="73365B2C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There appears to be limited to no licenses or certification areas </w:t>
            </w:r>
            <w:r w:rsidR="22039DC1" w:rsidRPr="00E95959">
              <w:rPr>
                <w:rFonts w:ascii="Arial" w:eastAsia="Aptos" w:hAnsi="Arial" w:cs="Arial"/>
              </w:rPr>
              <w:t>where the individual would</w:t>
            </w:r>
            <w:r w:rsidR="3637D9FF" w:rsidRPr="00E95959">
              <w:rPr>
                <w:rFonts w:ascii="Arial" w:eastAsia="Aptos" w:hAnsi="Arial" w:cs="Arial"/>
              </w:rPr>
              <w:t>n’t</w:t>
            </w:r>
            <w:r w:rsidRPr="00E95959">
              <w:rPr>
                <w:rFonts w:ascii="Arial" w:eastAsia="Aptos" w:hAnsi="Arial" w:cs="Arial"/>
              </w:rPr>
              <w:t xml:space="preserve"> already b</w:t>
            </w:r>
            <w:r w:rsidR="0E656067" w:rsidRPr="00E95959">
              <w:rPr>
                <w:rFonts w:ascii="Arial" w:eastAsia="Aptos" w:hAnsi="Arial" w:cs="Arial"/>
              </w:rPr>
              <w:t xml:space="preserve">e eligible </w:t>
            </w:r>
            <w:r w:rsidR="045D347C" w:rsidRPr="00E95959">
              <w:rPr>
                <w:rFonts w:ascii="Arial" w:eastAsia="Aptos" w:hAnsi="Arial" w:cs="Arial"/>
              </w:rPr>
              <w:t xml:space="preserve">for the portfolio </w:t>
            </w:r>
            <w:r w:rsidR="0E656067" w:rsidRPr="00E95959">
              <w:rPr>
                <w:rFonts w:ascii="Arial" w:eastAsia="Aptos" w:hAnsi="Arial" w:cs="Arial"/>
              </w:rPr>
              <w:t>based on the other eligibility options</w:t>
            </w:r>
            <w:r w:rsidR="3283B51C" w:rsidRPr="00E95959">
              <w:rPr>
                <w:rFonts w:ascii="Arial" w:eastAsia="Aptos" w:hAnsi="Arial" w:cs="Arial"/>
              </w:rPr>
              <w:t xml:space="preserve"> available as outlined in the proposed regulations</w:t>
            </w:r>
            <w:r w:rsidR="0E656067" w:rsidRPr="00E95959">
              <w:rPr>
                <w:rFonts w:ascii="Arial" w:eastAsia="Aptos" w:hAnsi="Arial" w:cs="Arial"/>
              </w:rPr>
              <w:t>.</w:t>
            </w:r>
            <w:r w:rsidRPr="00E95959">
              <w:rPr>
                <w:rFonts w:ascii="Arial" w:eastAsia="Aptos" w:hAnsi="Arial" w:cs="Arial"/>
              </w:rPr>
              <w:t xml:space="preserve">  </w:t>
            </w:r>
          </w:p>
        </w:tc>
      </w:tr>
      <w:tr w:rsidR="00F472FF" w:rsidRPr="00E95959" w14:paraId="36EA4478" w14:textId="77777777" w:rsidTr="0E392B2F">
        <w:trPr>
          <w:trHeight w:val="300"/>
        </w:trPr>
        <w:tc>
          <w:tcPr>
            <w:tcW w:w="7440" w:type="dxa"/>
          </w:tcPr>
          <w:p w14:paraId="5A5E002D" w14:textId="7E01F68E" w:rsidR="00F472FF" w:rsidRPr="00E95959" w:rsidRDefault="00403D31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Expand the alternative licensure pathway to Career Technical Educator licenses</w:t>
            </w:r>
          </w:p>
        </w:tc>
        <w:tc>
          <w:tcPr>
            <w:tcW w:w="6960" w:type="dxa"/>
          </w:tcPr>
          <w:p w14:paraId="6339AE8D" w14:textId="1553A754" w:rsidR="00F472FF" w:rsidRPr="00E95959" w:rsidRDefault="672BE984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</w:t>
            </w:r>
            <w:r w:rsidR="035ADE43" w:rsidRPr="00E95959">
              <w:rPr>
                <w:rFonts w:ascii="Arial" w:eastAsia="Aptos" w:hAnsi="Arial" w:cs="Arial"/>
              </w:rPr>
              <w:t xml:space="preserve">CTE </w:t>
            </w:r>
            <w:r w:rsidR="4A38863A" w:rsidRPr="00E95959">
              <w:rPr>
                <w:rFonts w:ascii="Arial" w:eastAsia="Aptos" w:hAnsi="Arial" w:cs="Arial"/>
              </w:rPr>
              <w:t xml:space="preserve">teachers will </w:t>
            </w:r>
            <w:r w:rsidR="2F05695A" w:rsidRPr="00E95959">
              <w:rPr>
                <w:rFonts w:ascii="Arial" w:eastAsia="Aptos" w:hAnsi="Arial" w:cs="Arial"/>
              </w:rPr>
              <w:t xml:space="preserve">be </w:t>
            </w:r>
            <w:r w:rsidR="4A38863A" w:rsidRPr="00E95959">
              <w:rPr>
                <w:rFonts w:ascii="Arial" w:eastAsia="Aptos" w:hAnsi="Arial" w:cs="Arial"/>
              </w:rPr>
              <w:t>eligible to waive the Communication and Literacy Skills test</w:t>
            </w:r>
            <w:r w:rsidR="349EA62E" w:rsidRPr="00E95959">
              <w:rPr>
                <w:rFonts w:ascii="Arial" w:eastAsia="Aptos" w:hAnsi="Arial" w:cs="Arial"/>
              </w:rPr>
              <w:t xml:space="preserve"> (CLST) </w:t>
            </w:r>
            <w:r w:rsidR="4A38863A" w:rsidRPr="00E95959">
              <w:rPr>
                <w:rFonts w:ascii="Arial" w:eastAsia="Aptos" w:hAnsi="Arial" w:cs="Arial"/>
              </w:rPr>
              <w:t xml:space="preserve">based on the language in 603 CMR 4.00 for use of the </w:t>
            </w:r>
            <w:r w:rsidR="349EA62E" w:rsidRPr="00E95959">
              <w:rPr>
                <w:rFonts w:ascii="Arial" w:eastAsia="Aptos" w:hAnsi="Arial" w:cs="Arial"/>
              </w:rPr>
              <w:t xml:space="preserve">603 CMR 7.00 CLST. </w:t>
            </w:r>
            <w:r w:rsidRPr="00E95959">
              <w:rPr>
                <w:rFonts w:ascii="Arial" w:eastAsia="Aptos" w:hAnsi="Arial" w:cs="Arial"/>
              </w:rPr>
              <w:t xml:space="preserve">We will continue to explore this for </w:t>
            </w:r>
            <w:r w:rsidR="349EA62E" w:rsidRPr="00E95959">
              <w:rPr>
                <w:rFonts w:ascii="Arial" w:eastAsia="Aptos" w:hAnsi="Arial" w:cs="Arial"/>
              </w:rPr>
              <w:t xml:space="preserve">subject matter tests for </w:t>
            </w:r>
            <w:r w:rsidRPr="00E95959">
              <w:rPr>
                <w:rFonts w:ascii="Arial" w:eastAsia="Aptos" w:hAnsi="Arial" w:cs="Arial"/>
              </w:rPr>
              <w:t>Career Technical</w:t>
            </w:r>
            <w:r w:rsidR="682A72EB" w:rsidRPr="00E95959">
              <w:rPr>
                <w:rFonts w:ascii="Arial" w:eastAsia="Aptos" w:hAnsi="Arial" w:cs="Arial"/>
              </w:rPr>
              <w:t xml:space="preserve"> educator licensure</w:t>
            </w:r>
            <w:r w:rsidRPr="00E95959">
              <w:rPr>
                <w:rFonts w:ascii="Arial" w:eastAsia="Aptos" w:hAnsi="Arial" w:cs="Arial"/>
              </w:rPr>
              <w:t>, but there is no</w:t>
            </w:r>
            <w:r w:rsidR="43E84E60" w:rsidRPr="00E95959">
              <w:rPr>
                <w:rFonts w:ascii="Arial" w:eastAsia="Aptos" w:hAnsi="Arial" w:cs="Arial"/>
              </w:rPr>
              <w:t xml:space="preserve"> </w:t>
            </w:r>
            <w:r w:rsidRPr="00E95959">
              <w:rPr>
                <w:rFonts w:ascii="Arial" w:eastAsia="Aptos" w:hAnsi="Arial" w:cs="Arial"/>
              </w:rPr>
              <w:t xml:space="preserve">change for the 603 </w:t>
            </w:r>
            <w:r w:rsidR="2F05695A" w:rsidRPr="00E95959">
              <w:rPr>
                <w:rFonts w:ascii="Arial" w:eastAsia="Aptos" w:hAnsi="Arial" w:cs="Arial"/>
              </w:rPr>
              <w:t xml:space="preserve">CMR </w:t>
            </w:r>
            <w:r w:rsidRPr="00E95959">
              <w:rPr>
                <w:rFonts w:ascii="Arial" w:eastAsia="Aptos" w:hAnsi="Arial" w:cs="Arial"/>
              </w:rPr>
              <w:t>7.00 regulations</w:t>
            </w:r>
            <w:r w:rsidR="0B8187AD" w:rsidRPr="00E95959">
              <w:rPr>
                <w:rFonts w:ascii="Arial" w:eastAsia="Aptos" w:hAnsi="Arial" w:cs="Arial"/>
              </w:rPr>
              <w:t xml:space="preserve"> in response to this comment</w:t>
            </w:r>
            <w:r w:rsidRPr="00E95959">
              <w:rPr>
                <w:rFonts w:ascii="Arial" w:eastAsia="Aptos" w:hAnsi="Arial" w:cs="Arial"/>
              </w:rPr>
              <w:t>.</w:t>
            </w:r>
          </w:p>
        </w:tc>
      </w:tr>
      <w:tr w:rsidR="002A5C74" w:rsidRPr="00E95959" w14:paraId="77080CA2" w14:textId="77777777" w:rsidTr="0E392B2F">
        <w:trPr>
          <w:trHeight w:val="300"/>
        </w:trPr>
        <w:tc>
          <w:tcPr>
            <w:tcW w:w="7440" w:type="dxa"/>
          </w:tcPr>
          <w:p w14:paraId="65D0404B" w14:textId="63CBC5D6" w:rsidR="002A5C74" w:rsidRPr="00E95959" w:rsidRDefault="462D8F32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There should be no alternative licensure pathway,</w:t>
            </w:r>
            <w:r w:rsidR="2719E44A" w:rsidRPr="00E95959">
              <w:rPr>
                <w:rFonts w:ascii="Arial" w:eastAsia="Aptos" w:hAnsi="Arial" w:cs="Arial"/>
                <w:color w:val="000000" w:themeColor="text1"/>
              </w:rPr>
              <w:t xml:space="preserve"> as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CD860AC" w:rsidRPr="00E95959">
              <w:rPr>
                <w:rFonts w:ascii="Arial" w:eastAsia="Aptos" w:hAnsi="Arial" w:cs="Arial"/>
                <w:color w:val="000000" w:themeColor="text1"/>
              </w:rPr>
              <w:t>there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need</w:t>
            </w:r>
            <w:r w:rsidR="0CD860AC" w:rsidRPr="00E95959">
              <w:rPr>
                <w:rFonts w:ascii="Arial" w:eastAsia="Aptos" w:hAnsi="Arial" w:cs="Arial"/>
                <w:color w:val="000000" w:themeColor="text1"/>
              </w:rPr>
              <w:t>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CD860AC" w:rsidRPr="00E95959">
              <w:rPr>
                <w:rFonts w:ascii="Arial" w:eastAsia="Aptos" w:hAnsi="Arial" w:cs="Arial"/>
                <w:color w:val="000000" w:themeColor="text1"/>
              </w:rPr>
              <w:t>to be a standard to measure teacher’s content knowledge</w:t>
            </w:r>
            <w:r w:rsidR="525ED4B4" w:rsidRPr="00E95959">
              <w:rPr>
                <w:rFonts w:ascii="Arial" w:eastAsia="Aptos" w:hAnsi="Arial" w:cs="Arial"/>
                <w:color w:val="000000" w:themeColor="text1"/>
              </w:rPr>
              <w:t xml:space="preserve"> (some individuals)</w:t>
            </w:r>
            <w:r w:rsidR="0CD860AC" w:rsidRPr="00E95959">
              <w:rPr>
                <w:rFonts w:ascii="Arial" w:eastAsia="Aptos" w:hAnsi="Arial" w:cs="Arial"/>
                <w:color w:val="000000" w:themeColor="text1"/>
              </w:rPr>
              <w:t>.</w:t>
            </w:r>
          </w:p>
        </w:tc>
        <w:tc>
          <w:tcPr>
            <w:tcW w:w="6960" w:type="dxa"/>
          </w:tcPr>
          <w:p w14:paraId="013F5E0F" w14:textId="51FD1A3B" w:rsidR="002A5C74" w:rsidRPr="00E95959" w:rsidRDefault="002E216F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The law requires DESE to implement the alternative licensure pathway. We </w:t>
            </w:r>
            <w:r w:rsidR="006B5ACF" w:rsidRPr="00E95959">
              <w:rPr>
                <w:rFonts w:ascii="Arial" w:eastAsia="Aptos" w:hAnsi="Arial" w:cs="Arial"/>
              </w:rPr>
              <w:t xml:space="preserve">will evaluate the different pathways, as outlined in the proposed </w:t>
            </w:r>
            <w:r w:rsidR="00CF2307" w:rsidRPr="00E95959">
              <w:rPr>
                <w:rFonts w:ascii="Arial" w:eastAsia="Aptos" w:hAnsi="Arial" w:cs="Arial"/>
              </w:rPr>
              <w:t xml:space="preserve">regulations, to ensure candidates </w:t>
            </w:r>
            <w:proofErr w:type="gramStart"/>
            <w:r w:rsidR="00CF2307" w:rsidRPr="00E95959">
              <w:rPr>
                <w:rFonts w:ascii="Arial" w:eastAsia="Aptos" w:hAnsi="Arial" w:cs="Arial"/>
              </w:rPr>
              <w:t>waiving</w:t>
            </w:r>
            <w:proofErr w:type="gramEnd"/>
            <w:r w:rsidR="00CF2307" w:rsidRPr="00E95959">
              <w:rPr>
                <w:rFonts w:ascii="Arial" w:eastAsia="Aptos" w:hAnsi="Arial" w:cs="Arial"/>
              </w:rPr>
              <w:t xml:space="preserve"> one licensure test are </w:t>
            </w:r>
            <w:r w:rsidR="0002328E" w:rsidRPr="00E95959">
              <w:rPr>
                <w:rFonts w:ascii="Arial" w:eastAsia="Aptos" w:hAnsi="Arial" w:cs="Arial"/>
              </w:rPr>
              <w:t>as effective as</w:t>
            </w:r>
            <w:r w:rsidR="00CF2307" w:rsidRPr="00E95959">
              <w:rPr>
                <w:rFonts w:ascii="Arial" w:eastAsia="Aptos" w:hAnsi="Arial" w:cs="Arial"/>
              </w:rPr>
              <w:t xml:space="preserve"> those taking the MTEL or approved alternative assessment.</w:t>
            </w:r>
          </w:p>
        </w:tc>
      </w:tr>
      <w:tr w:rsidR="00DB08DB" w:rsidRPr="00E95959" w14:paraId="56FB611C" w14:textId="77777777" w:rsidTr="0E392B2F">
        <w:trPr>
          <w:trHeight w:val="300"/>
        </w:trPr>
        <w:tc>
          <w:tcPr>
            <w:tcW w:w="14400" w:type="dxa"/>
            <w:gridSpan w:val="2"/>
            <w:shd w:val="clear" w:color="auto" w:fill="FBE4D5" w:themeFill="accent2" w:themeFillTint="33"/>
          </w:tcPr>
          <w:p w14:paraId="125EB967" w14:textId="1BA91217" w:rsidR="00DB08DB" w:rsidRPr="00E95959" w:rsidRDefault="1C178EF6" w:rsidP="00E66902">
            <w:pPr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7.09 &amp; 7.11</w:t>
            </w:r>
            <w:r w:rsidR="4E59C968" w:rsidRPr="00E95959">
              <w:rPr>
                <w:rFonts w:ascii="Arial" w:eastAsia="Aptos" w:hAnsi="Arial" w:cs="Arial"/>
                <w:b/>
                <w:bCs/>
              </w:rPr>
              <w:t xml:space="preserve"> Alternative Licensure Pathway for Administrators and Professional Support Personnel to </w:t>
            </w:r>
            <w:r w:rsidR="3D74DB63" w:rsidRPr="00E95959">
              <w:rPr>
                <w:rFonts w:ascii="Arial" w:eastAsia="Aptos" w:hAnsi="Arial" w:cs="Arial"/>
                <w:b/>
                <w:bCs/>
              </w:rPr>
              <w:t>W</w:t>
            </w:r>
            <w:r w:rsidR="4E59C968" w:rsidRPr="00E95959">
              <w:rPr>
                <w:rFonts w:ascii="Arial" w:eastAsia="Aptos" w:hAnsi="Arial" w:cs="Arial"/>
                <w:b/>
                <w:bCs/>
              </w:rPr>
              <w:t>aive the Communication and Literacy Skills Test</w:t>
            </w:r>
          </w:p>
        </w:tc>
      </w:tr>
      <w:tr w:rsidR="00DB08DB" w:rsidRPr="00E95959" w14:paraId="292A6404" w14:textId="77777777" w:rsidTr="0E392B2F">
        <w:trPr>
          <w:trHeight w:val="300"/>
        </w:trPr>
        <w:tc>
          <w:tcPr>
            <w:tcW w:w="7440" w:type="dxa"/>
          </w:tcPr>
          <w:p w14:paraId="04C94DF6" w14:textId="24CD702F" w:rsidR="00DB08DB" w:rsidRPr="00E95959" w:rsidRDefault="0805D375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Comment</w:t>
            </w:r>
            <w:r w:rsidR="4532D68C" w:rsidRPr="00E95959">
              <w:rPr>
                <w:rFonts w:ascii="Arial" w:eastAsia="Aptos" w:hAnsi="Arial" w:cs="Arial"/>
                <w:color w:val="000000" w:themeColor="text1"/>
              </w:rPr>
              <w:t>e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rs overall support creating this new Alternative Licensure Pathway for administrators and </w:t>
            </w:r>
            <w:r w:rsidR="07AA2F7B" w:rsidRPr="00E95959">
              <w:rPr>
                <w:rFonts w:ascii="Arial" w:eastAsia="Aptos" w:hAnsi="Arial" w:cs="Arial"/>
                <w:color w:val="000000" w:themeColor="text1"/>
              </w:rPr>
              <w:t>professional support personnel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to waive the Communications and Literacy Skills test (most individuals and organizations).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39C0813A" w14:textId="30AADD1B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  <w:tr w:rsidR="00CE15B3" w:rsidRPr="00E95959" w14:paraId="3FE8FB08" w14:textId="77777777" w:rsidTr="0E392B2F">
        <w:trPr>
          <w:trHeight w:val="300"/>
        </w:trPr>
        <w:tc>
          <w:tcPr>
            <w:tcW w:w="7440" w:type="dxa"/>
          </w:tcPr>
          <w:p w14:paraId="09EFC933" w14:textId="18380513" w:rsidR="00CE15B3" w:rsidRPr="00E95959" w:rsidRDefault="000649E6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O</w:t>
            </w:r>
            <w:r w:rsidR="00F005FC" w:rsidRPr="00E95959">
              <w:rPr>
                <w:rFonts w:ascii="Arial" w:eastAsia="Aptos" w:hAnsi="Arial" w:cs="Arial"/>
                <w:color w:val="000000" w:themeColor="text1"/>
              </w:rPr>
              <w:t>ppos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>ition to</w:t>
            </w:r>
            <w:r w:rsidR="00F005FC" w:rsidRPr="00E95959">
              <w:rPr>
                <w:rFonts w:ascii="Arial" w:eastAsia="Aptos" w:hAnsi="Arial" w:cs="Arial"/>
                <w:color w:val="000000" w:themeColor="text1"/>
              </w:rPr>
              <w:t xml:space="preserve"> this change</w:t>
            </w:r>
            <w:r w:rsidR="000D5AC8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C03DE8" w:rsidRPr="00E95959">
              <w:rPr>
                <w:rFonts w:ascii="Arial" w:eastAsia="Aptos" w:hAnsi="Arial" w:cs="Arial"/>
                <w:color w:val="000000" w:themeColor="text1"/>
              </w:rPr>
              <w:t>because</w:t>
            </w:r>
            <w:r w:rsidR="002652D3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F005FC" w:rsidRPr="00E95959">
              <w:rPr>
                <w:rFonts w:ascii="Arial" w:eastAsia="Aptos" w:hAnsi="Arial" w:cs="Arial"/>
                <w:color w:val="000000" w:themeColor="text1"/>
              </w:rPr>
              <w:t>t</w:t>
            </w:r>
            <w:r w:rsidR="006C4E64" w:rsidRPr="00E95959">
              <w:rPr>
                <w:rFonts w:ascii="Arial" w:eastAsia="Aptos" w:hAnsi="Arial" w:cs="Arial"/>
                <w:color w:val="000000" w:themeColor="text1"/>
              </w:rPr>
              <w:t xml:space="preserve">he Communications and Literacy Skills test is a basic skills test that </w:t>
            </w:r>
            <w:r w:rsidR="00F005FC" w:rsidRPr="00E95959">
              <w:rPr>
                <w:rFonts w:ascii="Arial" w:eastAsia="Aptos" w:hAnsi="Arial" w:cs="Arial"/>
                <w:color w:val="000000" w:themeColor="text1"/>
              </w:rPr>
              <w:t>should not be waivable</w:t>
            </w:r>
            <w:r w:rsidR="006E379D" w:rsidRPr="00E95959">
              <w:rPr>
                <w:rFonts w:ascii="Arial" w:eastAsia="Aptos" w:hAnsi="Arial" w:cs="Arial"/>
                <w:color w:val="000000" w:themeColor="text1"/>
              </w:rPr>
              <w:t xml:space="preserve"> (</w:t>
            </w:r>
            <w:r w:rsidR="001F0A1E" w:rsidRPr="00E95959">
              <w:rPr>
                <w:rFonts w:ascii="Arial" w:eastAsia="Aptos" w:hAnsi="Arial" w:cs="Arial"/>
                <w:color w:val="000000" w:themeColor="text1"/>
              </w:rPr>
              <w:t>some</w:t>
            </w:r>
            <w:r w:rsidR="006E379D" w:rsidRPr="00E95959">
              <w:rPr>
                <w:rFonts w:ascii="Arial" w:eastAsia="Aptos" w:hAnsi="Arial" w:cs="Arial"/>
                <w:color w:val="000000" w:themeColor="text1"/>
              </w:rPr>
              <w:t xml:space="preserve"> individuals)</w:t>
            </w:r>
          </w:p>
        </w:tc>
        <w:tc>
          <w:tcPr>
            <w:tcW w:w="6960" w:type="dxa"/>
          </w:tcPr>
          <w:p w14:paraId="4F064DF1" w14:textId="50125918" w:rsidR="00CE15B3" w:rsidRPr="00E95959" w:rsidRDefault="006E379D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</w:t>
            </w:r>
            <w:r w:rsidR="00141134" w:rsidRPr="00E95959">
              <w:rPr>
                <w:rFonts w:ascii="Arial" w:eastAsia="Aptos" w:hAnsi="Arial" w:cs="Arial"/>
              </w:rPr>
              <w:t>The new</w:t>
            </w:r>
            <w:r w:rsidR="00394BB2" w:rsidRPr="00E95959">
              <w:rPr>
                <w:rFonts w:ascii="Arial" w:eastAsia="Aptos" w:hAnsi="Arial" w:cs="Arial"/>
              </w:rPr>
              <w:t xml:space="preserve"> law requires </w:t>
            </w:r>
            <w:r w:rsidR="00DF6B46" w:rsidRPr="00E95959">
              <w:rPr>
                <w:rFonts w:ascii="Arial" w:eastAsia="Aptos" w:hAnsi="Arial" w:cs="Arial"/>
              </w:rPr>
              <w:t>DESE to</w:t>
            </w:r>
            <w:r w:rsidR="001D4070" w:rsidRPr="00E95959">
              <w:rPr>
                <w:rFonts w:ascii="Arial" w:eastAsia="Aptos" w:hAnsi="Arial" w:cs="Arial"/>
              </w:rPr>
              <w:t xml:space="preserve"> </w:t>
            </w:r>
            <w:r w:rsidR="00C9201A" w:rsidRPr="00E95959">
              <w:rPr>
                <w:rFonts w:ascii="Arial" w:eastAsia="Aptos" w:hAnsi="Arial" w:cs="Arial"/>
              </w:rPr>
              <w:t>implement this new alternativ</w:t>
            </w:r>
            <w:r w:rsidR="00902A6E" w:rsidRPr="00E95959">
              <w:rPr>
                <w:rFonts w:ascii="Arial" w:eastAsia="Aptos" w:hAnsi="Arial" w:cs="Arial"/>
              </w:rPr>
              <w:t xml:space="preserve">e licensure pathway that allows for the waiving of one </w:t>
            </w:r>
            <w:r w:rsidR="004D13CA" w:rsidRPr="00E95959">
              <w:rPr>
                <w:rFonts w:ascii="Arial" w:eastAsia="Aptos" w:hAnsi="Arial" w:cs="Arial"/>
              </w:rPr>
              <w:t>licensure test</w:t>
            </w:r>
            <w:r w:rsidR="007E3512" w:rsidRPr="00E95959">
              <w:rPr>
                <w:rFonts w:ascii="Arial" w:eastAsia="Aptos" w:hAnsi="Arial" w:cs="Arial"/>
              </w:rPr>
              <w:t xml:space="preserve">. </w:t>
            </w:r>
            <w:r w:rsidRPr="00E95959">
              <w:rPr>
                <w:rFonts w:ascii="Arial" w:eastAsia="Aptos" w:hAnsi="Arial" w:cs="Arial"/>
              </w:rPr>
              <w:t xml:space="preserve">This new pathway </w:t>
            </w:r>
            <w:r w:rsidR="00641E05" w:rsidRPr="00E95959">
              <w:rPr>
                <w:rFonts w:ascii="Arial" w:eastAsia="Aptos" w:hAnsi="Arial" w:cs="Arial"/>
              </w:rPr>
              <w:t>allows candidates to demonstrate their communication and literacy skills through the options outlined in the proposed language</w:t>
            </w:r>
            <w:r w:rsidR="00FC2C77" w:rsidRPr="00E95959">
              <w:rPr>
                <w:rFonts w:ascii="Arial" w:eastAsia="Aptos" w:hAnsi="Arial" w:cs="Arial"/>
              </w:rPr>
              <w:t xml:space="preserve"> in the regulations to ensure educators </w:t>
            </w:r>
            <w:r w:rsidR="0062595C" w:rsidRPr="00E95959">
              <w:rPr>
                <w:rFonts w:ascii="Arial" w:eastAsia="Aptos" w:hAnsi="Arial" w:cs="Arial"/>
              </w:rPr>
              <w:t>have these skills.</w:t>
            </w:r>
          </w:p>
        </w:tc>
      </w:tr>
      <w:tr w:rsidR="00DB08DB" w:rsidRPr="00E95959" w14:paraId="2ABA009C" w14:textId="77777777" w:rsidTr="0E392B2F">
        <w:trPr>
          <w:trHeight w:val="300"/>
        </w:trPr>
        <w:tc>
          <w:tcPr>
            <w:tcW w:w="7440" w:type="dxa"/>
          </w:tcPr>
          <w:p w14:paraId="5A4BAE0A" w14:textId="47F1D892" w:rsidR="00DB08DB" w:rsidRPr="00E95959" w:rsidRDefault="24697837" w:rsidP="00E66902">
            <w:pPr>
              <w:rPr>
                <w:rFonts w:ascii="Arial" w:eastAsia="Aptos" w:hAnsi="Arial" w:cs="Arial"/>
                <w:color w:val="000000" w:themeColor="text1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The alternative licensure pathway should </w:t>
            </w:r>
            <w:r w:rsidR="47BAB0AD" w:rsidRPr="00E95959">
              <w:rPr>
                <w:rFonts w:ascii="Arial" w:eastAsia="Aptos" w:hAnsi="Arial" w:cs="Arial"/>
                <w:color w:val="000000" w:themeColor="text1"/>
              </w:rPr>
              <w:t xml:space="preserve">allow for the waiving of the Communication and Literacy Skills test </w:t>
            </w:r>
            <w:r w:rsidR="47BAB0AD" w:rsidRPr="00E95959">
              <w:rPr>
                <w:rFonts w:ascii="Arial" w:eastAsia="Aptos" w:hAnsi="Arial" w:cs="Arial"/>
                <w:color w:val="000000" w:themeColor="text1"/>
                <w:u w:val="single"/>
              </w:rPr>
              <w:t>and</w:t>
            </w:r>
            <w:r w:rsidR="47BAB0AD" w:rsidRPr="00E95959">
              <w:rPr>
                <w:rFonts w:ascii="Arial" w:eastAsia="Aptos" w:hAnsi="Arial" w:cs="Arial"/>
                <w:color w:val="000000" w:themeColor="text1"/>
              </w:rPr>
              <w:t xml:space="preserve"> the </w:t>
            </w:r>
            <w:r w:rsidR="6CB60777" w:rsidRPr="00E95959">
              <w:rPr>
                <w:rFonts w:ascii="Arial" w:eastAsia="Aptos" w:hAnsi="Arial" w:cs="Arial"/>
                <w:color w:val="000000" w:themeColor="text1"/>
              </w:rPr>
              <w:t>Performance Assessment for Leaders</w:t>
            </w:r>
            <w:r w:rsidR="48EBA169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6CB60777" w:rsidRPr="00E95959">
              <w:rPr>
                <w:rFonts w:ascii="Arial" w:eastAsia="Aptos" w:hAnsi="Arial" w:cs="Arial"/>
                <w:color w:val="000000" w:themeColor="text1"/>
              </w:rPr>
              <w:t>that is required for initial Principal/Assistant Principal licensure</w:t>
            </w:r>
            <w:r w:rsidR="47BAB0AD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6DC047B0" w:rsidRPr="00E95959">
              <w:rPr>
                <w:rFonts w:ascii="Arial" w:eastAsia="Aptos" w:hAnsi="Arial" w:cs="Arial"/>
                <w:color w:val="000000" w:themeColor="text1"/>
              </w:rPr>
              <w:t>(</w:t>
            </w:r>
            <w:r w:rsidR="2E0DED1D" w:rsidRPr="00E95959">
              <w:rPr>
                <w:rFonts w:ascii="Arial" w:eastAsia="Aptos" w:hAnsi="Arial" w:cs="Arial"/>
                <w:color w:val="000000" w:themeColor="text1"/>
              </w:rPr>
              <w:t>some</w:t>
            </w:r>
            <w:r w:rsidR="6DC047B0" w:rsidRPr="00E95959">
              <w:rPr>
                <w:rFonts w:ascii="Arial" w:eastAsia="Aptos" w:hAnsi="Arial" w:cs="Arial"/>
                <w:color w:val="000000" w:themeColor="text1"/>
              </w:rPr>
              <w:t xml:space="preserve"> individuals)</w:t>
            </w:r>
          </w:p>
        </w:tc>
        <w:tc>
          <w:tcPr>
            <w:tcW w:w="6960" w:type="dxa"/>
          </w:tcPr>
          <w:p w14:paraId="2460A581" w14:textId="35A56246" w:rsidR="00DB08DB" w:rsidRPr="00E95959" w:rsidRDefault="6DC047B0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</w:t>
            </w:r>
            <w:r w:rsidR="3A15F7C8" w:rsidRPr="00E95959">
              <w:rPr>
                <w:rFonts w:ascii="Arial" w:eastAsia="Aptos" w:hAnsi="Arial" w:cs="Arial"/>
              </w:rPr>
              <w:t>Potential principals/assistant principals may waive the communication and literacy skills test requirement under the revised regulations if they meet the eligibility criteria. </w:t>
            </w:r>
            <w:r w:rsidRPr="00E95959">
              <w:rPr>
                <w:rFonts w:ascii="Arial" w:eastAsia="Aptos" w:hAnsi="Arial" w:cs="Arial"/>
              </w:rPr>
              <w:t xml:space="preserve">The Performance Assessment for Leaders (PAL) is an assessment </w:t>
            </w:r>
            <w:r w:rsidR="50A3F5C9" w:rsidRPr="00E95959">
              <w:rPr>
                <w:rFonts w:ascii="Arial" w:eastAsia="Aptos" w:hAnsi="Arial" w:cs="Arial"/>
              </w:rPr>
              <w:t>designed to</w:t>
            </w:r>
            <w:r w:rsidRPr="00E95959">
              <w:rPr>
                <w:rFonts w:ascii="Arial" w:eastAsia="Aptos" w:hAnsi="Arial" w:cs="Arial"/>
              </w:rPr>
              <w:t xml:space="preserve"> ensure that </w:t>
            </w:r>
            <w:r w:rsidR="79E4DEAC" w:rsidRPr="00E95959">
              <w:rPr>
                <w:rFonts w:ascii="Arial" w:eastAsia="Aptos" w:hAnsi="Arial" w:cs="Arial"/>
              </w:rPr>
              <w:t>initial licensure principal candidates</w:t>
            </w:r>
            <w:r w:rsidRPr="00E95959">
              <w:rPr>
                <w:rFonts w:ascii="Arial" w:eastAsia="Aptos" w:hAnsi="Arial" w:cs="Arial"/>
              </w:rPr>
              <w:t xml:space="preserve"> across multiple preparation pathways have met the same standards for school leaders as aligned to the Guidelines for the Preparation of Administrative Leaders. </w:t>
            </w:r>
            <w:r w:rsidR="40462F8A" w:rsidRPr="00E95959">
              <w:rPr>
                <w:rFonts w:ascii="Arial" w:eastAsia="Aptos" w:hAnsi="Arial" w:cs="Arial"/>
              </w:rPr>
              <w:t xml:space="preserve">DESE </w:t>
            </w:r>
            <w:r w:rsidR="64A13ECA" w:rsidRPr="00E95959">
              <w:rPr>
                <w:rFonts w:ascii="Arial" w:eastAsia="Aptos" w:hAnsi="Arial" w:cs="Arial"/>
              </w:rPr>
              <w:t>currently ha</w:t>
            </w:r>
            <w:r w:rsidR="40462F8A" w:rsidRPr="00E95959">
              <w:rPr>
                <w:rFonts w:ascii="Arial" w:eastAsia="Aptos" w:hAnsi="Arial" w:cs="Arial"/>
              </w:rPr>
              <w:t>s</w:t>
            </w:r>
            <w:r w:rsidR="64A13ECA" w:rsidRPr="00E95959">
              <w:rPr>
                <w:rFonts w:ascii="Arial" w:eastAsia="Aptos" w:hAnsi="Arial" w:cs="Arial"/>
              </w:rPr>
              <w:t xml:space="preserve"> a provision in the </w:t>
            </w:r>
            <w:r w:rsidR="40462F8A" w:rsidRPr="00E95959">
              <w:rPr>
                <w:rFonts w:ascii="Arial" w:eastAsia="Aptos" w:hAnsi="Arial" w:cs="Arial"/>
              </w:rPr>
              <w:t>r</w:t>
            </w:r>
            <w:r w:rsidR="64A13ECA" w:rsidRPr="00E95959">
              <w:rPr>
                <w:rFonts w:ascii="Arial" w:eastAsia="Aptos" w:hAnsi="Arial" w:cs="Arial"/>
              </w:rPr>
              <w:t xml:space="preserve">egulations that allow </w:t>
            </w:r>
            <w:r w:rsidR="64A13ECA" w:rsidRPr="00E95959">
              <w:rPr>
                <w:rFonts w:ascii="Arial" w:eastAsia="Aptos" w:hAnsi="Arial" w:cs="Arial"/>
              </w:rPr>
              <w:lastRenderedPageBreak/>
              <w:t>e</w:t>
            </w:r>
            <w:r w:rsidRPr="00E95959">
              <w:rPr>
                <w:rFonts w:ascii="Arial" w:eastAsia="Aptos" w:hAnsi="Arial" w:cs="Arial"/>
              </w:rPr>
              <w:t xml:space="preserve">ducators seeking to become principals </w:t>
            </w:r>
            <w:r w:rsidR="79E4DEAC" w:rsidRPr="00E95959">
              <w:rPr>
                <w:rFonts w:ascii="Arial" w:eastAsia="Aptos" w:hAnsi="Arial" w:cs="Arial"/>
              </w:rPr>
              <w:t>to</w:t>
            </w:r>
            <w:r w:rsidRPr="00E95959">
              <w:rPr>
                <w:rFonts w:ascii="Arial" w:eastAsia="Aptos" w:hAnsi="Arial" w:cs="Arial"/>
              </w:rPr>
              <w:t xml:space="preserve"> earn their provisional principal/assistant principal license before having completed PAL</w:t>
            </w:r>
            <w:r w:rsidR="79E4DEAC" w:rsidRPr="00E95959">
              <w:rPr>
                <w:rFonts w:ascii="Arial" w:eastAsia="Aptos" w:hAnsi="Arial" w:cs="Arial"/>
              </w:rPr>
              <w:t>.</w:t>
            </w:r>
            <w:r w:rsidRPr="00E95959">
              <w:rPr>
                <w:rFonts w:ascii="Arial" w:eastAsia="Aptos" w:hAnsi="Arial" w:cs="Arial"/>
              </w:rPr>
              <w:t xml:space="preserve"> Educators who have significant experience as </w:t>
            </w:r>
            <w:r w:rsidR="7E360208" w:rsidRPr="00E95959">
              <w:rPr>
                <w:rFonts w:ascii="Arial" w:eastAsia="Aptos" w:hAnsi="Arial" w:cs="Arial"/>
              </w:rPr>
              <w:t xml:space="preserve">a </w:t>
            </w:r>
            <w:r w:rsidRPr="00E95959">
              <w:rPr>
                <w:rFonts w:ascii="Arial" w:eastAsia="Aptos" w:hAnsi="Arial" w:cs="Arial"/>
              </w:rPr>
              <w:t xml:space="preserve">school leader out of state may also </w:t>
            </w:r>
            <w:r w:rsidR="6F7BE126" w:rsidRPr="00E95959">
              <w:rPr>
                <w:rFonts w:ascii="Arial" w:eastAsia="Aptos" w:hAnsi="Arial" w:cs="Arial"/>
              </w:rPr>
              <w:t xml:space="preserve">be eligible to </w:t>
            </w:r>
            <w:r w:rsidRPr="00E95959">
              <w:rPr>
                <w:rFonts w:ascii="Arial" w:eastAsia="Aptos" w:hAnsi="Arial" w:cs="Arial"/>
              </w:rPr>
              <w:t xml:space="preserve">waive PAL. </w:t>
            </w:r>
          </w:p>
        </w:tc>
      </w:tr>
      <w:tr w:rsidR="00DB08DB" w:rsidRPr="00E95959" w14:paraId="3285AC94" w14:textId="77777777" w:rsidTr="0E392B2F">
        <w:trPr>
          <w:trHeight w:val="300"/>
        </w:trPr>
        <w:tc>
          <w:tcPr>
            <w:tcW w:w="14400" w:type="dxa"/>
            <w:gridSpan w:val="2"/>
            <w:shd w:val="clear" w:color="auto" w:fill="FBE4D5" w:themeFill="accent2" w:themeFillTint="33"/>
          </w:tcPr>
          <w:p w14:paraId="3CB623BC" w14:textId="5DC4EA0E" w:rsidR="00DB08DB" w:rsidRPr="00E95959" w:rsidRDefault="00936669" w:rsidP="00122B09">
            <w:pPr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lastRenderedPageBreak/>
              <w:t>7.15</w:t>
            </w:r>
            <w:r w:rsidR="00122B09" w:rsidRPr="00E95959">
              <w:rPr>
                <w:rFonts w:ascii="Arial" w:eastAsia="Aptos" w:hAnsi="Arial" w:cs="Arial"/>
                <w:b/>
                <w:bCs/>
              </w:rPr>
              <w:t xml:space="preserve"> </w:t>
            </w:r>
            <w:r w:rsidR="00122B09" w:rsidRPr="00E959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</w:rPr>
              <w:t>Revisions to add license options to include alternative assessments and the proposed alternative licensure pathway</w:t>
            </w:r>
          </w:p>
        </w:tc>
      </w:tr>
      <w:tr w:rsidR="00DB08DB" w:rsidRPr="00E95959" w14:paraId="7D850878" w14:textId="77777777" w:rsidTr="0E392B2F">
        <w:trPr>
          <w:trHeight w:val="300"/>
        </w:trPr>
        <w:tc>
          <w:tcPr>
            <w:tcW w:w="7440" w:type="dxa"/>
          </w:tcPr>
          <w:p w14:paraId="4D3A75F8" w14:textId="27A1F762" w:rsidR="00DB08DB" w:rsidRPr="00E95959" w:rsidRDefault="00BA33D8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  <w:color w:val="000000" w:themeColor="text1"/>
              </w:rPr>
              <w:t>Commentors overall support</w:t>
            </w:r>
            <w:r w:rsidR="00CB0E21" w:rsidRPr="00E95959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BD3777" w:rsidRPr="00E95959">
              <w:rPr>
                <w:rFonts w:ascii="Arial" w:eastAsia="Aptos" w:hAnsi="Arial" w:cs="Arial"/>
                <w:color w:val="000000" w:themeColor="text1"/>
              </w:rPr>
              <w:t xml:space="preserve">including alternatives assessments and the proposed licensure pathway </w:t>
            </w:r>
            <w:r w:rsidR="002F5602" w:rsidRPr="00E95959">
              <w:rPr>
                <w:rFonts w:ascii="Arial" w:eastAsia="Aptos" w:hAnsi="Arial" w:cs="Arial"/>
                <w:color w:val="000000" w:themeColor="text1"/>
              </w:rPr>
              <w:t xml:space="preserve">for the </w:t>
            </w:r>
            <w:r w:rsidR="647BAFD2" w:rsidRPr="00E95959">
              <w:rPr>
                <w:rFonts w:ascii="Arial" w:eastAsia="Aptos" w:hAnsi="Arial" w:cs="Arial"/>
                <w:color w:val="000000" w:themeColor="text1"/>
              </w:rPr>
              <w:t>add</w:t>
            </w:r>
            <w:r w:rsidR="7ABDAD2F" w:rsidRPr="00E95959">
              <w:rPr>
                <w:rFonts w:ascii="Arial" w:eastAsia="Aptos" w:hAnsi="Arial" w:cs="Arial"/>
                <w:color w:val="000000" w:themeColor="text1"/>
              </w:rPr>
              <w:t>itional</w:t>
            </w:r>
            <w:r w:rsidR="002F5602" w:rsidRPr="00E95959">
              <w:rPr>
                <w:rFonts w:ascii="Arial" w:eastAsia="Aptos" w:hAnsi="Arial" w:cs="Arial"/>
                <w:color w:val="000000" w:themeColor="text1"/>
              </w:rPr>
              <w:t xml:space="preserve"> license option</w:t>
            </w:r>
            <w:r w:rsidR="0016520B" w:rsidRPr="00E95959">
              <w:rPr>
                <w:rFonts w:ascii="Arial" w:eastAsia="Aptos" w:hAnsi="Arial" w:cs="Arial"/>
                <w:color w:val="000000" w:themeColor="text1"/>
              </w:rPr>
              <w:t>s</w:t>
            </w:r>
            <w:r w:rsidRPr="00E95959">
              <w:rPr>
                <w:rFonts w:ascii="Arial" w:eastAsia="Aptos" w:hAnsi="Arial" w:cs="Arial"/>
                <w:color w:val="000000" w:themeColor="text1"/>
              </w:rPr>
              <w:t xml:space="preserve"> (most individuals and organizations).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56CC7A84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  <w:tr w:rsidR="00DB08DB" w:rsidRPr="00E95959" w14:paraId="2347F0A5" w14:textId="77777777" w:rsidTr="0E392B2F">
        <w:trPr>
          <w:trHeight w:val="315"/>
        </w:trPr>
        <w:tc>
          <w:tcPr>
            <w:tcW w:w="14400" w:type="dxa"/>
            <w:gridSpan w:val="2"/>
            <w:shd w:val="clear" w:color="auto" w:fill="FBE4D5" w:themeFill="accent2" w:themeFillTint="33"/>
          </w:tcPr>
          <w:p w14:paraId="7693E869" w14:textId="6F0600C9" w:rsidR="00DB08DB" w:rsidRPr="00E95959" w:rsidRDefault="00DA1BC3" w:rsidP="00E66902">
            <w:pPr>
              <w:rPr>
                <w:rFonts w:ascii="Arial" w:eastAsia="Aptos" w:hAnsi="Arial" w:cs="Arial"/>
                <w:b/>
                <w:bCs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 xml:space="preserve">7.15 </w:t>
            </w:r>
            <w:r w:rsidR="00647E01" w:rsidRPr="00E95959">
              <w:rPr>
                <w:rFonts w:ascii="Arial" w:eastAsia="Aptos" w:hAnsi="Arial" w:cs="Arial"/>
                <w:b/>
                <w:bCs/>
              </w:rPr>
              <w:t xml:space="preserve">Timelines for Implementation of </w:t>
            </w:r>
            <w:r w:rsidR="00E76276" w:rsidRPr="00E95959">
              <w:rPr>
                <w:rFonts w:ascii="Arial" w:eastAsia="Aptos" w:hAnsi="Arial" w:cs="Arial"/>
                <w:b/>
                <w:bCs/>
              </w:rPr>
              <w:t xml:space="preserve">revised </w:t>
            </w:r>
            <w:r w:rsidR="00647E01" w:rsidRPr="00E95959">
              <w:rPr>
                <w:rFonts w:ascii="Arial" w:eastAsia="Aptos" w:hAnsi="Arial" w:cs="Arial"/>
                <w:b/>
                <w:bCs/>
              </w:rPr>
              <w:t>Subject Matter Knowledge Requirements and Updated General References</w:t>
            </w:r>
          </w:p>
        </w:tc>
      </w:tr>
      <w:tr w:rsidR="00DB08DB" w:rsidRPr="00E95959" w14:paraId="7E4B272B" w14:textId="77777777" w:rsidTr="0E392B2F">
        <w:trPr>
          <w:trHeight w:val="300"/>
        </w:trPr>
        <w:tc>
          <w:tcPr>
            <w:tcW w:w="7440" w:type="dxa"/>
          </w:tcPr>
          <w:p w14:paraId="19E7A98F" w14:textId="5F0200C2" w:rsidR="00DB08DB" w:rsidRPr="00E95959" w:rsidRDefault="00DB08DB" w:rsidP="00E66902">
            <w:pPr>
              <w:rPr>
                <w:rFonts w:ascii="Arial" w:eastAsia="Aptos" w:hAnsi="Arial" w:cs="Arial"/>
                <w:color w:val="000000" w:themeColor="text1"/>
                <w:highlight w:val="yellow"/>
              </w:rPr>
            </w:pPr>
            <w:r w:rsidRPr="00E95959">
              <w:rPr>
                <w:rFonts w:ascii="Arial" w:eastAsia="Aptos" w:hAnsi="Arial" w:cs="Arial"/>
              </w:rPr>
              <w:t>Commenters overall support</w:t>
            </w:r>
            <w:r w:rsidRPr="00E95959" w:rsidDel="0023098A">
              <w:rPr>
                <w:rFonts w:ascii="Arial" w:eastAsia="Aptos" w:hAnsi="Arial" w:cs="Arial"/>
              </w:rPr>
              <w:t xml:space="preserve"> </w:t>
            </w:r>
            <w:r w:rsidRPr="00E95959">
              <w:rPr>
                <w:rFonts w:ascii="Arial" w:eastAsia="Aptos" w:hAnsi="Arial" w:cs="Arial"/>
              </w:rPr>
              <w:t xml:space="preserve">the </w:t>
            </w:r>
            <w:r w:rsidR="000517EE" w:rsidRPr="00E95959">
              <w:rPr>
                <w:rFonts w:ascii="Arial" w:eastAsia="Aptos" w:hAnsi="Arial" w:cs="Arial"/>
              </w:rPr>
              <w:t>timelines and updated references</w:t>
            </w:r>
            <w:r w:rsidRPr="00E95959">
              <w:rPr>
                <w:rFonts w:ascii="Arial" w:eastAsia="Aptos" w:hAnsi="Arial" w:cs="Arial"/>
              </w:rPr>
              <w:t xml:space="preserve"> (</w:t>
            </w:r>
            <w:r w:rsidR="00CD6246" w:rsidRPr="00E95959">
              <w:rPr>
                <w:rFonts w:ascii="Arial" w:eastAsia="Aptos" w:hAnsi="Arial" w:cs="Arial"/>
              </w:rPr>
              <w:t>most</w:t>
            </w:r>
            <w:r w:rsidRPr="00E95959">
              <w:rPr>
                <w:rFonts w:ascii="Arial" w:eastAsia="Aptos" w:hAnsi="Arial" w:cs="Arial"/>
              </w:rPr>
              <w:t xml:space="preserve"> of individual</w:t>
            </w:r>
            <w:r w:rsidR="00D0091D" w:rsidRPr="00E95959">
              <w:rPr>
                <w:rFonts w:ascii="Arial" w:eastAsia="Aptos" w:hAnsi="Arial" w:cs="Arial"/>
              </w:rPr>
              <w:t>s</w:t>
            </w:r>
            <w:r w:rsidR="000517EE" w:rsidRPr="00E95959">
              <w:rPr>
                <w:rFonts w:ascii="Arial" w:eastAsia="Aptos" w:hAnsi="Arial" w:cs="Arial"/>
              </w:rPr>
              <w:t xml:space="preserve"> and organizations</w:t>
            </w:r>
            <w:r w:rsidRPr="00E95959">
              <w:rPr>
                <w:rFonts w:ascii="Arial" w:eastAsia="Aptos" w:hAnsi="Arial" w:cs="Arial"/>
              </w:rPr>
              <w:t>).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67608E97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  <w:tr w:rsidR="00DB08DB" w:rsidRPr="00E95959" w14:paraId="5D660149" w14:textId="77777777" w:rsidTr="0E392B2F">
        <w:trPr>
          <w:trHeight w:val="300"/>
        </w:trPr>
        <w:tc>
          <w:tcPr>
            <w:tcW w:w="14400" w:type="dxa"/>
            <w:gridSpan w:val="2"/>
            <w:shd w:val="clear" w:color="auto" w:fill="F7CAAC" w:themeFill="accent2" w:themeFillTint="66"/>
          </w:tcPr>
          <w:p w14:paraId="2833919D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  <w:b/>
                <w:bCs/>
              </w:rPr>
              <w:t>Overall</w:t>
            </w:r>
          </w:p>
        </w:tc>
      </w:tr>
      <w:tr w:rsidR="00DB08DB" w:rsidRPr="00E95959" w14:paraId="298DDEE9" w14:textId="77777777" w:rsidTr="0E392B2F">
        <w:trPr>
          <w:trHeight w:val="300"/>
        </w:trPr>
        <w:tc>
          <w:tcPr>
            <w:tcW w:w="7440" w:type="dxa"/>
          </w:tcPr>
          <w:p w14:paraId="2D4C31C6" w14:textId="3E114BD9" w:rsidR="00DB08DB" w:rsidRPr="00E95959" w:rsidRDefault="00DB08DB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>Commenters overall support the changes (</w:t>
            </w:r>
            <w:r w:rsidR="00F509DB" w:rsidRPr="00E95959">
              <w:rPr>
                <w:rFonts w:ascii="Arial" w:eastAsia="Aptos" w:hAnsi="Arial" w:cs="Arial"/>
              </w:rPr>
              <w:t>most</w:t>
            </w:r>
            <w:r w:rsidRPr="00E95959">
              <w:rPr>
                <w:rFonts w:ascii="Arial" w:eastAsia="Aptos" w:hAnsi="Arial" w:cs="Arial"/>
              </w:rPr>
              <w:t xml:space="preserve"> individual</w:t>
            </w:r>
            <w:r w:rsidR="00D0091D" w:rsidRPr="00E95959">
              <w:rPr>
                <w:rFonts w:ascii="Arial" w:eastAsia="Aptos" w:hAnsi="Arial" w:cs="Arial"/>
              </w:rPr>
              <w:t>s</w:t>
            </w:r>
            <w:r w:rsidRPr="00E95959">
              <w:rPr>
                <w:rFonts w:ascii="Arial" w:eastAsia="Aptos" w:hAnsi="Arial" w:cs="Arial"/>
              </w:rPr>
              <w:t>).</w:t>
            </w:r>
          </w:p>
        </w:tc>
        <w:tc>
          <w:tcPr>
            <w:tcW w:w="6960" w:type="dxa"/>
            <w:shd w:val="clear" w:color="auto" w:fill="F2F2F2" w:themeFill="background1" w:themeFillShade="F2"/>
          </w:tcPr>
          <w:p w14:paraId="5F1E541E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  <w:tr w:rsidR="00DB08DB" w:rsidRPr="00E95959" w14:paraId="25D2492C" w14:textId="77777777" w:rsidTr="0E392B2F">
        <w:trPr>
          <w:trHeight w:val="300"/>
        </w:trPr>
        <w:tc>
          <w:tcPr>
            <w:tcW w:w="7440" w:type="dxa"/>
          </w:tcPr>
          <w:p w14:paraId="42AD6C95" w14:textId="2C79CE72" w:rsidR="00DB08DB" w:rsidRPr="00E95959" w:rsidRDefault="00DB08DB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Commenters </w:t>
            </w:r>
            <w:r w:rsidR="00D32FCA" w:rsidRPr="00E95959">
              <w:rPr>
                <w:rFonts w:ascii="Arial" w:eastAsia="Aptos" w:hAnsi="Arial" w:cs="Arial"/>
              </w:rPr>
              <w:t xml:space="preserve">do not think nurses </w:t>
            </w:r>
            <w:proofErr w:type="gramStart"/>
            <w:r w:rsidR="00D32FCA" w:rsidRPr="00E95959">
              <w:rPr>
                <w:rFonts w:ascii="Arial" w:eastAsia="Aptos" w:hAnsi="Arial" w:cs="Arial"/>
              </w:rPr>
              <w:t>should have to</w:t>
            </w:r>
            <w:proofErr w:type="gramEnd"/>
            <w:r w:rsidR="00D32FCA" w:rsidRPr="00E95959">
              <w:rPr>
                <w:rFonts w:ascii="Arial" w:eastAsia="Aptos" w:hAnsi="Arial" w:cs="Arial"/>
              </w:rPr>
              <w:t xml:space="preserve"> take the Communications and Literacy Skills test</w:t>
            </w:r>
            <w:r w:rsidR="00A62AC9" w:rsidRPr="00E95959">
              <w:rPr>
                <w:rFonts w:ascii="Arial" w:eastAsia="Aptos" w:hAnsi="Arial" w:cs="Arial"/>
              </w:rPr>
              <w:t xml:space="preserve"> since </w:t>
            </w:r>
            <w:r w:rsidR="0189D22E" w:rsidRPr="00E95959">
              <w:rPr>
                <w:rFonts w:ascii="Arial" w:eastAsia="Aptos" w:hAnsi="Arial" w:cs="Arial"/>
              </w:rPr>
              <w:t>they</w:t>
            </w:r>
            <w:r w:rsidR="00A62AC9" w:rsidRPr="00E95959">
              <w:rPr>
                <w:rFonts w:ascii="Arial" w:eastAsia="Aptos" w:hAnsi="Arial" w:cs="Arial"/>
              </w:rPr>
              <w:t xml:space="preserve"> are not teachers</w:t>
            </w:r>
            <w:r w:rsidRPr="00E95959">
              <w:rPr>
                <w:rFonts w:ascii="Arial" w:eastAsia="Aptos" w:hAnsi="Arial" w:cs="Arial"/>
              </w:rPr>
              <w:t xml:space="preserve"> (some individual</w:t>
            </w:r>
            <w:r w:rsidR="00D0091D" w:rsidRPr="00E95959">
              <w:rPr>
                <w:rFonts w:ascii="Arial" w:eastAsia="Aptos" w:hAnsi="Arial" w:cs="Arial"/>
              </w:rPr>
              <w:t>s</w:t>
            </w:r>
            <w:r w:rsidRPr="00E95959">
              <w:rPr>
                <w:rFonts w:ascii="Arial" w:eastAsia="Aptos" w:hAnsi="Arial" w:cs="Arial"/>
              </w:rPr>
              <w:t>).</w:t>
            </w:r>
          </w:p>
        </w:tc>
        <w:tc>
          <w:tcPr>
            <w:tcW w:w="6960" w:type="dxa"/>
          </w:tcPr>
          <w:p w14:paraId="122B651A" w14:textId="24B7DD31" w:rsidR="00DB08DB" w:rsidRPr="00E95959" w:rsidRDefault="00A62AC9" w:rsidP="00E66902">
            <w:pPr>
              <w:rPr>
                <w:rFonts w:ascii="Arial" w:eastAsia="Aptos" w:hAnsi="Arial" w:cs="Arial"/>
              </w:rPr>
            </w:pPr>
            <w:r w:rsidRPr="00E95959">
              <w:rPr>
                <w:rFonts w:ascii="Arial" w:eastAsia="Aptos" w:hAnsi="Arial" w:cs="Arial"/>
              </w:rPr>
              <w:t xml:space="preserve">No change. The new alternative pathway </w:t>
            </w:r>
            <w:r w:rsidR="00D80C05" w:rsidRPr="00E95959">
              <w:rPr>
                <w:rFonts w:ascii="Arial" w:eastAsia="Aptos" w:hAnsi="Arial" w:cs="Arial"/>
              </w:rPr>
              <w:t>allows nurses to waive the Communication and Literacy Skills test</w:t>
            </w:r>
            <w:r w:rsidR="00E22A4B" w:rsidRPr="00E95959">
              <w:rPr>
                <w:rFonts w:ascii="Arial" w:eastAsia="Aptos" w:hAnsi="Arial" w:cs="Arial"/>
              </w:rPr>
              <w:t xml:space="preserve"> </w:t>
            </w:r>
            <w:r w:rsidR="00411657" w:rsidRPr="00E95959">
              <w:rPr>
                <w:rFonts w:ascii="Arial" w:eastAsia="Aptos" w:hAnsi="Arial" w:cs="Arial"/>
              </w:rPr>
              <w:t>if they meet the eligibility criteria</w:t>
            </w:r>
            <w:r w:rsidR="00A014AE" w:rsidRPr="00E95959">
              <w:rPr>
                <w:rFonts w:ascii="Arial" w:eastAsia="Aptos" w:hAnsi="Arial" w:cs="Arial"/>
              </w:rPr>
              <w:t xml:space="preserve"> outlined in the proposed regulations. All educators licensed by DESE are required by law to demonstrate communication and literacy skills.</w:t>
            </w:r>
          </w:p>
        </w:tc>
      </w:tr>
    </w:tbl>
    <w:p w14:paraId="2DF832AE" w14:textId="39FBE868" w:rsidR="00DB08DB" w:rsidRPr="00E95959" w:rsidRDefault="00DB08DB" w:rsidP="00DB08DB">
      <w:pPr>
        <w:rPr>
          <w:rFonts w:ascii="Arial" w:hAnsi="Arial" w:cs="Arial"/>
        </w:rPr>
        <w:sectPr w:rsidR="00DB08DB" w:rsidRPr="00E95959" w:rsidSect="00DB08DB">
          <w:footerReference w:type="defaul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4800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none" w:sz="8" w:space="0" w:color="000000" w:themeColor="text1"/>
          <w:insideV w:val="non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00"/>
      </w:tblGrid>
      <w:tr w:rsidR="00DB08DB" w:rsidRPr="00E95959" w14:paraId="2FCECB95" w14:textId="77777777" w:rsidTr="00E66902">
        <w:trPr>
          <w:trHeight w:val="300"/>
        </w:trPr>
        <w:tc>
          <w:tcPr>
            <w:tcW w:w="480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07551C6" w14:textId="5CD28385" w:rsidR="00DB08DB" w:rsidRPr="00E95959" w:rsidRDefault="00DB08DB" w:rsidP="00D86DA9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B64E4E1" w14:textId="77777777" w:rsidR="00DB08DB" w:rsidRPr="00E95959" w:rsidRDefault="00DB08DB" w:rsidP="00DB08DB">
      <w:pPr>
        <w:rPr>
          <w:rFonts w:ascii="Arial" w:eastAsia="Aptos" w:hAnsi="Arial" w:cs="Arial"/>
        </w:rPr>
        <w:sectPr w:rsidR="00DB08DB" w:rsidRPr="00E95959" w:rsidSect="00DB08DB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tbl>
      <w:tblPr>
        <w:tblStyle w:val="TableGrid"/>
        <w:tblW w:w="4800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none" w:sz="8" w:space="0" w:color="000000" w:themeColor="text1"/>
          <w:insideV w:val="non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00"/>
      </w:tblGrid>
      <w:tr w:rsidR="00DB08DB" w:rsidRPr="00E95959" w14:paraId="0C12438E" w14:textId="77777777" w:rsidTr="00E66902">
        <w:trPr>
          <w:trHeight w:val="300"/>
        </w:trPr>
        <w:tc>
          <w:tcPr>
            <w:tcW w:w="480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8AD513C" w14:textId="77777777" w:rsidR="00DB08DB" w:rsidRPr="00E95959" w:rsidRDefault="00DB08DB" w:rsidP="00E66902">
            <w:pPr>
              <w:rPr>
                <w:rFonts w:ascii="Arial" w:eastAsia="Aptos" w:hAnsi="Arial" w:cs="Arial"/>
              </w:rPr>
            </w:pPr>
          </w:p>
        </w:tc>
      </w:tr>
    </w:tbl>
    <w:p w14:paraId="33B644CD" w14:textId="64E50605" w:rsidR="00DB08DB" w:rsidRPr="00E95959" w:rsidRDefault="00DB08DB" w:rsidP="00DB08DB">
      <w:pPr>
        <w:rPr>
          <w:rFonts w:ascii="Arial" w:eastAsia="Aptos" w:hAnsi="Arial" w:cs="Arial"/>
          <w:b/>
          <w:bCs/>
          <w:sz w:val="24"/>
          <w:szCs w:val="24"/>
        </w:rPr>
      </w:pPr>
    </w:p>
    <w:tbl>
      <w:tblPr>
        <w:tblStyle w:val="TableGrid"/>
        <w:tblW w:w="14370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none" w:sz="8" w:space="0" w:color="000000" w:themeColor="text1"/>
          <w:insideV w:val="non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915"/>
        <w:gridCol w:w="2655"/>
        <w:gridCol w:w="4800"/>
      </w:tblGrid>
      <w:tr w:rsidR="00DB08DB" w:rsidRPr="00E95959" w14:paraId="099F081F" w14:textId="77777777" w:rsidTr="00E66902">
        <w:trPr>
          <w:trHeight w:val="300"/>
        </w:trPr>
        <w:tc>
          <w:tcPr>
            <w:tcW w:w="6915" w:type="dxa"/>
            <w:tcBorders>
              <w:right w:val="none" w:sz="8" w:space="0" w:color="000000" w:themeColor="text1"/>
            </w:tcBorders>
          </w:tcPr>
          <w:p w14:paraId="314F9950" w14:textId="77777777" w:rsidR="00DB08DB" w:rsidRPr="00E95959" w:rsidRDefault="00DB08DB" w:rsidP="00E66902">
            <w:pPr>
              <w:pStyle w:val="ListParagraph"/>
              <w:rPr>
                <w:rFonts w:ascii="Arial" w:eastAsia="Aptos" w:hAnsi="Arial" w:cs="Arial"/>
              </w:rPr>
            </w:pPr>
          </w:p>
        </w:tc>
        <w:tc>
          <w:tcPr>
            <w:tcW w:w="2655" w:type="dxa"/>
            <w:tcBorders>
              <w:left w:val="none" w:sz="8" w:space="0" w:color="000000" w:themeColor="text1"/>
              <w:right w:val="none" w:sz="8" w:space="0" w:color="000000" w:themeColor="text1"/>
            </w:tcBorders>
          </w:tcPr>
          <w:p w14:paraId="55B96681" w14:textId="77777777" w:rsidR="00DB08DB" w:rsidRPr="00E95959" w:rsidRDefault="00DB08DB" w:rsidP="00E66902">
            <w:pPr>
              <w:pStyle w:val="ListParagraph"/>
              <w:rPr>
                <w:rFonts w:ascii="Arial" w:eastAsia="Aptos" w:hAnsi="Arial" w:cs="Arial"/>
                <w:i/>
                <w:iCs/>
              </w:rPr>
            </w:pPr>
          </w:p>
        </w:tc>
        <w:tc>
          <w:tcPr>
            <w:tcW w:w="4800" w:type="dxa"/>
            <w:tcBorders>
              <w:left w:val="none" w:sz="8" w:space="0" w:color="000000" w:themeColor="text1"/>
            </w:tcBorders>
          </w:tcPr>
          <w:p w14:paraId="449E57E7" w14:textId="77777777" w:rsidR="00DB08DB" w:rsidRPr="00E95959" w:rsidRDefault="00DB08DB" w:rsidP="00E66902">
            <w:pPr>
              <w:rPr>
                <w:rFonts w:ascii="Arial" w:eastAsia="Aptos" w:hAnsi="Arial" w:cs="Arial"/>
                <w:i/>
                <w:iCs/>
              </w:rPr>
            </w:pPr>
          </w:p>
        </w:tc>
      </w:tr>
    </w:tbl>
    <w:p w14:paraId="74E3B4F4" w14:textId="2AF9541D" w:rsidR="00833FEC" w:rsidRPr="00E95959" w:rsidRDefault="00833FEC">
      <w:pPr>
        <w:rPr>
          <w:rFonts w:ascii="Arial" w:hAnsi="Arial" w:cs="Arial"/>
        </w:rPr>
      </w:pPr>
    </w:p>
    <w:sectPr w:rsidR="00833FEC" w:rsidRPr="00E95959" w:rsidSect="00DB08DB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9C11" w14:textId="77777777" w:rsidR="00282E05" w:rsidRDefault="00282E05" w:rsidP="00F40C63">
      <w:pPr>
        <w:spacing w:after="0" w:line="240" w:lineRule="auto"/>
      </w:pPr>
      <w:r>
        <w:separator/>
      </w:r>
    </w:p>
  </w:endnote>
  <w:endnote w:type="continuationSeparator" w:id="0">
    <w:p w14:paraId="6AD0F60B" w14:textId="77777777" w:rsidR="00282E05" w:rsidRDefault="00282E05" w:rsidP="00F40C63">
      <w:pPr>
        <w:spacing w:after="0" w:line="240" w:lineRule="auto"/>
      </w:pPr>
      <w:r>
        <w:continuationSeparator/>
      </w:r>
    </w:p>
  </w:endnote>
  <w:endnote w:type="continuationNotice" w:id="1">
    <w:p w14:paraId="493B6FF7" w14:textId="77777777" w:rsidR="00282E05" w:rsidRDefault="00282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468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6B229" w14:textId="77777777" w:rsidR="00D3775F" w:rsidRDefault="00D377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1D995F" w14:textId="77777777" w:rsidR="00D3775F" w:rsidRDefault="00D3775F" w:rsidP="00E6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423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3223D8A" w14:textId="77777777" w:rsidR="00D3775F" w:rsidRDefault="00D3775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FA73B" w14:textId="77777777" w:rsidR="00D3775F" w:rsidRDefault="00D37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B956" w14:textId="77777777" w:rsidR="00282E05" w:rsidRDefault="00282E05" w:rsidP="00F40C63">
      <w:pPr>
        <w:spacing w:after="0" w:line="240" w:lineRule="auto"/>
      </w:pPr>
      <w:r>
        <w:separator/>
      </w:r>
    </w:p>
  </w:footnote>
  <w:footnote w:type="continuationSeparator" w:id="0">
    <w:p w14:paraId="4C020065" w14:textId="77777777" w:rsidR="00282E05" w:rsidRDefault="00282E05" w:rsidP="00F40C63">
      <w:pPr>
        <w:spacing w:after="0" w:line="240" w:lineRule="auto"/>
      </w:pPr>
      <w:r>
        <w:continuationSeparator/>
      </w:r>
    </w:p>
  </w:footnote>
  <w:footnote w:type="continuationNotice" w:id="1">
    <w:p w14:paraId="44A19AE5" w14:textId="77777777" w:rsidR="00282E05" w:rsidRDefault="00282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1FA"/>
    <w:multiLevelType w:val="hybridMultilevel"/>
    <w:tmpl w:val="FFFFFFFF"/>
    <w:lvl w:ilvl="0" w:tplc="D7CA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B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8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3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4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07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2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2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E3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C5BC"/>
    <w:multiLevelType w:val="hybridMultilevel"/>
    <w:tmpl w:val="FFFFFFFF"/>
    <w:lvl w:ilvl="0" w:tplc="AA92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20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CA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7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48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24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6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86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4629E"/>
    <w:multiLevelType w:val="hybridMultilevel"/>
    <w:tmpl w:val="FFFFFFFF"/>
    <w:lvl w:ilvl="0" w:tplc="8F6A7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E5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4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1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B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C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0E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2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16E1B"/>
    <w:multiLevelType w:val="hybridMultilevel"/>
    <w:tmpl w:val="FFFFFFFF"/>
    <w:lvl w:ilvl="0" w:tplc="DE2A8C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7A0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41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C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8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2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E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00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4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97543">
    <w:abstractNumId w:val="1"/>
  </w:num>
  <w:num w:numId="2" w16cid:durableId="147719806">
    <w:abstractNumId w:val="4"/>
  </w:num>
  <w:num w:numId="3" w16cid:durableId="226428344">
    <w:abstractNumId w:val="3"/>
  </w:num>
  <w:num w:numId="4" w16cid:durableId="78331912">
    <w:abstractNumId w:val="0"/>
  </w:num>
  <w:num w:numId="5" w16cid:durableId="2092657768">
    <w:abstractNumId w:val="5"/>
  </w:num>
  <w:num w:numId="6" w16cid:durableId="11602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DB"/>
    <w:rsid w:val="000007DD"/>
    <w:rsid w:val="00004A55"/>
    <w:rsid w:val="00007877"/>
    <w:rsid w:val="0002149D"/>
    <w:rsid w:val="00021FCF"/>
    <w:rsid w:val="0002328E"/>
    <w:rsid w:val="00023D84"/>
    <w:rsid w:val="00024A10"/>
    <w:rsid w:val="00026D9B"/>
    <w:rsid w:val="000342A1"/>
    <w:rsid w:val="000407E0"/>
    <w:rsid w:val="000517EE"/>
    <w:rsid w:val="00056A53"/>
    <w:rsid w:val="00062257"/>
    <w:rsid w:val="000626B6"/>
    <w:rsid w:val="00063F5F"/>
    <w:rsid w:val="000649E6"/>
    <w:rsid w:val="00082408"/>
    <w:rsid w:val="0008354E"/>
    <w:rsid w:val="000A4CD2"/>
    <w:rsid w:val="000B0486"/>
    <w:rsid w:val="000B4393"/>
    <w:rsid w:val="000B78DC"/>
    <w:rsid w:val="000B7E33"/>
    <w:rsid w:val="000C17D7"/>
    <w:rsid w:val="000C4AC4"/>
    <w:rsid w:val="000C510E"/>
    <w:rsid w:val="000D0445"/>
    <w:rsid w:val="000D18EC"/>
    <w:rsid w:val="000D37EE"/>
    <w:rsid w:val="000D559C"/>
    <w:rsid w:val="000D5AC8"/>
    <w:rsid w:val="000E0494"/>
    <w:rsid w:val="000E3516"/>
    <w:rsid w:val="000E782D"/>
    <w:rsid w:val="000E7C0B"/>
    <w:rsid w:val="000F683F"/>
    <w:rsid w:val="000F7DCD"/>
    <w:rsid w:val="0011070A"/>
    <w:rsid w:val="00110EB6"/>
    <w:rsid w:val="00122B09"/>
    <w:rsid w:val="001234E1"/>
    <w:rsid w:val="00123B25"/>
    <w:rsid w:val="00126CB9"/>
    <w:rsid w:val="00140D55"/>
    <w:rsid w:val="00141134"/>
    <w:rsid w:val="0014313A"/>
    <w:rsid w:val="001465B9"/>
    <w:rsid w:val="0016520B"/>
    <w:rsid w:val="00171F9B"/>
    <w:rsid w:val="00180D79"/>
    <w:rsid w:val="001913AF"/>
    <w:rsid w:val="00192A52"/>
    <w:rsid w:val="00193354"/>
    <w:rsid w:val="00194AF3"/>
    <w:rsid w:val="001958C9"/>
    <w:rsid w:val="001A62ED"/>
    <w:rsid w:val="001B04EF"/>
    <w:rsid w:val="001C0D21"/>
    <w:rsid w:val="001C382D"/>
    <w:rsid w:val="001C7DDD"/>
    <w:rsid w:val="001D0421"/>
    <w:rsid w:val="001D1645"/>
    <w:rsid w:val="001D4070"/>
    <w:rsid w:val="001E60E6"/>
    <w:rsid w:val="001F0A1E"/>
    <w:rsid w:val="001F15CD"/>
    <w:rsid w:val="002024C1"/>
    <w:rsid w:val="00203132"/>
    <w:rsid w:val="002057CE"/>
    <w:rsid w:val="0020724F"/>
    <w:rsid w:val="00212993"/>
    <w:rsid w:val="00212FFA"/>
    <w:rsid w:val="00213ABB"/>
    <w:rsid w:val="00214D30"/>
    <w:rsid w:val="00215D42"/>
    <w:rsid w:val="002274ED"/>
    <w:rsid w:val="00236C80"/>
    <w:rsid w:val="00236F59"/>
    <w:rsid w:val="00242F56"/>
    <w:rsid w:val="002652D3"/>
    <w:rsid w:val="00274828"/>
    <w:rsid w:val="002765E7"/>
    <w:rsid w:val="00277660"/>
    <w:rsid w:val="002808E5"/>
    <w:rsid w:val="00282121"/>
    <w:rsid w:val="002829C7"/>
    <w:rsid w:val="00282E05"/>
    <w:rsid w:val="002839F1"/>
    <w:rsid w:val="00285ED7"/>
    <w:rsid w:val="002867BB"/>
    <w:rsid w:val="002962BB"/>
    <w:rsid w:val="002A5C74"/>
    <w:rsid w:val="002B7F4C"/>
    <w:rsid w:val="002C2CE1"/>
    <w:rsid w:val="002C7371"/>
    <w:rsid w:val="002D2AAA"/>
    <w:rsid w:val="002D7752"/>
    <w:rsid w:val="002E216F"/>
    <w:rsid w:val="002F29F1"/>
    <w:rsid w:val="002F49B3"/>
    <w:rsid w:val="002F5602"/>
    <w:rsid w:val="00306912"/>
    <w:rsid w:val="00330B51"/>
    <w:rsid w:val="0034129E"/>
    <w:rsid w:val="00350CC7"/>
    <w:rsid w:val="00350E41"/>
    <w:rsid w:val="00352CFC"/>
    <w:rsid w:val="00357AAF"/>
    <w:rsid w:val="00357F0F"/>
    <w:rsid w:val="00361305"/>
    <w:rsid w:val="0036191E"/>
    <w:rsid w:val="00363402"/>
    <w:rsid w:val="0036501C"/>
    <w:rsid w:val="003731F9"/>
    <w:rsid w:val="003761AA"/>
    <w:rsid w:val="00376BAA"/>
    <w:rsid w:val="00382235"/>
    <w:rsid w:val="00385328"/>
    <w:rsid w:val="00386773"/>
    <w:rsid w:val="003875F9"/>
    <w:rsid w:val="00394BB2"/>
    <w:rsid w:val="00397D2A"/>
    <w:rsid w:val="003A5C9B"/>
    <w:rsid w:val="003C132A"/>
    <w:rsid w:val="003C4655"/>
    <w:rsid w:val="003C7057"/>
    <w:rsid w:val="003D27CE"/>
    <w:rsid w:val="003D298E"/>
    <w:rsid w:val="003D2CF8"/>
    <w:rsid w:val="003E16A3"/>
    <w:rsid w:val="003E1EF4"/>
    <w:rsid w:val="003E503F"/>
    <w:rsid w:val="003F14D2"/>
    <w:rsid w:val="003F19F6"/>
    <w:rsid w:val="003F5848"/>
    <w:rsid w:val="003F5CCA"/>
    <w:rsid w:val="003F65D1"/>
    <w:rsid w:val="004022EA"/>
    <w:rsid w:val="00403BFD"/>
    <w:rsid w:val="00403D31"/>
    <w:rsid w:val="004115FD"/>
    <w:rsid w:val="00411657"/>
    <w:rsid w:val="0041362F"/>
    <w:rsid w:val="00415C57"/>
    <w:rsid w:val="004247E9"/>
    <w:rsid w:val="00450FED"/>
    <w:rsid w:val="00452F1F"/>
    <w:rsid w:val="0045781B"/>
    <w:rsid w:val="0046265A"/>
    <w:rsid w:val="00464F60"/>
    <w:rsid w:val="0047465E"/>
    <w:rsid w:val="00477D89"/>
    <w:rsid w:val="004953C9"/>
    <w:rsid w:val="00495E35"/>
    <w:rsid w:val="004A64D4"/>
    <w:rsid w:val="004B0CF0"/>
    <w:rsid w:val="004C2A23"/>
    <w:rsid w:val="004C7053"/>
    <w:rsid w:val="004D0A56"/>
    <w:rsid w:val="004D13CA"/>
    <w:rsid w:val="004D31D3"/>
    <w:rsid w:val="004D5522"/>
    <w:rsid w:val="004D7014"/>
    <w:rsid w:val="004E0399"/>
    <w:rsid w:val="004E15B8"/>
    <w:rsid w:val="004E2390"/>
    <w:rsid w:val="004E26C0"/>
    <w:rsid w:val="004F620C"/>
    <w:rsid w:val="005050A5"/>
    <w:rsid w:val="005302FD"/>
    <w:rsid w:val="00541CD2"/>
    <w:rsid w:val="00547F7A"/>
    <w:rsid w:val="005534E1"/>
    <w:rsid w:val="00556917"/>
    <w:rsid w:val="00565D0D"/>
    <w:rsid w:val="00567E0F"/>
    <w:rsid w:val="00573BE3"/>
    <w:rsid w:val="0057422A"/>
    <w:rsid w:val="00585515"/>
    <w:rsid w:val="00587169"/>
    <w:rsid w:val="005925CC"/>
    <w:rsid w:val="0059741B"/>
    <w:rsid w:val="005A03A5"/>
    <w:rsid w:val="005A0B9D"/>
    <w:rsid w:val="005A0C33"/>
    <w:rsid w:val="005B1EB0"/>
    <w:rsid w:val="005B4126"/>
    <w:rsid w:val="005D1B53"/>
    <w:rsid w:val="005D6086"/>
    <w:rsid w:val="005D66AB"/>
    <w:rsid w:val="005E352A"/>
    <w:rsid w:val="005E51D9"/>
    <w:rsid w:val="00602C98"/>
    <w:rsid w:val="006030F0"/>
    <w:rsid w:val="0060725F"/>
    <w:rsid w:val="00612912"/>
    <w:rsid w:val="006156F4"/>
    <w:rsid w:val="0062595C"/>
    <w:rsid w:val="00633E07"/>
    <w:rsid w:val="00637742"/>
    <w:rsid w:val="00641E05"/>
    <w:rsid w:val="00646638"/>
    <w:rsid w:val="00647E01"/>
    <w:rsid w:val="00665151"/>
    <w:rsid w:val="00665DE5"/>
    <w:rsid w:val="00667E30"/>
    <w:rsid w:val="006705DE"/>
    <w:rsid w:val="0067292A"/>
    <w:rsid w:val="006806EB"/>
    <w:rsid w:val="00691737"/>
    <w:rsid w:val="006A2D3E"/>
    <w:rsid w:val="006A32D2"/>
    <w:rsid w:val="006A68FC"/>
    <w:rsid w:val="006B14DE"/>
    <w:rsid w:val="006B3011"/>
    <w:rsid w:val="006B5ACF"/>
    <w:rsid w:val="006C4E64"/>
    <w:rsid w:val="006C6EFE"/>
    <w:rsid w:val="006D2D5B"/>
    <w:rsid w:val="006D32CD"/>
    <w:rsid w:val="006D4400"/>
    <w:rsid w:val="006D5D40"/>
    <w:rsid w:val="006E379D"/>
    <w:rsid w:val="006E52BB"/>
    <w:rsid w:val="006F0C51"/>
    <w:rsid w:val="006F33C4"/>
    <w:rsid w:val="006F6D98"/>
    <w:rsid w:val="0070672B"/>
    <w:rsid w:val="00710708"/>
    <w:rsid w:val="0071108C"/>
    <w:rsid w:val="00716234"/>
    <w:rsid w:val="007256E7"/>
    <w:rsid w:val="00734EBE"/>
    <w:rsid w:val="00740013"/>
    <w:rsid w:val="00747C54"/>
    <w:rsid w:val="007530B8"/>
    <w:rsid w:val="0075357A"/>
    <w:rsid w:val="007671D3"/>
    <w:rsid w:val="00775C91"/>
    <w:rsid w:val="00784314"/>
    <w:rsid w:val="00784593"/>
    <w:rsid w:val="0078638F"/>
    <w:rsid w:val="007A1D52"/>
    <w:rsid w:val="007A5B71"/>
    <w:rsid w:val="007A7E99"/>
    <w:rsid w:val="007C234B"/>
    <w:rsid w:val="007C6A2A"/>
    <w:rsid w:val="007D4416"/>
    <w:rsid w:val="007D78AA"/>
    <w:rsid w:val="007E298E"/>
    <w:rsid w:val="007E3512"/>
    <w:rsid w:val="007E383D"/>
    <w:rsid w:val="007F009D"/>
    <w:rsid w:val="007F1111"/>
    <w:rsid w:val="007F2B6D"/>
    <w:rsid w:val="007F3137"/>
    <w:rsid w:val="007F4602"/>
    <w:rsid w:val="0080245B"/>
    <w:rsid w:val="008168F3"/>
    <w:rsid w:val="008225DA"/>
    <w:rsid w:val="00832FE0"/>
    <w:rsid w:val="00833FEC"/>
    <w:rsid w:val="008440B3"/>
    <w:rsid w:val="008601BB"/>
    <w:rsid w:val="00863D30"/>
    <w:rsid w:val="0086535A"/>
    <w:rsid w:val="0086550A"/>
    <w:rsid w:val="00873DAE"/>
    <w:rsid w:val="008760C3"/>
    <w:rsid w:val="00877B79"/>
    <w:rsid w:val="008B70C8"/>
    <w:rsid w:val="008C0AFF"/>
    <w:rsid w:val="008C7B33"/>
    <w:rsid w:val="008D0433"/>
    <w:rsid w:val="008D04BB"/>
    <w:rsid w:val="008D05C5"/>
    <w:rsid w:val="008D1DF1"/>
    <w:rsid w:val="008E2EE8"/>
    <w:rsid w:val="008E3AD1"/>
    <w:rsid w:val="008F4FEB"/>
    <w:rsid w:val="00902A6E"/>
    <w:rsid w:val="00905ED6"/>
    <w:rsid w:val="009129B0"/>
    <w:rsid w:val="009129F3"/>
    <w:rsid w:val="00914A01"/>
    <w:rsid w:val="00930234"/>
    <w:rsid w:val="00931BC0"/>
    <w:rsid w:val="00931CB4"/>
    <w:rsid w:val="009347FC"/>
    <w:rsid w:val="00936669"/>
    <w:rsid w:val="009479AD"/>
    <w:rsid w:val="00955B1F"/>
    <w:rsid w:val="00957CC7"/>
    <w:rsid w:val="009823D6"/>
    <w:rsid w:val="00993988"/>
    <w:rsid w:val="009A4CAA"/>
    <w:rsid w:val="009B0CC6"/>
    <w:rsid w:val="009B0EF1"/>
    <w:rsid w:val="009B1ACE"/>
    <w:rsid w:val="009B4178"/>
    <w:rsid w:val="009C2BDA"/>
    <w:rsid w:val="009C56CE"/>
    <w:rsid w:val="009D033E"/>
    <w:rsid w:val="009D1754"/>
    <w:rsid w:val="009E03CD"/>
    <w:rsid w:val="009E2E56"/>
    <w:rsid w:val="009E4249"/>
    <w:rsid w:val="009F5A77"/>
    <w:rsid w:val="009F70B8"/>
    <w:rsid w:val="009F7E42"/>
    <w:rsid w:val="00A009C6"/>
    <w:rsid w:val="00A014AE"/>
    <w:rsid w:val="00A029F4"/>
    <w:rsid w:val="00A036D6"/>
    <w:rsid w:val="00A04166"/>
    <w:rsid w:val="00A06F74"/>
    <w:rsid w:val="00A157C0"/>
    <w:rsid w:val="00A2008F"/>
    <w:rsid w:val="00A21808"/>
    <w:rsid w:val="00A2187C"/>
    <w:rsid w:val="00A22326"/>
    <w:rsid w:val="00A30845"/>
    <w:rsid w:val="00A36A1D"/>
    <w:rsid w:val="00A40B97"/>
    <w:rsid w:val="00A42D45"/>
    <w:rsid w:val="00A50620"/>
    <w:rsid w:val="00A51BB5"/>
    <w:rsid w:val="00A5708B"/>
    <w:rsid w:val="00A62AC9"/>
    <w:rsid w:val="00A633F3"/>
    <w:rsid w:val="00A635F2"/>
    <w:rsid w:val="00A66DE6"/>
    <w:rsid w:val="00A70886"/>
    <w:rsid w:val="00A714F0"/>
    <w:rsid w:val="00A800DA"/>
    <w:rsid w:val="00A84805"/>
    <w:rsid w:val="00A870EF"/>
    <w:rsid w:val="00A90894"/>
    <w:rsid w:val="00A92046"/>
    <w:rsid w:val="00A937A7"/>
    <w:rsid w:val="00AA2274"/>
    <w:rsid w:val="00AA7575"/>
    <w:rsid w:val="00AB3522"/>
    <w:rsid w:val="00AB607B"/>
    <w:rsid w:val="00AC008B"/>
    <w:rsid w:val="00AC17DE"/>
    <w:rsid w:val="00AD261F"/>
    <w:rsid w:val="00AD50AE"/>
    <w:rsid w:val="00AE080F"/>
    <w:rsid w:val="00AE1104"/>
    <w:rsid w:val="00AE43B4"/>
    <w:rsid w:val="00AE52E7"/>
    <w:rsid w:val="00AE5DD3"/>
    <w:rsid w:val="00AE753A"/>
    <w:rsid w:val="00AF0E00"/>
    <w:rsid w:val="00AF78A5"/>
    <w:rsid w:val="00B0237E"/>
    <w:rsid w:val="00B04F46"/>
    <w:rsid w:val="00B13890"/>
    <w:rsid w:val="00B15E97"/>
    <w:rsid w:val="00B234D7"/>
    <w:rsid w:val="00B3071B"/>
    <w:rsid w:val="00B312B0"/>
    <w:rsid w:val="00B36390"/>
    <w:rsid w:val="00B44815"/>
    <w:rsid w:val="00B64B1A"/>
    <w:rsid w:val="00B654AC"/>
    <w:rsid w:val="00B66A69"/>
    <w:rsid w:val="00B77224"/>
    <w:rsid w:val="00B83724"/>
    <w:rsid w:val="00B9089B"/>
    <w:rsid w:val="00B90CE8"/>
    <w:rsid w:val="00B93F10"/>
    <w:rsid w:val="00B968E6"/>
    <w:rsid w:val="00B97D81"/>
    <w:rsid w:val="00BA33D8"/>
    <w:rsid w:val="00BB114B"/>
    <w:rsid w:val="00BB122B"/>
    <w:rsid w:val="00BC4FEE"/>
    <w:rsid w:val="00BC53F8"/>
    <w:rsid w:val="00BD3777"/>
    <w:rsid w:val="00BE0188"/>
    <w:rsid w:val="00BE2300"/>
    <w:rsid w:val="00BF3801"/>
    <w:rsid w:val="00C03DE8"/>
    <w:rsid w:val="00C061ED"/>
    <w:rsid w:val="00C062BB"/>
    <w:rsid w:val="00C069DC"/>
    <w:rsid w:val="00C20631"/>
    <w:rsid w:val="00C245D1"/>
    <w:rsid w:val="00C30725"/>
    <w:rsid w:val="00C43CC7"/>
    <w:rsid w:val="00C5195C"/>
    <w:rsid w:val="00C56900"/>
    <w:rsid w:val="00C62C3E"/>
    <w:rsid w:val="00C758C9"/>
    <w:rsid w:val="00C8275E"/>
    <w:rsid w:val="00C83B0E"/>
    <w:rsid w:val="00C9201A"/>
    <w:rsid w:val="00CA5DA7"/>
    <w:rsid w:val="00CB0182"/>
    <w:rsid w:val="00CB0E21"/>
    <w:rsid w:val="00CB1F3A"/>
    <w:rsid w:val="00CB506C"/>
    <w:rsid w:val="00CC3548"/>
    <w:rsid w:val="00CC5A5C"/>
    <w:rsid w:val="00CC6F72"/>
    <w:rsid w:val="00CD1F5D"/>
    <w:rsid w:val="00CD4180"/>
    <w:rsid w:val="00CD5A4F"/>
    <w:rsid w:val="00CD6246"/>
    <w:rsid w:val="00CE10BA"/>
    <w:rsid w:val="00CE15B3"/>
    <w:rsid w:val="00CF1C77"/>
    <w:rsid w:val="00CF2307"/>
    <w:rsid w:val="00D0024A"/>
    <w:rsid w:val="00D0091D"/>
    <w:rsid w:val="00D01D69"/>
    <w:rsid w:val="00D029A5"/>
    <w:rsid w:val="00D05F17"/>
    <w:rsid w:val="00D078E9"/>
    <w:rsid w:val="00D07A5E"/>
    <w:rsid w:val="00D11AA6"/>
    <w:rsid w:val="00D27CC2"/>
    <w:rsid w:val="00D32FCA"/>
    <w:rsid w:val="00D34F92"/>
    <w:rsid w:val="00D35077"/>
    <w:rsid w:val="00D3775F"/>
    <w:rsid w:val="00D42E24"/>
    <w:rsid w:val="00D61114"/>
    <w:rsid w:val="00D65A52"/>
    <w:rsid w:val="00D806A7"/>
    <w:rsid w:val="00D80C05"/>
    <w:rsid w:val="00D86DA9"/>
    <w:rsid w:val="00DA1949"/>
    <w:rsid w:val="00DA1BC3"/>
    <w:rsid w:val="00DA43D0"/>
    <w:rsid w:val="00DB08DB"/>
    <w:rsid w:val="00DB11EC"/>
    <w:rsid w:val="00DB3B94"/>
    <w:rsid w:val="00DB4419"/>
    <w:rsid w:val="00DB70CF"/>
    <w:rsid w:val="00DB7B19"/>
    <w:rsid w:val="00DC3E24"/>
    <w:rsid w:val="00DC499F"/>
    <w:rsid w:val="00DE0CCC"/>
    <w:rsid w:val="00DE6307"/>
    <w:rsid w:val="00DE6EBF"/>
    <w:rsid w:val="00DF12D2"/>
    <w:rsid w:val="00DF5CBF"/>
    <w:rsid w:val="00DF6B46"/>
    <w:rsid w:val="00E00D21"/>
    <w:rsid w:val="00E01409"/>
    <w:rsid w:val="00E0287D"/>
    <w:rsid w:val="00E22A4B"/>
    <w:rsid w:val="00E25D5B"/>
    <w:rsid w:val="00E45125"/>
    <w:rsid w:val="00E5333E"/>
    <w:rsid w:val="00E62852"/>
    <w:rsid w:val="00E66902"/>
    <w:rsid w:val="00E71558"/>
    <w:rsid w:val="00E76276"/>
    <w:rsid w:val="00E76C58"/>
    <w:rsid w:val="00E852BE"/>
    <w:rsid w:val="00E85CD9"/>
    <w:rsid w:val="00E866D5"/>
    <w:rsid w:val="00E950CE"/>
    <w:rsid w:val="00E95959"/>
    <w:rsid w:val="00EA61E1"/>
    <w:rsid w:val="00EB2E14"/>
    <w:rsid w:val="00EC00E8"/>
    <w:rsid w:val="00EC0E7C"/>
    <w:rsid w:val="00EC19FF"/>
    <w:rsid w:val="00EC3493"/>
    <w:rsid w:val="00EC54D0"/>
    <w:rsid w:val="00EF424D"/>
    <w:rsid w:val="00F005FC"/>
    <w:rsid w:val="00F16384"/>
    <w:rsid w:val="00F31286"/>
    <w:rsid w:val="00F3377C"/>
    <w:rsid w:val="00F33C73"/>
    <w:rsid w:val="00F40C63"/>
    <w:rsid w:val="00F472FF"/>
    <w:rsid w:val="00F509DB"/>
    <w:rsid w:val="00F62AA5"/>
    <w:rsid w:val="00F70EFB"/>
    <w:rsid w:val="00F73CD7"/>
    <w:rsid w:val="00F92AB2"/>
    <w:rsid w:val="00F9764F"/>
    <w:rsid w:val="00FA1D58"/>
    <w:rsid w:val="00FA75CB"/>
    <w:rsid w:val="00FC2C77"/>
    <w:rsid w:val="00FC340F"/>
    <w:rsid w:val="00FD4243"/>
    <w:rsid w:val="00FE7751"/>
    <w:rsid w:val="00FF018C"/>
    <w:rsid w:val="00FF0E3A"/>
    <w:rsid w:val="00FF268D"/>
    <w:rsid w:val="0189D22E"/>
    <w:rsid w:val="031ED1B5"/>
    <w:rsid w:val="0348F013"/>
    <w:rsid w:val="035ADE43"/>
    <w:rsid w:val="038A10C4"/>
    <w:rsid w:val="04394F07"/>
    <w:rsid w:val="045D347C"/>
    <w:rsid w:val="05D92FD8"/>
    <w:rsid w:val="06630004"/>
    <w:rsid w:val="07AA2F7B"/>
    <w:rsid w:val="0805D375"/>
    <w:rsid w:val="09A4519A"/>
    <w:rsid w:val="0A15AE85"/>
    <w:rsid w:val="0AD6FBFF"/>
    <w:rsid w:val="0B8187AD"/>
    <w:rsid w:val="0C71018A"/>
    <w:rsid w:val="0CD860AC"/>
    <w:rsid w:val="0E392B2F"/>
    <w:rsid w:val="0E656067"/>
    <w:rsid w:val="0ECBBA91"/>
    <w:rsid w:val="10C68641"/>
    <w:rsid w:val="11A8653E"/>
    <w:rsid w:val="130737A3"/>
    <w:rsid w:val="1318109B"/>
    <w:rsid w:val="132F9983"/>
    <w:rsid w:val="13901B95"/>
    <w:rsid w:val="13A2A4F6"/>
    <w:rsid w:val="180A179E"/>
    <w:rsid w:val="1A6EEF32"/>
    <w:rsid w:val="1BD3A8CF"/>
    <w:rsid w:val="1C178EF6"/>
    <w:rsid w:val="1F345BF3"/>
    <w:rsid w:val="2114B16E"/>
    <w:rsid w:val="22039DC1"/>
    <w:rsid w:val="23A710FB"/>
    <w:rsid w:val="24297214"/>
    <w:rsid w:val="24697837"/>
    <w:rsid w:val="26242255"/>
    <w:rsid w:val="2719E44A"/>
    <w:rsid w:val="297055AF"/>
    <w:rsid w:val="2BE5B404"/>
    <w:rsid w:val="2E0DED1D"/>
    <w:rsid w:val="2F05695A"/>
    <w:rsid w:val="3136E0F4"/>
    <w:rsid w:val="320C8FB7"/>
    <w:rsid w:val="3283B51C"/>
    <w:rsid w:val="335F68F9"/>
    <w:rsid w:val="339D8158"/>
    <w:rsid w:val="33C78E9A"/>
    <w:rsid w:val="34799CE4"/>
    <w:rsid w:val="349EA62E"/>
    <w:rsid w:val="3637D9FF"/>
    <w:rsid w:val="399706E3"/>
    <w:rsid w:val="3A15F7C8"/>
    <w:rsid w:val="3AC774F9"/>
    <w:rsid w:val="3B669783"/>
    <w:rsid w:val="3B7FB003"/>
    <w:rsid w:val="3CC17032"/>
    <w:rsid w:val="3D62FDE8"/>
    <w:rsid w:val="3D74DB63"/>
    <w:rsid w:val="3E2F8499"/>
    <w:rsid w:val="40462F8A"/>
    <w:rsid w:val="4319ECFE"/>
    <w:rsid w:val="43E84E60"/>
    <w:rsid w:val="4532D68C"/>
    <w:rsid w:val="462D8F32"/>
    <w:rsid w:val="47002988"/>
    <w:rsid w:val="4767D69D"/>
    <w:rsid w:val="47BAB0AD"/>
    <w:rsid w:val="47D258BF"/>
    <w:rsid w:val="48EBA169"/>
    <w:rsid w:val="4A38863A"/>
    <w:rsid w:val="4CEF01E2"/>
    <w:rsid w:val="4D1DE546"/>
    <w:rsid w:val="4D9C13F4"/>
    <w:rsid w:val="4E59C968"/>
    <w:rsid w:val="50A3F5C9"/>
    <w:rsid w:val="525ED4B4"/>
    <w:rsid w:val="52ABBA7A"/>
    <w:rsid w:val="577915A8"/>
    <w:rsid w:val="586A0831"/>
    <w:rsid w:val="5A4AD735"/>
    <w:rsid w:val="5AB605CE"/>
    <w:rsid w:val="5B818238"/>
    <w:rsid w:val="62742E26"/>
    <w:rsid w:val="63978998"/>
    <w:rsid w:val="647BAFD2"/>
    <w:rsid w:val="64916176"/>
    <w:rsid w:val="64A13ECA"/>
    <w:rsid w:val="672BE984"/>
    <w:rsid w:val="682A72EB"/>
    <w:rsid w:val="6923761C"/>
    <w:rsid w:val="69E02B30"/>
    <w:rsid w:val="6AAD62FC"/>
    <w:rsid w:val="6B50C756"/>
    <w:rsid w:val="6B5FDE04"/>
    <w:rsid w:val="6CB60777"/>
    <w:rsid w:val="6D0E411E"/>
    <w:rsid w:val="6DC047B0"/>
    <w:rsid w:val="6EE8DD50"/>
    <w:rsid w:val="6F7BE126"/>
    <w:rsid w:val="7256DF33"/>
    <w:rsid w:val="73365B2C"/>
    <w:rsid w:val="74AC8BB9"/>
    <w:rsid w:val="761B515B"/>
    <w:rsid w:val="762E4E40"/>
    <w:rsid w:val="78B10DEE"/>
    <w:rsid w:val="79E4DEAC"/>
    <w:rsid w:val="7ABDAD2F"/>
    <w:rsid w:val="7B1E6EC3"/>
    <w:rsid w:val="7C68C262"/>
    <w:rsid w:val="7E3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030E2"/>
  <w15:chartTrackingRefBased/>
  <w15:docId w15:val="{2487C368-2E73-4081-9618-151680D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D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691737"/>
    <w:pPr>
      <w:pBdr>
        <w:bottom w:val="single" w:sz="4" w:space="1" w:color="auto"/>
      </w:pBdr>
      <w:spacing w:after="240" w:line="276" w:lineRule="auto"/>
      <w:outlineLvl w:val="0"/>
    </w:pPr>
    <w:rPr>
      <w:rFonts w:ascii="Arial" w:eastAsia="Calibri" w:hAnsi="Arial" w:cs="Arial"/>
      <w:color w:val="000000" w:themeColor="tex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91737"/>
    <w:pPr>
      <w:spacing w:before="360" w:after="80"/>
      <w:outlineLvl w:val="1"/>
    </w:pPr>
    <w:rPr>
      <w:rFonts w:ascii="Arial" w:eastAsia="Aptos" w:hAnsi="Arial" w:cs="Arial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737"/>
    <w:rPr>
      <w:rFonts w:ascii="Arial" w:eastAsia="Calibri" w:hAnsi="Arial" w:cs="Arial"/>
      <w:color w:val="000000" w:themeColor="text1"/>
      <w:spacing w:val="-10"/>
      <w:kern w:val="28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1737"/>
    <w:rPr>
      <w:rFonts w:ascii="Arial" w:eastAsia="Aptos" w:hAnsi="Arial" w:cs="Arial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D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B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8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08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B0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8DB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D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DB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B08DB"/>
  </w:style>
  <w:style w:type="character" w:styleId="Mention">
    <w:name w:val="Mention"/>
    <w:basedOn w:val="DefaultParagraphFont"/>
    <w:uiPriority w:val="99"/>
    <w:unhideWhenUsed/>
    <w:rsid w:val="00DB08DB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BE"/>
    <w:rPr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9E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2E56"/>
  </w:style>
  <w:style w:type="character" w:customStyle="1" w:styleId="eop">
    <w:name w:val="eop"/>
    <w:basedOn w:val="DefaultParagraphFont"/>
    <w:rsid w:val="009E2E56"/>
  </w:style>
  <w:style w:type="paragraph" w:styleId="Revision">
    <w:name w:val="Revision"/>
    <w:hidden/>
    <w:uiPriority w:val="99"/>
    <w:semiHidden/>
    <w:rsid w:val="00CD1F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2F19501-95C2-483B-AEEF-6449D413797B}">
    <t:Anchor>
      <t:Comment id="397435794"/>
    </t:Anchor>
    <t:History>
      <t:Event id="{F1410AE7-C57A-476B-9A04-A0F968BA32BB}" time="2026-02-18T15:58:35.674Z">
        <t:Attribution userId="S::Lucy.A.Wall@mass.gov::fa07faa1-2c68-42e2-a6fd-e0361f5ae0cd" userProvider="AD" userName="Wall, Lucy (DESE)"/>
        <t:Anchor>
          <t:Comment id="1151310594"/>
        </t:Anchor>
        <t:Create/>
      </t:Event>
      <t:Event id="{9752F77A-5A21-4D07-A354-29B1BCE7CEEB}" time="2026-02-18T15:58:35.674Z">
        <t:Attribution userId="S::Lucy.A.Wall@mass.gov::fa07faa1-2c68-42e2-a6fd-e0361f5ae0cd" userProvider="AD" userName="Wall, Lucy (DESE)"/>
        <t:Anchor>
          <t:Comment id="1151310594"/>
        </t:Anchor>
        <t:Assign userId="S::Kinnon.Foley@mass.gov::4bff922e-d211-4dcd-970c-f57d358f4faf" userProvider="AD" userName="Foley, Kinnon (DESE)"/>
      </t:Event>
      <t:Event id="{213E9D1B-695A-4FC3-B101-59E54557C726}" time="2026-02-18T15:58:35.674Z">
        <t:Attribution userId="S::Lucy.A.Wall@mass.gov::fa07faa1-2c68-42e2-a6fd-e0361f5ae0cd" userProvider="AD" userName="Wall, Lucy (DESE)"/>
        <t:Anchor>
          <t:Comment id="1151310594"/>
        </t:Anchor>
        <t:SetTitle title="@Foley, Kinnon (DESE) Do you have a preference? This seems more readable to me with the empty row."/>
      </t:Event>
      <t:Event id="{DF386CE4-7C2B-434A-B49A-EF1309EF915F}" time="2026-02-20T17:06:35.868Z">
        <t:Attribution userId="S::Lucy.A.Wall@mass.gov::fa07faa1-2c68-42e2-a6fd-e0361f5ae0cd" userProvider="AD" userName="Wall, Lucy (DESE)"/>
        <t:Anchor>
          <t:Comment id="197294293"/>
        </t:Anchor>
        <t:UnassignAll/>
      </t:Event>
      <t:Event id="{3AF0E5E0-9E3F-4B32-A0F8-206D2825D8AE}" time="2026-02-20T17:06:35.868Z">
        <t:Attribution userId="S::Lucy.A.Wall@mass.gov::fa07faa1-2c68-42e2-a6fd-e0361f5ae0cd" userProvider="AD" userName="Wall, Lucy (DESE)"/>
        <t:Anchor>
          <t:Comment id="197294293"/>
        </t:Anchor>
        <t:Assign userId="S::Elizabeth.C.Losee@mass.gov::ca2766c9-0676-4442-b2fb-89151b00f906" userProvider="AD" userName="Losee, Elizabeth (DESE)"/>
      </t:Event>
      <t:Event id="{1B2BCE38-1780-4955-81A7-9DD6DCA70D56}" time="2026-02-20T23:16:05.463Z">
        <t:Attribution userId="S::Stephanie.Leiter@mass.gov::05253967-9844-48d4-8a72-680f05b3c52d" userProvider="AD" userName="Leiter, Stephanie (EO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342AD-41CB-47AC-9A26-D9F3F6A4D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3F80-7219-4962-B6A6-700979E3C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1B759-4245-43B0-8531-D93FA4B62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8E910-B4CA-4025-B2E3-1556FCA8F60D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March 24, 2026 Regular Meeting Item 4 Attachment: Summary of Public Comments on Proposed Changes to 603 CMR 7.00</vt:lpstr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March 24, 2026 Regular Meeting Item 3 Attachment: Summary of Public Comments on Proposed Changes to 603 CMR 7.00</dc:title>
  <dc:subject/>
  <dc:creator>DESE</dc:creator>
  <cp:keywords/>
  <dc:description/>
  <cp:lastModifiedBy>Zou, Dong (EOE)</cp:lastModifiedBy>
  <cp:revision>5</cp:revision>
  <dcterms:created xsi:type="dcterms:W3CDTF">2026-03-19T16:57:00Z</dcterms:created>
  <dcterms:modified xsi:type="dcterms:W3CDTF">2026-03-19T18:30:00Z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19 2026 12:00AM</vt:lpwstr>
  </property>
</Properties>
</file>