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9972" w14:textId="331D18BB" w:rsidR="77D9DD77" w:rsidRDefault="77D9DD77" w:rsidP="765BC955">
      <w:pPr>
        <w:rPr>
          <w:rFonts w:ascii="Arial" w:eastAsia="Arial" w:hAnsi="Arial" w:cs="Arial"/>
        </w:rPr>
        <w:sectPr w:rsidR="77D9DD77" w:rsidSect="00C84EE3">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00F3508" w14:textId="77777777" w:rsidR="00C3665B" w:rsidRPr="00482BA2" w:rsidRDefault="00C3665B" w:rsidP="5BEF9C21">
      <w:pPr>
        <w:pStyle w:val="Heading1"/>
        <w:jc w:val="center"/>
        <w:rPr>
          <w:rFonts w:ascii="Arial" w:eastAsia="Arial" w:hAnsi="Arial" w:cs="Arial"/>
          <w:b/>
          <w:bCs/>
          <w:color w:val="000000" w:themeColor="text1"/>
        </w:rPr>
      </w:pPr>
      <w:r w:rsidRPr="1DB47B2A">
        <w:rPr>
          <w:rFonts w:ascii="Arial" w:eastAsia="Arial" w:hAnsi="Arial" w:cs="Arial"/>
          <w:b/>
          <w:bCs/>
          <w:color w:val="000000" w:themeColor="text1"/>
        </w:rPr>
        <w:t>MEMORANDUM</w:t>
      </w:r>
    </w:p>
    <w:p w14:paraId="1272747C" w14:textId="77777777" w:rsidR="00C3665B" w:rsidRPr="00482BA2" w:rsidRDefault="00C3665B" w:rsidP="00C3665B">
      <w:pPr>
        <w:widowControl w:val="0"/>
        <w:tabs>
          <w:tab w:val="center" w:pos="4680"/>
          <w:tab w:val="right" w:pos="9360"/>
        </w:tabs>
        <w:spacing w:after="0" w:line="240" w:lineRule="auto"/>
        <w:rPr>
          <w:rFonts w:ascii="Arial" w:hAnsi="Arial" w:cs="Arial"/>
          <w:snapToGrid w:val="0"/>
          <w:szCs w:val="20"/>
        </w:rPr>
      </w:pPr>
    </w:p>
    <w:tbl>
      <w:tblPr>
        <w:tblW w:w="9360" w:type="dxa"/>
        <w:tblLook w:val="01E0" w:firstRow="1" w:lastRow="1" w:firstColumn="1" w:lastColumn="1" w:noHBand="0" w:noVBand="0"/>
      </w:tblPr>
      <w:tblGrid>
        <w:gridCol w:w="1395"/>
        <w:gridCol w:w="7965"/>
      </w:tblGrid>
      <w:tr w:rsidR="00C3665B" w:rsidRPr="00482BA2" w14:paraId="30B0F129" w14:textId="77777777" w:rsidTr="7A1A3327">
        <w:trPr>
          <w:trHeight w:val="300"/>
        </w:trPr>
        <w:tc>
          <w:tcPr>
            <w:tcW w:w="1395" w:type="dxa"/>
          </w:tcPr>
          <w:p w14:paraId="4BEB8732" w14:textId="77777777" w:rsidR="00C3665B" w:rsidRPr="00482BA2" w:rsidRDefault="00C3665B" w:rsidP="00C3665B">
            <w:pPr>
              <w:spacing w:after="0" w:line="240" w:lineRule="auto"/>
              <w:rPr>
                <w:rFonts w:ascii="Arial" w:hAnsi="Arial" w:cs="Arial"/>
                <w:b/>
              </w:rPr>
            </w:pPr>
            <w:r w:rsidRPr="00482BA2">
              <w:rPr>
                <w:rFonts w:ascii="Arial" w:hAnsi="Arial" w:cs="Arial"/>
                <w:b/>
              </w:rPr>
              <w:t>To:</w:t>
            </w:r>
          </w:p>
        </w:tc>
        <w:tc>
          <w:tcPr>
            <w:tcW w:w="7965" w:type="dxa"/>
          </w:tcPr>
          <w:p w14:paraId="25AE7450" w14:textId="11F95764" w:rsidR="00C3665B" w:rsidRPr="00482BA2" w:rsidRDefault="00D27E05" w:rsidP="7490E63A">
            <w:pPr>
              <w:widowControl w:val="0"/>
              <w:tabs>
                <w:tab w:val="center" w:pos="4680"/>
                <w:tab w:val="right" w:pos="9360"/>
              </w:tabs>
              <w:spacing w:after="0" w:line="240" w:lineRule="auto"/>
              <w:rPr>
                <w:rFonts w:ascii="Arial" w:eastAsia="Aptos" w:hAnsi="Arial" w:cs="Arial"/>
                <w:snapToGrid w:val="0"/>
              </w:rPr>
            </w:pPr>
            <w:r w:rsidRPr="00D27E05">
              <w:rPr>
                <w:rFonts w:ascii="Arial" w:eastAsia="Aptos" w:hAnsi="Arial" w:cs="Arial"/>
                <w:color w:val="000000" w:themeColor="text1"/>
              </w:rPr>
              <w:t>Members of the Board of Elementary and Secondary Education</w:t>
            </w:r>
            <w:r w:rsidR="0B7587BC" w:rsidRPr="00482BA2">
              <w:rPr>
                <w:rFonts w:ascii="Arial" w:eastAsia="Aptos" w:hAnsi="Arial" w:cs="Arial"/>
                <w:color w:val="000000" w:themeColor="text1"/>
              </w:rPr>
              <w:t> </w:t>
            </w:r>
          </w:p>
        </w:tc>
      </w:tr>
      <w:tr w:rsidR="00C3665B" w:rsidRPr="00482BA2" w14:paraId="014ADFC2" w14:textId="77777777" w:rsidTr="7A1A3327">
        <w:trPr>
          <w:trHeight w:val="300"/>
        </w:trPr>
        <w:tc>
          <w:tcPr>
            <w:tcW w:w="1395" w:type="dxa"/>
          </w:tcPr>
          <w:p w14:paraId="0F209268" w14:textId="798AFE7C" w:rsidR="00C3665B" w:rsidRPr="00482BA2" w:rsidRDefault="00C3665B" w:rsidP="2BEB5B13">
            <w:pPr>
              <w:spacing w:after="0" w:line="240" w:lineRule="auto"/>
              <w:rPr>
                <w:rFonts w:ascii="Arial" w:hAnsi="Arial" w:cs="Arial"/>
                <w:b/>
                <w:bCs/>
              </w:rPr>
            </w:pPr>
            <w:r w:rsidRPr="2BEB5B13">
              <w:rPr>
                <w:rFonts w:ascii="Arial" w:hAnsi="Arial" w:cs="Arial"/>
                <w:b/>
                <w:bCs/>
              </w:rPr>
              <w:t>From:</w:t>
            </w:r>
          </w:p>
        </w:tc>
        <w:tc>
          <w:tcPr>
            <w:tcW w:w="7965" w:type="dxa"/>
          </w:tcPr>
          <w:p w14:paraId="6F9D5175" w14:textId="6691D35F" w:rsidR="00C3665B" w:rsidRPr="00482BA2" w:rsidRDefault="3F6ED91F" w:rsidP="718C6942">
            <w:pPr>
              <w:widowControl w:val="0"/>
              <w:tabs>
                <w:tab w:val="center" w:pos="4680"/>
                <w:tab w:val="right" w:pos="9360"/>
              </w:tabs>
              <w:spacing w:after="0" w:line="240" w:lineRule="auto"/>
              <w:rPr>
                <w:rFonts w:ascii="Arial" w:eastAsia="Arial" w:hAnsi="Arial" w:cs="Arial"/>
                <w:snapToGrid w:val="0"/>
              </w:rPr>
            </w:pPr>
            <w:r w:rsidRPr="718C6942">
              <w:rPr>
                <w:rFonts w:ascii="Arial" w:eastAsia="Arial" w:hAnsi="Arial" w:cs="Arial"/>
                <w:snapToGrid w:val="0"/>
              </w:rPr>
              <w:t>Pedro Martinez</w:t>
            </w:r>
            <w:r w:rsidR="00C3665B" w:rsidRPr="718C6942">
              <w:rPr>
                <w:rFonts w:ascii="Arial" w:eastAsia="Arial" w:hAnsi="Arial" w:cs="Arial"/>
                <w:snapToGrid w:val="0"/>
              </w:rPr>
              <w:t>, Commissioner</w:t>
            </w:r>
          </w:p>
        </w:tc>
      </w:tr>
      <w:tr w:rsidR="00C3665B" w:rsidRPr="00482BA2" w14:paraId="02FD8403" w14:textId="77777777" w:rsidTr="7A1A3327">
        <w:trPr>
          <w:trHeight w:val="300"/>
        </w:trPr>
        <w:tc>
          <w:tcPr>
            <w:tcW w:w="1395" w:type="dxa"/>
          </w:tcPr>
          <w:p w14:paraId="3076B878" w14:textId="55E843E3" w:rsidR="00C3665B" w:rsidRPr="00482BA2" w:rsidRDefault="00C3665B" w:rsidP="2BEB5B13">
            <w:pPr>
              <w:spacing w:after="0" w:line="240" w:lineRule="auto"/>
              <w:rPr>
                <w:rFonts w:ascii="Arial" w:hAnsi="Arial" w:cs="Arial"/>
                <w:b/>
                <w:bCs/>
              </w:rPr>
            </w:pPr>
            <w:r w:rsidRPr="2BEB5B13">
              <w:rPr>
                <w:rFonts w:ascii="Arial" w:hAnsi="Arial" w:cs="Arial"/>
                <w:b/>
                <w:bCs/>
              </w:rPr>
              <w:t>Date:</w:t>
            </w:r>
          </w:p>
        </w:tc>
        <w:tc>
          <w:tcPr>
            <w:tcW w:w="7965" w:type="dxa"/>
          </w:tcPr>
          <w:p w14:paraId="558FA6C4" w14:textId="1AF0464E" w:rsidR="00C3665B" w:rsidRPr="00482BA2" w:rsidRDefault="1DF0BCED" w:rsidP="718C6942">
            <w:pPr>
              <w:widowControl w:val="0"/>
              <w:tabs>
                <w:tab w:val="center" w:pos="4680"/>
                <w:tab w:val="right" w:pos="9360"/>
              </w:tabs>
              <w:spacing w:after="0" w:line="240" w:lineRule="auto"/>
              <w:rPr>
                <w:rFonts w:ascii="Arial" w:eastAsia="Arial" w:hAnsi="Arial" w:cs="Arial"/>
              </w:rPr>
            </w:pPr>
            <w:r w:rsidRPr="7A1A3327">
              <w:rPr>
                <w:rFonts w:ascii="Arial" w:eastAsia="Arial" w:hAnsi="Arial" w:cs="Arial"/>
              </w:rPr>
              <w:t>March</w:t>
            </w:r>
            <w:r w:rsidR="17E8EB6E" w:rsidRPr="7A1A3327">
              <w:rPr>
                <w:rFonts w:ascii="Arial" w:eastAsia="Arial" w:hAnsi="Arial" w:cs="Arial"/>
              </w:rPr>
              <w:t xml:space="preserve"> 1</w:t>
            </w:r>
            <w:r w:rsidR="1CE7C485" w:rsidRPr="7A1A3327">
              <w:rPr>
                <w:rFonts w:ascii="Arial" w:eastAsia="Arial" w:hAnsi="Arial" w:cs="Arial"/>
              </w:rPr>
              <w:t>8</w:t>
            </w:r>
            <w:r w:rsidR="17E8EB6E" w:rsidRPr="7A1A3327">
              <w:rPr>
                <w:rFonts w:ascii="Arial" w:eastAsia="Arial" w:hAnsi="Arial" w:cs="Arial"/>
              </w:rPr>
              <w:t>, 2026</w:t>
            </w:r>
          </w:p>
        </w:tc>
      </w:tr>
      <w:tr w:rsidR="00C3665B" w:rsidRPr="00482BA2" w14:paraId="3A43128D" w14:textId="77777777" w:rsidTr="7A1A3327">
        <w:trPr>
          <w:trHeight w:val="300"/>
        </w:trPr>
        <w:tc>
          <w:tcPr>
            <w:tcW w:w="1395" w:type="dxa"/>
          </w:tcPr>
          <w:p w14:paraId="52BE17F1" w14:textId="77777777" w:rsidR="00C3665B" w:rsidRPr="00482BA2" w:rsidRDefault="00C3665B" w:rsidP="00C3665B">
            <w:pPr>
              <w:spacing w:after="0" w:line="240" w:lineRule="auto"/>
              <w:rPr>
                <w:rFonts w:ascii="Arial" w:hAnsi="Arial" w:cs="Arial"/>
                <w:b/>
              </w:rPr>
            </w:pPr>
            <w:r w:rsidRPr="00482BA2">
              <w:rPr>
                <w:rFonts w:ascii="Arial" w:hAnsi="Arial" w:cs="Arial"/>
                <w:b/>
              </w:rPr>
              <w:t>Subject:</w:t>
            </w:r>
          </w:p>
        </w:tc>
        <w:tc>
          <w:tcPr>
            <w:tcW w:w="7965" w:type="dxa"/>
          </w:tcPr>
          <w:p w14:paraId="61A962E0" w14:textId="71D94820" w:rsidR="00C3665B" w:rsidRPr="00482BA2" w:rsidRDefault="7724E4C3" w:rsidP="718C6942">
            <w:pPr>
              <w:widowControl w:val="0"/>
              <w:tabs>
                <w:tab w:val="center" w:pos="4680"/>
                <w:tab w:val="right" w:pos="9360"/>
              </w:tabs>
              <w:spacing w:after="0" w:line="240" w:lineRule="auto"/>
              <w:rPr>
                <w:rFonts w:ascii="Arial" w:eastAsia="Arial" w:hAnsi="Arial" w:cs="Arial"/>
              </w:rPr>
            </w:pPr>
            <w:r w:rsidRPr="6D563C9A">
              <w:rPr>
                <w:rFonts w:ascii="Arial" w:eastAsia="Arial" w:hAnsi="Arial" w:cs="Arial"/>
              </w:rPr>
              <w:t>Commonwealth Virtual Schools Renewal Applications and Report on Conditions</w:t>
            </w:r>
          </w:p>
        </w:tc>
      </w:tr>
    </w:tbl>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4739CB3E" w14:textId="2FF178FE" w:rsidR="765BC955" w:rsidRDefault="765BC955" w:rsidP="009E7CA1">
      <w:pPr>
        <w:spacing w:after="0"/>
        <w:rPr>
          <w:rFonts w:ascii="Arial" w:hAnsi="Arial" w:cs="Arial"/>
        </w:rPr>
      </w:pPr>
    </w:p>
    <w:p w14:paraId="4CD71C82" w14:textId="542DD417"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Massachusetts law, G.L. c. 71, § 94, authorizes the Board of Elementary and Secondary Education (Board) to adopt regulations governing publicly funded virtual schools and, through the Department of Elementary and Secondary Education (Department), to oversee the establishment and operation of Commonwealth of Massachusetts virtual schools (CMVS). A CMVS is a public school governed by a board of trustees where teachers primarily teach from a remote location using the Internet or other computer-based methods and students are not required to be located at the physical premises of the school.</w:t>
      </w:r>
      <w:r w:rsidR="001C2B60">
        <w:rPr>
          <w:rStyle w:val="FootnoteReference"/>
          <w:rFonts w:ascii="Arial" w:eastAsia="Arial" w:hAnsi="Arial" w:cs="Arial"/>
          <w:color w:val="000000" w:themeColor="text1"/>
        </w:rPr>
        <w:footnoteReference w:id="1"/>
      </w:r>
      <w:r w:rsidRPr="7F78A27A">
        <w:rPr>
          <w:rFonts w:ascii="Arial" w:eastAsia="Arial" w:hAnsi="Arial" w:cs="Arial"/>
          <w:color w:val="000000" w:themeColor="text1"/>
        </w:rPr>
        <w:t xml:space="preserve"> </w:t>
      </w:r>
    </w:p>
    <w:p w14:paraId="1CD9BAD4" w14:textId="3966EBF8"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As the sole authorizer in Massachusetts, the Board is responsible for awarding certificates to operate a CMVS for not less than three years and not more than five years and developing procedures and guidelines for amending, revoking, and renewing a virtual school’s certificate.</w:t>
      </w:r>
      <w:r w:rsidR="00A01BD5">
        <w:rPr>
          <w:rStyle w:val="FootnoteReference"/>
          <w:rFonts w:ascii="Arial" w:eastAsia="Arial" w:hAnsi="Arial" w:cs="Arial"/>
          <w:color w:val="000000" w:themeColor="text1"/>
        </w:rPr>
        <w:footnoteReference w:id="2"/>
      </w:r>
      <w:r w:rsidRPr="7F78A27A">
        <w:rPr>
          <w:rFonts w:ascii="Arial" w:eastAsia="Arial" w:hAnsi="Arial" w:cs="Arial"/>
          <w:color w:val="000000" w:themeColor="text1"/>
        </w:rPr>
        <w:t xml:space="preserve"> The Board may place a CMVS on probation.</w:t>
      </w:r>
      <w:r w:rsidR="0032168B">
        <w:rPr>
          <w:rStyle w:val="FootnoteReference"/>
          <w:rFonts w:ascii="Arial" w:eastAsia="Arial" w:hAnsi="Arial" w:cs="Arial"/>
          <w:color w:val="000000" w:themeColor="text1"/>
        </w:rPr>
        <w:footnoteReference w:id="3"/>
      </w:r>
      <w:r w:rsidRPr="7F78A27A">
        <w:rPr>
          <w:rFonts w:ascii="Arial" w:eastAsia="Arial" w:hAnsi="Arial" w:cs="Arial"/>
          <w:color w:val="000000" w:themeColor="text1"/>
        </w:rPr>
        <w:t xml:space="preserve"> The Board or Commissioner may impose conditions on a virtual school’s certificate.</w:t>
      </w:r>
      <w:r w:rsidR="0032168B">
        <w:rPr>
          <w:rStyle w:val="FootnoteReference"/>
          <w:rFonts w:ascii="Arial" w:eastAsia="Arial" w:hAnsi="Arial" w:cs="Arial"/>
          <w:color w:val="000000" w:themeColor="text1"/>
        </w:rPr>
        <w:footnoteReference w:id="4"/>
      </w:r>
    </w:p>
    <w:p w14:paraId="06F0096E" w14:textId="5DE6098D"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 xml:space="preserve">Two virtual schools currently operate in Massachusetts under certificates the Board granted: Greater Commonwealth Virtual School (GCVS) and TEC Connections Academy Commonwealth Virtual School (TECCA). Each school is seeking renewal of its certificate this year. Under G.L. c. 71, § 94, and 603 CMR 52.11, the Board renewed </w:t>
      </w:r>
      <w:r w:rsidRPr="7F78A27A">
        <w:rPr>
          <w:rFonts w:ascii="Arial" w:eastAsia="Arial" w:hAnsi="Arial" w:cs="Arial"/>
          <w:color w:val="000000" w:themeColor="text1"/>
        </w:rPr>
        <w:lastRenderedPageBreak/>
        <w:t xml:space="preserve">the certificates of GCVS and TECCA on March 22, 2022, and placed conditions on each school’s certificate to remedy concerns documented during the renewal process. On </w:t>
      </w:r>
      <w:hyperlink r:id="rId14">
        <w:r w:rsidRPr="7F78A27A">
          <w:rPr>
            <w:rStyle w:val="Hyperlink"/>
            <w:rFonts w:ascii="Arial" w:eastAsia="Arial" w:hAnsi="Arial" w:cs="Arial"/>
          </w:rPr>
          <w:t>March 25, 2025</w:t>
        </w:r>
      </w:hyperlink>
      <w:r w:rsidRPr="7F78A27A">
        <w:rPr>
          <w:rFonts w:ascii="Arial" w:eastAsia="Arial" w:hAnsi="Arial" w:cs="Arial"/>
          <w:color w:val="000000" w:themeColor="text1"/>
        </w:rPr>
        <w:t xml:space="preserve">, the Board voted to revise the conditions placed on each school’s certificate. </w:t>
      </w:r>
    </w:p>
    <w:p w14:paraId="1CCFB982" w14:textId="3C7751DA" w:rsidR="00802713" w:rsidRDefault="641B1591" w:rsidP="49738255">
      <w:pPr>
        <w:rPr>
          <w:rFonts w:ascii="Arial" w:eastAsia="Arial" w:hAnsi="Arial" w:cs="Arial"/>
          <w:color w:val="000000" w:themeColor="text1"/>
        </w:rPr>
      </w:pPr>
      <w:r w:rsidRPr="49738255">
        <w:rPr>
          <w:rFonts w:ascii="Arial" w:eastAsia="Arial" w:hAnsi="Arial" w:cs="Arial"/>
          <w:color w:val="000000" w:themeColor="text1"/>
        </w:rPr>
        <w:t>Pursuant to the virtual school statute, G.L. c. 71, § 94(j), and the CMVS regulations at 603 CMR 52.</w:t>
      </w:r>
      <w:r w:rsidRPr="06BAF6E0">
        <w:rPr>
          <w:rFonts w:ascii="Arial" w:eastAsia="Arial" w:hAnsi="Arial" w:cs="Arial"/>
          <w:color w:val="000000" w:themeColor="text1"/>
        </w:rPr>
        <w:t>1</w:t>
      </w:r>
      <w:r w:rsidR="00B53570">
        <w:rPr>
          <w:rFonts w:ascii="Arial" w:eastAsia="Arial" w:hAnsi="Arial" w:cs="Arial"/>
          <w:color w:val="000000" w:themeColor="text1"/>
        </w:rPr>
        <w:t>1</w:t>
      </w:r>
      <w:r w:rsidR="002F44C2">
        <w:rPr>
          <w:rFonts w:ascii="Arial" w:eastAsia="Arial" w:hAnsi="Arial" w:cs="Arial"/>
          <w:color w:val="000000" w:themeColor="text1"/>
        </w:rPr>
        <w:t xml:space="preserve"> and 52.12(1)</w:t>
      </w:r>
      <w:r w:rsidRPr="06BAF6E0">
        <w:rPr>
          <w:rFonts w:ascii="Arial" w:eastAsia="Arial" w:hAnsi="Arial" w:cs="Arial"/>
          <w:color w:val="000000" w:themeColor="text1"/>
        </w:rPr>
        <w:t>,</w:t>
      </w:r>
      <w:r w:rsidRPr="49738255">
        <w:rPr>
          <w:rFonts w:ascii="Arial" w:eastAsia="Arial" w:hAnsi="Arial" w:cs="Arial"/>
          <w:color w:val="000000" w:themeColor="text1"/>
        </w:rPr>
        <w:t xml:space="preserve"> I recommend that the Board renew the certificate for GCVS for an additional four years and extend the one condition related to academic results. Further, I recommend that the Board renew the certificate for TECCA for an additional four years, remove one condition, and extend one condition related to academic results.</w:t>
      </w:r>
    </w:p>
    <w:p w14:paraId="3CA745E0" w14:textId="5436B512"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 xml:space="preserve">Superintendents and members of the public were invited to submit written comment regarding the CMVS certificate renewals. No comment from superintendents or members of the public was received for either school. </w:t>
      </w:r>
    </w:p>
    <w:p w14:paraId="41AF7702" w14:textId="5B06B6C2" w:rsidR="00802713" w:rsidRDefault="641B1591" w:rsidP="7F78A27A">
      <w:pPr>
        <w:pStyle w:val="Heading2"/>
        <w:rPr>
          <w:rFonts w:ascii="Arial" w:eastAsia="Arial" w:hAnsi="Arial" w:cs="Arial"/>
          <w:b/>
          <w:bCs/>
          <w:color w:val="000000" w:themeColor="text1"/>
        </w:rPr>
      </w:pPr>
      <w:r w:rsidRPr="7F78A27A">
        <w:rPr>
          <w:rFonts w:ascii="Arial" w:eastAsia="Arial" w:hAnsi="Arial" w:cs="Arial"/>
          <w:b/>
          <w:bCs/>
          <w:color w:val="000000" w:themeColor="text1"/>
        </w:rPr>
        <w:t>CMVS Performance Criteria and Considerations for Renewing Certificates</w:t>
      </w:r>
    </w:p>
    <w:p w14:paraId="724A4949" w14:textId="02843F1B"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 xml:space="preserve">The Department uses the </w:t>
      </w:r>
      <w:hyperlink r:id="rId15">
        <w:r w:rsidRPr="7F78A27A">
          <w:rPr>
            <w:rStyle w:val="Hyperlink"/>
            <w:rFonts w:ascii="Arial" w:eastAsia="Arial" w:hAnsi="Arial" w:cs="Arial"/>
          </w:rPr>
          <w:t>Commonwealth Virtual Schools Performance Criteria</w:t>
        </w:r>
      </w:hyperlink>
      <w:r w:rsidRPr="7F78A27A">
        <w:rPr>
          <w:rFonts w:ascii="Arial" w:eastAsia="Arial" w:hAnsi="Arial" w:cs="Arial"/>
          <w:color w:val="000000" w:themeColor="text1"/>
        </w:rPr>
        <w:t xml:space="preserve"> (Criteria) to report evidence in the three areas of virtual school accountability. These areas are faithfulness to the terms of its certificate, academic program success, and organizational viability. </w:t>
      </w:r>
    </w:p>
    <w:p w14:paraId="18AE2270" w14:textId="488BD9FB"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The Criteria outline performance expectations for virtual schools but do not dictate accountability decisions formulaically, including renewal decisions. A virtual school must demonstrate affirmative evidence of success in all three areas of virtual school accountability, and renewal recommendations are made based upon the totality of evidence as indicated in Summaries of Review,</w:t>
      </w:r>
      <w:r w:rsidR="00226442">
        <w:rPr>
          <w:rStyle w:val="FootnoteReference"/>
          <w:rFonts w:ascii="Arial" w:eastAsia="Arial" w:hAnsi="Arial" w:cs="Arial"/>
          <w:color w:val="000000" w:themeColor="text1"/>
        </w:rPr>
        <w:footnoteReference w:id="5"/>
      </w:r>
      <w:r w:rsidRPr="7F78A27A">
        <w:rPr>
          <w:rFonts w:ascii="Arial" w:eastAsia="Arial" w:hAnsi="Arial" w:cs="Arial"/>
          <w:color w:val="000000" w:themeColor="text1"/>
        </w:rPr>
        <w:t xml:space="preserve"> which includes but is not limited to state assessment data, the schools’ performance on their Accountability Plans, annual reports, audited financial information, and data collected from CMVS accountability reviews conducted in 2024 and 2025. </w:t>
      </w:r>
    </w:p>
    <w:p w14:paraId="1FF3458A" w14:textId="487FCBC7"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This memorandum summarizes the evidence related to each school’s performance on a subset of the Criteria that are related to the statutory and regulatory requirements for renewal. This subset includes evidence related to Criterion 1: Mission and Terms of the Certificate; Criterion 2: Access and Equity; Criterion 3: Compliance; Criterion 4: Student Performance; Criterion 5: Program Delivery; and Criterion 8: Governance. The Department continues to gather evidence regarding all of the Criteria through ongoing monitoring. </w:t>
      </w:r>
    </w:p>
    <w:p w14:paraId="11E1432A" w14:textId="5565E26D" w:rsidR="00802713" w:rsidRDefault="00802713" w:rsidP="7F78A27A">
      <w:pPr>
        <w:rPr>
          <w:rFonts w:ascii="Arial" w:eastAsia="Arial" w:hAnsi="Arial" w:cs="Arial"/>
          <w:color w:val="000000" w:themeColor="text1"/>
        </w:rPr>
      </w:pPr>
    </w:p>
    <w:p w14:paraId="3A57B0FB" w14:textId="18B7728B" w:rsidR="00802713" w:rsidRDefault="641B1591" w:rsidP="7F78A27A">
      <w:pPr>
        <w:pStyle w:val="Heading2"/>
        <w:rPr>
          <w:rFonts w:ascii="Arial" w:eastAsia="Arial" w:hAnsi="Arial" w:cs="Arial"/>
          <w:b/>
          <w:bCs/>
          <w:color w:val="000000" w:themeColor="text1"/>
        </w:rPr>
      </w:pPr>
      <w:r w:rsidRPr="7F78A27A">
        <w:rPr>
          <w:rFonts w:ascii="Arial" w:eastAsia="Arial" w:hAnsi="Arial" w:cs="Arial"/>
          <w:b/>
          <w:bCs/>
          <w:color w:val="000000" w:themeColor="text1"/>
        </w:rPr>
        <w:t>Key Considerations for CMVS Renewal Recommendations</w:t>
      </w:r>
    </w:p>
    <w:p w14:paraId="0A477058" w14:textId="35CB3344"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 xml:space="preserve">In making my recommendations, I have carefully considered each school’s history, student population, accountability data, and the track record of virtual schools in Massachusetts and nationwide. The following key considerations were made when making my recommendations. </w:t>
      </w:r>
    </w:p>
    <w:p w14:paraId="74A9CFBB" w14:textId="13E9304B"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 xml:space="preserve">GCVS and TECCA serve a unique student population. Both schools’ certificates list certain student groups which have an enrollment preference including, but not limited to, students with medical conditions that require a virtual school setting. Over the course of the certificate term, both schools saw a significant increase in enrollment for students who are medically compromised. According to the school’s Recruitment and Retention Plan, GCVS enrolled 5 medically compromised students (0.4 percent of student population) in October 2022 and 181 </w:t>
      </w:r>
      <w:r w:rsidR="00CD5E9E" w:rsidRPr="7F78A27A">
        <w:rPr>
          <w:rFonts w:ascii="Arial" w:eastAsia="Arial" w:hAnsi="Arial" w:cs="Arial"/>
          <w:color w:val="000000" w:themeColor="text1"/>
        </w:rPr>
        <w:t xml:space="preserve">medically compromised </w:t>
      </w:r>
      <w:r w:rsidRPr="7F78A27A">
        <w:rPr>
          <w:rFonts w:ascii="Arial" w:eastAsia="Arial" w:hAnsi="Arial" w:cs="Arial"/>
          <w:color w:val="000000" w:themeColor="text1"/>
        </w:rPr>
        <w:t xml:space="preserve">students (15 percent) by June 2025, whereas TECCA saw an increase from 370 </w:t>
      </w:r>
      <w:r w:rsidR="001E3F81" w:rsidRPr="7F78A27A">
        <w:rPr>
          <w:rFonts w:ascii="Arial" w:eastAsia="Arial" w:hAnsi="Arial" w:cs="Arial"/>
          <w:color w:val="000000" w:themeColor="text1"/>
        </w:rPr>
        <w:t xml:space="preserve">medically compromised </w:t>
      </w:r>
      <w:r w:rsidRPr="7F78A27A">
        <w:rPr>
          <w:rFonts w:ascii="Arial" w:eastAsia="Arial" w:hAnsi="Arial" w:cs="Arial"/>
          <w:color w:val="000000" w:themeColor="text1"/>
        </w:rPr>
        <w:t xml:space="preserve">students (13 percent) in October 2022 to 607 </w:t>
      </w:r>
      <w:r w:rsidR="001E3F81" w:rsidRPr="7F78A27A">
        <w:rPr>
          <w:rFonts w:ascii="Arial" w:eastAsia="Arial" w:hAnsi="Arial" w:cs="Arial"/>
          <w:color w:val="000000" w:themeColor="text1"/>
        </w:rPr>
        <w:t xml:space="preserve">medically compromised </w:t>
      </w:r>
      <w:r w:rsidRPr="7F78A27A">
        <w:rPr>
          <w:rFonts w:ascii="Arial" w:eastAsia="Arial" w:hAnsi="Arial" w:cs="Arial"/>
          <w:color w:val="000000" w:themeColor="text1"/>
        </w:rPr>
        <w:t>students (20 percent) in June 2025. The increase in enrollment of students who are medically compromised demonstrates a need for a virtual school setting in the state.</w:t>
      </w:r>
    </w:p>
    <w:p w14:paraId="339B2936" w14:textId="0224C79A" w:rsidR="00802713" w:rsidRDefault="641B1591" w:rsidP="7F78A27A">
      <w:pPr>
        <w:rPr>
          <w:rFonts w:ascii="Arial" w:eastAsia="Arial" w:hAnsi="Arial" w:cs="Arial"/>
          <w:color w:val="000000" w:themeColor="text1"/>
        </w:rPr>
      </w:pPr>
      <w:r w:rsidRPr="7F78A27A">
        <w:rPr>
          <w:rFonts w:ascii="Arial" w:eastAsia="Arial" w:hAnsi="Arial" w:cs="Arial"/>
          <w:color w:val="000000" w:themeColor="text1"/>
        </w:rPr>
        <w:t xml:space="preserve">GCVS and TECCA also serve a significant percentage of students in the high needs and low income student groups. The table below demonstrates how both schools enroll a demographically comparable student population, when compared to the state, according to race/ethnicity. For students in the high needs and low income student groups, both schools enroll a higher percentage of students of both student groups compared to the state. </w:t>
      </w:r>
    </w:p>
    <w:p w14:paraId="5E873DFF" w14:textId="2A453006" w:rsidR="00802713" w:rsidRDefault="641B1591" w:rsidP="7F78A27A">
      <w:pPr>
        <w:pStyle w:val="TableHeading"/>
        <w:rPr>
          <w:rFonts w:ascii="Arial" w:eastAsia="Arial" w:hAnsi="Arial" w:cs="Arial"/>
          <w:color w:val="000000" w:themeColor="text1"/>
        </w:rPr>
      </w:pPr>
      <w:r w:rsidRPr="7F78A27A">
        <w:rPr>
          <w:rFonts w:ascii="Arial" w:eastAsia="Arial" w:hAnsi="Arial" w:cs="Arial"/>
          <w:color w:val="000000" w:themeColor="text1"/>
        </w:rPr>
        <w:t>2025-26 CMVS Percentages of Student Body</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25"/>
        <w:gridCol w:w="2325"/>
        <w:gridCol w:w="2325"/>
        <w:gridCol w:w="2325"/>
      </w:tblGrid>
      <w:tr w:rsidR="7F78A27A" w14:paraId="61D94D68" w14:textId="77777777" w:rsidTr="7F78A27A">
        <w:trPr>
          <w:trHeight w:val="300"/>
        </w:trPr>
        <w:tc>
          <w:tcPr>
            <w:tcW w:w="2325" w:type="dxa"/>
            <w:tcMar>
              <w:left w:w="105" w:type="dxa"/>
              <w:right w:w="105" w:type="dxa"/>
            </w:tcMar>
          </w:tcPr>
          <w:p w14:paraId="204CF904" w14:textId="38365E75" w:rsidR="7F78A27A" w:rsidRDefault="007E7D54" w:rsidP="7F78A27A">
            <w:pPr>
              <w:rPr>
                <w:rFonts w:ascii="Arial" w:eastAsia="Arial" w:hAnsi="Arial" w:cs="Arial"/>
              </w:rPr>
            </w:pPr>
            <w:r>
              <w:rPr>
                <w:rFonts w:ascii="Arial" w:eastAsia="Arial" w:hAnsi="Arial" w:cs="Arial"/>
                <w:b/>
                <w:bCs/>
              </w:rPr>
              <w:t>Student Group</w:t>
            </w:r>
          </w:p>
        </w:tc>
        <w:tc>
          <w:tcPr>
            <w:tcW w:w="2325" w:type="dxa"/>
            <w:tcMar>
              <w:left w:w="105" w:type="dxa"/>
              <w:right w:w="105" w:type="dxa"/>
            </w:tcMar>
            <w:vAlign w:val="center"/>
          </w:tcPr>
          <w:p w14:paraId="4079217E" w14:textId="2CC61F48" w:rsidR="7F78A27A" w:rsidRDefault="7F78A27A" w:rsidP="7F78A27A">
            <w:pPr>
              <w:jc w:val="center"/>
              <w:rPr>
                <w:rFonts w:ascii="Arial" w:eastAsia="Arial" w:hAnsi="Arial" w:cs="Arial"/>
              </w:rPr>
            </w:pPr>
            <w:r w:rsidRPr="7F78A27A">
              <w:rPr>
                <w:rFonts w:ascii="Arial" w:eastAsia="Arial" w:hAnsi="Arial" w:cs="Arial"/>
                <w:b/>
                <w:bCs/>
              </w:rPr>
              <w:t>GCVS</w:t>
            </w:r>
          </w:p>
        </w:tc>
        <w:tc>
          <w:tcPr>
            <w:tcW w:w="2325" w:type="dxa"/>
            <w:tcMar>
              <w:left w:w="105" w:type="dxa"/>
              <w:right w:w="105" w:type="dxa"/>
            </w:tcMar>
            <w:vAlign w:val="center"/>
          </w:tcPr>
          <w:p w14:paraId="14855F14" w14:textId="329B3F83" w:rsidR="7F78A27A" w:rsidRDefault="7F78A27A" w:rsidP="7F78A27A">
            <w:pPr>
              <w:jc w:val="center"/>
              <w:rPr>
                <w:rFonts w:ascii="Arial" w:eastAsia="Arial" w:hAnsi="Arial" w:cs="Arial"/>
              </w:rPr>
            </w:pPr>
            <w:r w:rsidRPr="7F78A27A">
              <w:rPr>
                <w:rFonts w:ascii="Arial" w:eastAsia="Arial" w:hAnsi="Arial" w:cs="Arial"/>
                <w:b/>
                <w:bCs/>
              </w:rPr>
              <w:t>TECCA</w:t>
            </w:r>
          </w:p>
        </w:tc>
        <w:tc>
          <w:tcPr>
            <w:tcW w:w="2325" w:type="dxa"/>
            <w:tcMar>
              <w:left w:w="105" w:type="dxa"/>
              <w:right w:w="105" w:type="dxa"/>
            </w:tcMar>
            <w:vAlign w:val="center"/>
          </w:tcPr>
          <w:p w14:paraId="463DEA5C" w14:textId="1FD35A83" w:rsidR="7F78A27A" w:rsidRDefault="7F78A27A" w:rsidP="7F78A27A">
            <w:pPr>
              <w:jc w:val="center"/>
              <w:rPr>
                <w:rFonts w:ascii="Arial" w:eastAsia="Arial" w:hAnsi="Arial" w:cs="Arial"/>
              </w:rPr>
            </w:pPr>
            <w:r w:rsidRPr="7F78A27A">
              <w:rPr>
                <w:rFonts w:ascii="Arial" w:eastAsia="Arial" w:hAnsi="Arial" w:cs="Arial"/>
                <w:b/>
                <w:bCs/>
              </w:rPr>
              <w:t>State</w:t>
            </w:r>
          </w:p>
        </w:tc>
      </w:tr>
      <w:tr w:rsidR="7F78A27A" w14:paraId="299429A4" w14:textId="77777777" w:rsidTr="7F78A27A">
        <w:trPr>
          <w:trHeight w:val="300"/>
        </w:trPr>
        <w:tc>
          <w:tcPr>
            <w:tcW w:w="2325" w:type="dxa"/>
            <w:tcMar>
              <w:left w:w="105" w:type="dxa"/>
              <w:right w:w="105" w:type="dxa"/>
            </w:tcMar>
          </w:tcPr>
          <w:p w14:paraId="4ED71FA7" w14:textId="7278B0E9" w:rsidR="7F78A27A" w:rsidRDefault="7F78A27A" w:rsidP="7F78A27A">
            <w:pPr>
              <w:rPr>
                <w:rFonts w:ascii="Arial" w:eastAsia="Arial" w:hAnsi="Arial" w:cs="Arial"/>
              </w:rPr>
            </w:pPr>
            <w:r w:rsidRPr="7F78A27A">
              <w:rPr>
                <w:rFonts w:ascii="Arial" w:eastAsia="Arial" w:hAnsi="Arial" w:cs="Arial"/>
                <w:b/>
                <w:bCs/>
              </w:rPr>
              <w:t>American Indian or Alaska Native</w:t>
            </w:r>
          </w:p>
        </w:tc>
        <w:tc>
          <w:tcPr>
            <w:tcW w:w="2325" w:type="dxa"/>
            <w:tcMar>
              <w:left w:w="105" w:type="dxa"/>
              <w:right w:w="105" w:type="dxa"/>
            </w:tcMar>
            <w:vAlign w:val="center"/>
          </w:tcPr>
          <w:p w14:paraId="7AC25FA2" w14:textId="6C6BD07C" w:rsidR="7F78A27A" w:rsidRDefault="7F78A27A" w:rsidP="7F78A27A">
            <w:pPr>
              <w:jc w:val="center"/>
              <w:rPr>
                <w:rFonts w:ascii="Arial" w:eastAsia="Arial" w:hAnsi="Arial" w:cs="Arial"/>
              </w:rPr>
            </w:pPr>
            <w:r w:rsidRPr="7F78A27A">
              <w:rPr>
                <w:rFonts w:ascii="Arial" w:eastAsia="Arial" w:hAnsi="Arial" w:cs="Arial"/>
              </w:rPr>
              <w:t>0.2</w:t>
            </w:r>
          </w:p>
        </w:tc>
        <w:tc>
          <w:tcPr>
            <w:tcW w:w="2325" w:type="dxa"/>
            <w:tcMar>
              <w:left w:w="105" w:type="dxa"/>
              <w:right w:w="105" w:type="dxa"/>
            </w:tcMar>
            <w:vAlign w:val="center"/>
          </w:tcPr>
          <w:p w14:paraId="1AE3D91A" w14:textId="62EEA464" w:rsidR="7F78A27A" w:rsidRDefault="7F78A27A" w:rsidP="7F78A27A">
            <w:pPr>
              <w:jc w:val="center"/>
              <w:rPr>
                <w:rFonts w:ascii="Arial" w:eastAsia="Arial" w:hAnsi="Arial" w:cs="Arial"/>
              </w:rPr>
            </w:pPr>
            <w:r w:rsidRPr="7F78A27A">
              <w:rPr>
                <w:rFonts w:ascii="Arial" w:eastAsia="Arial" w:hAnsi="Arial" w:cs="Arial"/>
              </w:rPr>
              <w:t>0.2</w:t>
            </w:r>
          </w:p>
        </w:tc>
        <w:tc>
          <w:tcPr>
            <w:tcW w:w="2325" w:type="dxa"/>
            <w:tcMar>
              <w:left w:w="105" w:type="dxa"/>
              <w:right w:w="105" w:type="dxa"/>
            </w:tcMar>
            <w:vAlign w:val="center"/>
          </w:tcPr>
          <w:p w14:paraId="3247C312" w14:textId="1F49E998" w:rsidR="7F78A27A" w:rsidRDefault="7F78A27A" w:rsidP="7F78A27A">
            <w:pPr>
              <w:jc w:val="center"/>
              <w:rPr>
                <w:rFonts w:ascii="Arial" w:eastAsia="Arial" w:hAnsi="Arial" w:cs="Arial"/>
              </w:rPr>
            </w:pPr>
            <w:r w:rsidRPr="7F78A27A">
              <w:rPr>
                <w:rFonts w:ascii="Arial" w:eastAsia="Arial" w:hAnsi="Arial" w:cs="Arial"/>
              </w:rPr>
              <w:t>0.2</w:t>
            </w:r>
          </w:p>
        </w:tc>
      </w:tr>
      <w:tr w:rsidR="7F78A27A" w14:paraId="3F87CBF1" w14:textId="77777777" w:rsidTr="7F78A27A">
        <w:trPr>
          <w:trHeight w:val="300"/>
        </w:trPr>
        <w:tc>
          <w:tcPr>
            <w:tcW w:w="2325" w:type="dxa"/>
            <w:tcMar>
              <w:left w:w="105" w:type="dxa"/>
              <w:right w:w="105" w:type="dxa"/>
            </w:tcMar>
          </w:tcPr>
          <w:p w14:paraId="625F9F4F" w14:textId="58CEEEDB" w:rsidR="7F78A27A" w:rsidRDefault="7F78A27A" w:rsidP="7F78A27A">
            <w:pPr>
              <w:rPr>
                <w:rFonts w:ascii="Arial" w:eastAsia="Arial" w:hAnsi="Arial" w:cs="Arial"/>
              </w:rPr>
            </w:pPr>
            <w:r w:rsidRPr="7F78A27A">
              <w:rPr>
                <w:rFonts w:ascii="Arial" w:eastAsia="Arial" w:hAnsi="Arial" w:cs="Arial"/>
                <w:b/>
                <w:bCs/>
              </w:rPr>
              <w:t>Asian</w:t>
            </w:r>
          </w:p>
        </w:tc>
        <w:tc>
          <w:tcPr>
            <w:tcW w:w="2325" w:type="dxa"/>
            <w:tcMar>
              <w:left w:w="105" w:type="dxa"/>
              <w:right w:w="105" w:type="dxa"/>
            </w:tcMar>
            <w:vAlign w:val="center"/>
          </w:tcPr>
          <w:p w14:paraId="0B12C95F" w14:textId="7FC7EE7E" w:rsidR="7F78A27A" w:rsidRDefault="7F78A27A" w:rsidP="7F78A27A">
            <w:pPr>
              <w:jc w:val="center"/>
              <w:rPr>
                <w:rFonts w:ascii="Arial" w:eastAsia="Arial" w:hAnsi="Arial" w:cs="Arial"/>
              </w:rPr>
            </w:pPr>
            <w:r w:rsidRPr="7F78A27A">
              <w:rPr>
                <w:rFonts w:ascii="Arial" w:eastAsia="Arial" w:hAnsi="Arial" w:cs="Arial"/>
              </w:rPr>
              <w:t>6.2</w:t>
            </w:r>
          </w:p>
        </w:tc>
        <w:tc>
          <w:tcPr>
            <w:tcW w:w="2325" w:type="dxa"/>
            <w:tcMar>
              <w:left w:w="105" w:type="dxa"/>
              <w:right w:w="105" w:type="dxa"/>
            </w:tcMar>
            <w:vAlign w:val="center"/>
          </w:tcPr>
          <w:p w14:paraId="357EA7F6" w14:textId="4EC6F525" w:rsidR="7F78A27A" w:rsidRDefault="7F78A27A" w:rsidP="7F78A27A">
            <w:pPr>
              <w:jc w:val="center"/>
              <w:rPr>
                <w:rFonts w:ascii="Arial" w:eastAsia="Arial" w:hAnsi="Arial" w:cs="Arial"/>
              </w:rPr>
            </w:pPr>
            <w:r w:rsidRPr="7F78A27A">
              <w:rPr>
                <w:rFonts w:ascii="Arial" w:eastAsia="Arial" w:hAnsi="Arial" w:cs="Arial"/>
              </w:rPr>
              <w:t>3.1</w:t>
            </w:r>
          </w:p>
        </w:tc>
        <w:tc>
          <w:tcPr>
            <w:tcW w:w="2325" w:type="dxa"/>
            <w:tcMar>
              <w:left w:w="105" w:type="dxa"/>
              <w:right w:w="105" w:type="dxa"/>
            </w:tcMar>
            <w:vAlign w:val="center"/>
          </w:tcPr>
          <w:p w14:paraId="5CD93FFC" w14:textId="608E88E1" w:rsidR="7F78A27A" w:rsidRDefault="7F78A27A" w:rsidP="7F78A27A">
            <w:pPr>
              <w:jc w:val="center"/>
              <w:rPr>
                <w:rFonts w:ascii="Arial" w:eastAsia="Arial" w:hAnsi="Arial" w:cs="Arial"/>
              </w:rPr>
            </w:pPr>
            <w:r w:rsidRPr="7F78A27A">
              <w:rPr>
                <w:rFonts w:ascii="Arial" w:eastAsia="Arial" w:hAnsi="Arial" w:cs="Arial"/>
              </w:rPr>
              <w:t>7.6</w:t>
            </w:r>
          </w:p>
        </w:tc>
      </w:tr>
      <w:tr w:rsidR="7F78A27A" w14:paraId="27A584DD" w14:textId="77777777" w:rsidTr="7F78A27A">
        <w:trPr>
          <w:trHeight w:val="300"/>
        </w:trPr>
        <w:tc>
          <w:tcPr>
            <w:tcW w:w="2325" w:type="dxa"/>
            <w:tcMar>
              <w:left w:w="105" w:type="dxa"/>
              <w:right w:w="105" w:type="dxa"/>
            </w:tcMar>
          </w:tcPr>
          <w:p w14:paraId="0A1C41EF" w14:textId="38565A15" w:rsidR="7F78A27A" w:rsidRDefault="7F78A27A" w:rsidP="7F78A27A">
            <w:pPr>
              <w:rPr>
                <w:rFonts w:ascii="Arial" w:eastAsia="Arial" w:hAnsi="Arial" w:cs="Arial"/>
              </w:rPr>
            </w:pPr>
            <w:r w:rsidRPr="7F78A27A">
              <w:rPr>
                <w:rFonts w:ascii="Arial" w:eastAsia="Arial" w:hAnsi="Arial" w:cs="Arial"/>
                <w:b/>
                <w:bCs/>
              </w:rPr>
              <w:t>Black or African American</w:t>
            </w:r>
          </w:p>
        </w:tc>
        <w:tc>
          <w:tcPr>
            <w:tcW w:w="2325" w:type="dxa"/>
            <w:tcMar>
              <w:left w:w="105" w:type="dxa"/>
              <w:right w:w="105" w:type="dxa"/>
            </w:tcMar>
            <w:vAlign w:val="center"/>
          </w:tcPr>
          <w:p w14:paraId="32978731" w14:textId="7623D3C0" w:rsidR="7F78A27A" w:rsidRDefault="7F78A27A" w:rsidP="7F78A27A">
            <w:pPr>
              <w:jc w:val="center"/>
              <w:rPr>
                <w:rFonts w:ascii="Arial" w:eastAsia="Arial" w:hAnsi="Arial" w:cs="Arial"/>
              </w:rPr>
            </w:pPr>
            <w:r w:rsidRPr="7F78A27A">
              <w:rPr>
                <w:rFonts w:ascii="Arial" w:eastAsia="Arial" w:hAnsi="Arial" w:cs="Arial"/>
              </w:rPr>
              <w:t>9.4</w:t>
            </w:r>
          </w:p>
        </w:tc>
        <w:tc>
          <w:tcPr>
            <w:tcW w:w="2325" w:type="dxa"/>
            <w:tcMar>
              <w:left w:w="105" w:type="dxa"/>
              <w:right w:w="105" w:type="dxa"/>
            </w:tcMar>
            <w:vAlign w:val="center"/>
          </w:tcPr>
          <w:p w14:paraId="33B2242E" w14:textId="306B3489" w:rsidR="7F78A27A" w:rsidRDefault="7F78A27A" w:rsidP="7F78A27A">
            <w:pPr>
              <w:jc w:val="center"/>
              <w:rPr>
                <w:rFonts w:ascii="Arial" w:eastAsia="Arial" w:hAnsi="Arial" w:cs="Arial"/>
              </w:rPr>
            </w:pPr>
            <w:r w:rsidRPr="7F78A27A">
              <w:rPr>
                <w:rFonts w:ascii="Arial" w:eastAsia="Arial" w:hAnsi="Arial" w:cs="Arial"/>
              </w:rPr>
              <w:t>9.9</w:t>
            </w:r>
          </w:p>
        </w:tc>
        <w:tc>
          <w:tcPr>
            <w:tcW w:w="2325" w:type="dxa"/>
            <w:tcMar>
              <w:left w:w="105" w:type="dxa"/>
              <w:right w:w="105" w:type="dxa"/>
            </w:tcMar>
            <w:vAlign w:val="center"/>
          </w:tcPr>
          <w:p w14:paraId="23117A6E" w14:textId="32650289" w:rsidR="7F78A27A" w:rsidRDefault="7F78A27A" w:rsidP="7F78A27A">
            <w:pPr>
              <w:jc w:val="center"/>
              <w:rPr>
                <w:rFonts w:ascii="Arial" w:eastAsia="Arial" w:hAnsi="Arial" w:cs="Arial"/>
              </w:rPr>
            </w:pPr>
            <w:r w:rsidRPr="7F78A27A">
              <w:rPr>
                <w:rFonts w:ascii="Arial" w:eastAsia="Arial" w:hAnsi="Arial" w:cs="Arial"/>
              </w:rPr>
              <w:t>10.4</w:t>
            </w:r>
          </w:p>
        </w:tc>
      </w:tr>
      <w:tr w:rsidR="7F78A27A" w14:paraId="0B31E818" w14:textId="77777777" w:rsidTr="7F78A27A">
        <w:trPr>
          <w:trHeight w:val="300"/>
        </w:trPr>
        <w:tc>
          <w:tcPr>
            <w:tcW w:w="2325" w:type="dxa"/>
            <w:tcMar>
              <w:left w:w="105" w:type="dxa"/>
              <w:right w:w="105" w:type="dxa"/>
            </w:tcMar>
          </w:tcPr>
          <w:p w14:paraId="63953863" w14:textId="29B48143" w:rsidR="7F78A27A" w:rsidRDefault="7F78A27A" w:rsidP="7F78A27A">
            <w:pPr>
              <w:rPr>
                <w:rFonts w:ascii="Arial" w:eastAsia="Arial" w:hAnsi="Arial" w:cs="Arial"/>
              </w:rPr>
            </w:pPr>
            <w:r w:rsidRPr="7F78A27A">
              <w:rPr>
                <w:rFonts w:ascii="Arial" w:eastAsia="Arial" w:hAnsi="Arial" w:cs="Arial"/>
                <w:b/>
                <w:bCs/>
              </w:rPr>
              <w:t>Hispanic or Latino</w:t>
            </w:r>
          </w:p>
        </w:tc>
        <w:tc>
          <w:tcPr>
            <w:tcW w:w="2325" w:type="dxa"/>
            <w:tcMar>
              <w:left w:w="105" w:type="dxa"/>
              <w:right w:w="105" w:type="dxa"/>
            </w:tcMar>
            <w:vAlign w:val="center"/>
          </w:tcPr>
          <w:p w14:paraId="19669918" w14:textId="4A71614F" w:rsidR="7F78A27A" w:rsidRDefault="7F78A27A" w:rsidP="7F78A27A">
            <w:pPr>
              <w:jc w:val="center"/>
              <w:rPr>
                <w:rFonts w:ascii="Arial" w:eastAsia="Arial" w:hAnsi="Arial" w:cs="Arial"/>
              </w:rPr>
            </w:pPr>
            <w:r w:rsidRPr="7F78A27A">
              <w:rPr>
                <w:rFonts w:ascii="Arial" w:eastAsia="Arial" w:hAnsi="Arial" w:cs="Arial"/>
              </w:rPr>
              <w:t>25.2</w:t>
            </w:r>
          </w:p>
        </w:tc>
        <w:tc>
          <w:tcPr>
            <w:tcW w:w="2325" w:type="dxa"/>
            <w:tcMar>
              <w:left w:w="105" w:type="dxa"/>
              <w:right w:w="105" w:type="dxa"/>
            </w:tcMar>
            <w:vAlign w:val="center"/>
          </w:tcPr>
          <w:p w14:paraId="6626B55E" w14:textId="41548DE2" w:rsidR="7F78A27A" w:rsidRDefault="7F78A27A" w:rsidP="7F78A27A">
            <w:pPr>
              <w:jc w:val="center"/>
              <w:rPr>
                <w:rFonts w:ascii="Arial" w:eastAsia="Arial" w:hAnsi="Arial" w:cs="Arial"/>
              </w:rPr>
            </w:pPr>
            <w:r w:rsidRPr="7F78A27A">
              <w:rPr>
                <w:rFonts w:ascii="Arial" w:eastAsia="Arial" w:hAnsi="Arial" w:cs="Arial"/>
              </w:rPr>
              <w:t>28.5</w:t>
            </w:r>
          </w:p>
        </w:tc>
        <w:tc>
          <w:tcPr>
            <w:tcW w:w="2325" w:type="dxa"/>
            <w:tcMar>
              <w:left w:w="105" w:type="dxa"/>
              <w:right w:w="105" w:type="dxa"/>
            </w:tcMar>
            <w:vAlign w:val="center"/>
          </w:tcPr>
          <w:p w14:paraId="59C89F2F" w14:textId="70900322" w:rsidR="7F78A27A" w:rsidRDefault="7F78A27A" w:rsidP="7F78A27A">
            <w:pPr>
              <w:jc w:val="center"/>
              <w:rPr>
                <w:rFonts w:ascii="Arial" w:eastAsia="Arial" w:hAnsi="Arial" w:cs="Arial"/>
              </w:rPr>
            </w:pPr>
            <w:r w:rsidRPr="7F78A27A">
              <w:rPr>
                <w:rFonts w:ascii="Arial" w:eastAsia="Arial" w:hAnsi="Arial" w:cs="Arial"/>
              </w:rPr>
              <w:t>26.2</w:t>
            </w:r>
          </w:p>
        </w:tc>
      </w:tr>
      <w:tr w:rsidR="7F78A27A" w14:paraId="7C95D89E" w14:textId="77777777" w:rsidTr="7F78A27A">
        <w:trPr>
          <w:trHeight w:val="300"/>
        </w:trPr>
        <w:tc>
          <w:tcPr>
            <w:tcW w:w="2325" w:type="dxa"/>
            <w:tcMar>
              <w:left w:w="105" w:type="dxa"/>
              <w:right w:w="105" w:type="dxa"/>
            </w:tcMar>
          </w:tcPr>
          <w:p w14:paraId="166E15B7" w14:textId="716B0F17" w:rsidR="7F78A27A" w:rsidRDefault="7F78A27A" w:rsidP="7F78A27A">
            <w:pPr>
              <w:rPr>
                <w:rFonts w:ascii="Arial" w:eastAsia="Arial" w:hAnsi="Arial" w:cs="Arial"/>
              </w:rPr>
            </w:pPr>
            <w:r w:rsidRPr="7F78A27A">
              <w:rPr>
                <w:rFonts w:ascii="Arial" w:eastAsia="Arial" w:hAnsi="Arial" w:cs="Arial"/>
                <w:b/>
                <w:bCs/>
              </w:rPr>
              <w:t>Multi-Race, Not Hispanic or Latino</w:t>
            </w:r>
          </w:p>
        </w:tc>
        <w:tc>
          <w:tcPr>
            <w:tcW w:w="2325" w:type="dxa"/>
            <w:tcMar>
              <w:left w:w="105" w:type="dxa"/>
              <w:right w:w="105" w:type="dxa"/>
            </w:tcMar>
            <w:vAlign w:val="center"/>
          </w:tcPr>
          <w:p w14:paraId="288B8FED" w14:textId="2551E0A7" w:rsidR="7F78A27A" w:rsidRDefault="7F78A27A" w:rsidP="7F78A27A">
            <w:pPr>
              <w:jc w:val="center"/>
              <w:rPr>
                <w:rFonts w:ascii="Arial" w:eastAsia="Arial" w:hAnsi="Arial" w:cs="Arial"/>
              </w:rPr>
            </w:pPr>
            <w:r w:rsidRPr="7F78A27A">
              <w:rPr>
                <w:rFonts w:ascii="Arial" w:eastAsia="Arial" w:hAnsi="Arial" w:cs="Arial"/>
              </w:rPr>
              <w:t>8.1</w:t>
            </w:r>
          </w:p>
        </w:tc>
        <w:tc>
          <w:tcPr>
            <w:tcW w:w="2325" w:type="dxa"/>
            <w:tcMar>
              <w:left w:w="105" w:type="dxa"/>
              <w:right w:w="105" w:type="dxa"/>
            </w:tcMar>
            <w:vAlign w:val="center"/>
          </w:tcPr>
          <w:p w14:paraId="057FED63" w14:textId="1920E38B" w:rsidR="7F78A27A" w:rsidRDefault="7F78A27A" w:rsidP="7F78A27A">
            <w:pPr>
              <w:jc w:val="center"/>
              <w:rPr>
                <w:rFonts w:ascii="Arial" w:eastAsia="Arial" w:hAnsi="Arial" w:cs="Arial"/>
              </w:rPr>
            </w:pPr>
            <w:r w:rsidRPr="7F78A27A">
              <w:rPr>
                <w:rFonts w:ascii="Arial" w:eastAsia="Arial" w:hAnsi="Arial" w:cs="Arial"/>
              </w:rPr>
              <w:t>8.7</w:t>
            </w:r>
          </w:p>
        </w:tc>
        <w:tc>
          <w:tcPr>
            <w:tcW w:w="2325" w:type="dxa"/>
            <w:tcMar>
              <w:left w:w="105" w:type="dxa"/>
              <w:right w:w="105" w:type="dxa"/>
            </w:tcMar>
            <w:vAlign w:val="center"/>
          </w:tcPr>
          <w:p w14:paraId="20187DEB" w14:textId="07E2A73B" w:rsidR="7F78A27A" w:rsidRDefault="7F78A27A" w:rsidP="7F78A27A">
            <w:pPr>
              <w:jc w:val="center"/>
              <w:rPr>
                <w:rFonts w:ascii="Arial" w:eastAsia="Arial" w:hAnsi="Arial" w:cs="Arial"/>
              </w:rPr>
            </w:pPr>
            <w:r w:rsidRPr="7F78A27A">
              <w:rPr>
                <w:rFonts w:ascii="Arial" w:eastAsia="Arial" w:hAnsi="Arial" w:cs="Arial"/>
              </w:rPr>
              <w:t>4.8</w:t>
            </w:r>
          </w:p>
        </w:tc>
      </w:tr>
      <w:tr w:rsidR="7F78A27A" w14:paraId="04CA10D9" w14:textId="77777777" w:rsidTr="7F78A27A">
        <w:trPr>
          <w:trHeight w:val="300"/>
        </w:trPr>
        <w:tc>
          <w:tcPr>
            <w:tcW w:w="2325" w:type="dxa"/>
            <w:tcMar>
              <w:left w:w="105" w:type="dxa"/>
              <w:right w:w="105" w:type="dxa"/>
            </w:tcMar>
          </w:tcPr>
          <w:p w14:paraId="309919D6" w14:textId="5B938ADA" w:rsidR="7F78A27A" w:rsidRDefault="7F78A27A" w:rsidP="7F78A27A">
            <w:pPr>
              <w:rPr>
                <w:rFonts w:ascii="Arial" w:eastAsia="Arial" w:hAnsi="Arial" w:cs="Arial"/>
              </w:rPr>
            </w:pPr>
            <w:r w:rsidRPr="7F78A27A">
              <w:rPr>
                <w:rFonts w:ascii="Arial" w:eastAsia="Arial" w:hAnsi="Arial" w:cs="Arial"/>
                <w:b/>
                <w:bCs/>
              </w:rPr>
              <w:t>Native Hawaiian or Other Pacific Islander</w:t>
            </w:r>
          </w:p>
        </w:tc>
        <w:tc>
          <w:tcPr>
            <w:tcW w:w="2325" w:type="dxa"/>
            <w:tcMar>
              <w:left w:w="105" w:type="dxa"/>
              <w:right w:w="105" w:type="dxa"/>
            </w:tcMar>
            <w:vAlign w:val="center"/>
          </w:tcPr>
          <w:p w14:paraId="3DF32EDB" w14:textId="3247DF49" w:rsidR="7F78A27A" w:rsidRDefault="7F78A27A" w:rsidP="7F78A27A">
            <w:pPr>
              <w:jc w:val="center"/>
              <w:rPr>
                <w:rFonts w:ascii="Arial" w:eastAsia="Arial" w:hAnsi="Arial" w:cs="Arial"/>
              </w:rPr>
            </w:pPr>
            <w:r w:rsidRPr="7F78A27A">
              <w:rPr>
                <w:rFonts w:ascii="Arial" w:eastAsia="Arial" w:hAnsi="Arial" w:cs="Arial"/>
              </w:rPr>
              <w:t>0.3</w:t>
            </w:r>
          </w:p>
        </w:tc>
        <w:tc>
          <w:tcPr>
            <w:tcW w:w="2325" w:type="dxa"/>
            <w:tcMar>
              <w:left w:w="105" w:type="dxa"/>
              <w:right w:w="105" w:type="dxa"/>
            </w:tcMar>
            <w:vAlign w:val="center"/>
          </w:tcPr>
          <w:p w14:paraId="7939E702" w14:textId="2E94F9D1" w:rsidR="7F78A27A" w:rsidRDefault="7F78A27A" w:rsidP="7F78A27A">
            <w:pPr>
              <w:jc w:val="center"/>
              <w:rPr>
                <w:rFonts w:ascii="Arial" w:eastAsia="Arial" w:hAnsi="Arial" w:cs="Arial"/>
              </w:rPr>
            </w:pPr>
            <w:r w:rsidRPr="7F78A27A">
              <w:rPr>
                <w:rFonts w:ascii="Arial" w:eastAsia="Arial" w:hAnsi="Arial" w:cs="Arial"/>
              </w:rPr>
              <w:t>0.2</w:t>
            </w:r>
          </w:p>
        </w:tc>
        <w:tc>
          <w:tcPr>
            <w:tcW w:w="2325" w:type="dxa"/>
            <w:tcMar>
              <w:left w:w="105" w:type="dxa"/>
              <w:right w:w="105" w:type="dxa"/>
            </w:tcMar>
            <w:vAlign w:val="center"/>
          </w:tcPr>
          <w:p w14:paraId="48701990" w14:textId="2CDC1215" w:rsidR="7F78A27A" w:rsidRDefault="7F78A27A" w:rsidP="7F78A27A">
            <w:pPr>
              <w:jc w:val="center"/>
              <w:rPr>
                <w:rFonts w:ascii="Arial" w:eastAsia="Arial" w:hAnsi="Arial" w:cs="Arial"/>
              </w:rPr>
            </w:pPr>
            <w:r w:rsidRPr="7F78A27A">
              <w:rPr>
                <w:rFonts w:ascii="Arial" w:eastAsia="Arial" w:hAnsi="Arial" w:cs="Arial"/>
              </w:rPr>
              <w:t>0.1</w:t>
            </w:r>
          </w:p>
        </w:tc>
      </w:tr>
      <w:tr w:rsidR="7F78A27A" w14:paraId="13E130E8" w14:textId="77777777" w:rsidTr="7F78A27A">
        <w:trPr>
          <w:trHeight w:val="300"/>
        </w:trPr>
        <w:tc>
          <w:tcPr>
            <w:tcW w:w="2325" w:type="dxa"/>
            <w:tcMar>
              <w:left w:w="105" w:type="dxa"/>
              <w:right w:w="105" w:type="dxa"/>
            </w:tcMar>
          </w:tcPr>
          <w:p w14:paraId="1FA5665C" w14:textId="69410418" w:rsidR="7F78A27A" w:rsidRDefault="7F78A27A" w:rsidP="7F78A27A">
            <w:pPr>
              <w:rPr>
                <w:rFonts w:ascii="Arial" w:eastAsia="Arial" w:hAnsi="Arial" w:cs="Arial"/>
              </w:rPr>
            </w:pPr>
            <w:r w:rsidRPr="7F78A27A">
              <w:rPr>
                <w:rFonts w:ascii="Arial" w:eastAsia="Arial" w:hAnsi="Arial" w:cs="Arial"/>
                <w:b/>
                <w:bCs/>
              </w:rPr>
              <w:t>White</w:t>
            </w:r>
          </w:p>
        </w:tc>
        <w:tc>
          <w:tcPr>
            <w:tcW w:w="2325" w:type="dxa"/>
            <w:tcMar>
              <w:left w:w="105" w:type="dxa"/>
              <w:right w:w="105" w:type="dxa"/>
            </w:tcMar>
            <w:vAlign w:val="center"/>
          </w:tcPr>
          <w:p w14:paraId="44C23272" w14:textId="6EF46109" w:rsidR="7F78A27A" w:rsidRDefault="7F78A27A" w:rsidP="7F78A27A">
            <w:pPr>
              <w:jc w:val="center"/>
              <w:rPr>
                <w:rFonts w:ascii="Arial" w:eastAsia="Arial" w:hAnsi="Arial" w:cs="Arial"/>
              </w:rPr>
            </w:pPr>
            <w:r w:rsidRPr="7F78A27A">
              <w:rPr>
                <w:rFonts w:ascii="Arial" w:eastAsia="Arial" w:hAnsi="Arial" w:cs="Arial"/>
              </w:rPr>
              <w:t>50.6</w:t>
            </w:r>
          </w:p>
        </w:tc>
        <w:tc>
          <w:tcPr>
            <w:tcW w:w="2325" w:type="dxa"/>
            <w:tcMar>
              <w:left w:w="105" w:type="dxa"/>
              <w:right w:w="105" w:type="dxa"/>
            </w:tcMar>
            <w:vAlign w:val="center"/>
          </w:tcPr>
          <w:p w14:paraId="13691F12" w14:textId="2FAD45FD" w:rsidR="7F78A27A" w:rsidRDefault="7F78A27A" w:rsidP="7F78A27A">
            <w:pPr>
              <w:jc w:val="center"/>
              <w:rPr>
                <w:rFonts w:ascii="Arial" w:eastAsia="Arial" w:hAnsi="Arial" w:cs="Arial"/>
              </w:rPr>
            </w:pPr>
            <w:r w:rsidRPr="7F78A27A">
              <w:rPr>
                <w:rFonts w:ascii="Arial" w:eastAsia="Arial" w:hAnsi="Arial" w:cs="Arial"/>
              </w:rPr>
              <w:t>49.5</w:t>
            </w:r>
          </w:p>
        </w:tc>
        <w:tc>
          <w:tcPr>
            <w:tcW w:w="2325" w:type="dxa"/>
            <w:tcMar>
              <w:left w:w="105" w:type="dxa"/>
              <w:right w:w="105" w:type="dxa"/>
            </w:tcMar>
            <w:vAlign w:val="center"/>
          </w:tcPr>
          <w:p w14:paraId="4857DCE8" w14:textId="065CB131" w:rsidR="7F78A27A" w:rsidRDefault="7F78A27A" w:rsidP="7F78A27A">
            <w:pPr>
              <w:jc w:val="center"/>
              <w:rPr>
                <w:rFonts w:ascii="Arial" w:eastAsia="Arial" w:hAnsi="Arial" w:cs="Arial"/>
              </w:rPr>
            </w:pPr>
            <w:r w:rsidRPr="7F78A27A">
              <w:rPr>
                <w:rFonts w:ascii="Arial" w:eastAsia="Arial" w:hAnsi="Arial" w:cs="Arial"/>
              </w:rPr>
              <w:t>50.8</w:t>
            </w:r>
          </w:p>
        </w:tc>
      </w:tr>
      <w:tr w:rsidR="7F78A27A" w14:paraId="7E7ED1E0" w14:textId="77777777" w:rsidTr="7F78A27A">
        <w:trPr>
          <w:trHeight w:val="300"/>
        </w:trPr>
        <w:tc>
          <w:tcPr>
            <w:tcW w:w="2325" w:type="dxa"/>
            <w:tcMar>
              <w:left w:w="105" w:type="dxa"/>
              <w:right w:w="105" w:type="dxa"/>
            </w:tcMar>
          </w:tcPr>
          <w:p w14:paraId="1BC48919" w14:textId="4C762EC1" w:rsidR="7F78A27A" w:rsidRDefault="7F78A27A" w:rsidP="7F78A27A">
            <w:pPr>
              <w:rPr>
                <w:rFonts w:ascii="Arial" w:eastAsia="Arial" w:hAnsi="Arial" w:cs="Arial"/>
              </w:rPr>
            </w:pPr>
            <w:r w:rsidRPr="7F78A27A">
              <w:rPr>
                <w:rFonts w:ascii="Arial" w:eastAsia="Arial" w:hAnsi="Arial" w:cs="Arial"/>
                <w:b/>
                <w:bCs/>
              </w:rPr>
              <w:t>High Needs</w:t>
            </w:r>
          </w:p>
        </w:tc>
        <w:tc>
          <w:tcPr>
            <w:tcW w:w="2325" w:type="dxa"/>
            <w:tcMar>
              <w:left w:w="105" w:type="dxa"/>
              <w:right w:w="105" w:type="dxa"/>
            </w:tcMar>
            <w:vAlign w:val="center"/>
          </w:tcPr>
          <w:p w14:paraId="613BEB4D" w14:textId="42C4546B" w:rsidR="7F78A27A" w:rsidRDefault="7F78A27A" w:rsidP="7F78A27A">
            <w:pPr>
              <w:jc w:val="center"/>
              <w:rPr>
                <w:rFonts w:ascii="Arial" w:eastAsia="Arial" w:hAnsi="Arial" w:cs="Arial"/>
              </w:rPr>
            </w:pPr>
            <w:r w:rsidRPr="7F78A27A">
              <w:rPr>
                <w:rFonts w:ascii="Arial" w:eastAsia="Arial" w:hAnsi="Arial" w:cs="Arial"/>
              </w:rPr>
              <w:t>70.3</w:t>
            </w:r>
          </w:p>
        </w:tc>
        <w:tc>
          <w:tcPr>
            <w:tcW w:w="2325" w:type="dxa"/>
            <w:tcMar>
              <w:left w:w="105" w:type="dxa"/>
              <w:right w:w="105" w:type="dxa"/>
            </w:tcMar>
            <w:vAlign w:val="center"/>
          </w:tcPr>
          <w:p w14:paraId="0DC37B61" w14:textId="3A2A07DC" w:rsidR="7F78A27A" w:rsidRDefault="7F78A27A" w:rsidP="7F78A27A">
            <w:pPr>
              <w:jc w:val="center"/>
              <w:rPr>
                <w:rFonts w:ascii="Arial" w:eastAsia="Arial" w:hAnsi="Arial" w:cs="Arial"/>
              </w:rPr>
            </w:pPr>
            <w:r w:rsidRPr="7F78A27A">
              <w:rPr>
                <w:rFonts w:ascii="Arial" w:eastAsia="Arial" w:hAnsi="Arial" w:cs="Arial"/>
              </w:rPr>
              <w:t>68.6</w:t>
            </w:r>
          </w:p>
        </w:tc>
        <w:tc>
          <w:tcPr>
            <w:tcW w:w="2325" w:type="dxa"/>
            <w:tcMar>
              <w:left w:w="105" w:type="dxa"/>
              <w:right w:w="105" w:type="dxa"/>
            </w:tcMar>
            <w:vAlign w:val="center"/>
          </w:tcPr>
          <w:p w14:paraId="3918C4EE" w14:textId="390316E7" w:rsidR="7F78A27A" w:rsidRDefault="7F78A27A" w:rsidP="7F78A27A">
            <w:pPr>
              <w:jc w:val="center"/>
              <w:rPr>
                <w:rFonts w:ascii="Arial" w:eastAsia="Arial" w:hAnsi="Arial" w:cs="Arial"/>
              </w:rPr>
            </w:pPr>
            <w:r w:rsidRPr="7F78A27A">
              <w:rPr>
                <w:rFonts w:ascii="Arial" w:eastAsia="Arial" w:hAnsi="Arial" w:cs="Arial"/>
              </w:rPr>
              <w:t>55.4</w:t>
            </w:r>
          </w:p>
        </w:tc>
      </w:tr>
      <w:tr w:rsidR="7F78A27A" w14:paraId="4892E23C" w14:textId="77777777" w:rsidTr="7F78A27A">
        <w:trPr>
          <w:trHeight w:val="300"/>
        </w:trPr>
        <w:tc>
          <w:tcPr>
            <w:tcW w:w="2325" w:type="dxa"/>
            <w:tcMar>
              <w:left w:w="105" w:type="dxa"/>
              <w:right w:w="105" w:type="dxa"/>
            </w:tcMar>
          </w:tcPr>
          <w:p w14:paraId="5FBC6DA7" w14:textId="1956C774" w:rsidR="7F78A27A" w:rsidRDefault="7F78A27A" w:rsidP="7F78A27A">
            <w:pPr>
              <w:rPr>
                <w:rFonts w:ascii="Arial" w:eastAsia="Arial" w:hAnsi="Arial" w:cs="Arial"/>
              </w:rPr>
            </w:pPr>
            <w:r w:rsidRPr="7F78A27A">
              <w:rPr>
                <w:rFonts w:ascii="Arial" w:eastAsia="Arial" w:hAnsi="Arial" w:cs="Arial"/>
                <w:b/>
                <w:bCs/>
              </w:rPr>
              <w:lastRenderedPageBreak/>
              <w:t>English Learners</w:t>
            </w:r>
          </w:p>
        </w:tc>
        <w:tc>
          <w:tcPr>
            <w:tcW w:w="2325" w:type="dxa"/>
            <w:tcMar>
              <w:left w:w="105" w:type="dxa"/>
              <w:right w:w="105" w:type="dxa"/>
            </w:tcMar>
            <w:vAlign w:val="center"/>
          </w:tcPr>
          <w:p w14:paraId="60FF8F26" w14:textId="7B82F18C" w:rsidR="7F78A27A" w:rsidRDefault="7F78A27A" w:rsidP="7F78A27A">
            <w:pPr>
              <w:jc w:val="center"/>
              <w:rPr>
                <w:rFonts w:ascii="Arial" w:eastAsia="Arial" w:hAnsi="Arial" w:cs="Arial"/>
              </w:rPr>
            </w:pPr>
            <w:r w:rsidRPr="7F78A27A">
              <w:rPr>
                <w:rFonts w:ascii="Arial" w:eastAsia="Arial" w:hAnsi="Arial" w:cs="Arial"/>
              </w:rPr>
              <w:t>2.1</w:t>
            </w:r>
          </w:p>
        </w:tc>
        <w:tc>
          <w:tcPr>
            <w:tcW w:w="2325" w:type="dxa"/>
            <w:tcMar>
              <w:left w:w="105" w:type="dxa"/>
              <w:right w:w="105" w:type="dxa"/>
            </w:tcMar>
            <w:vAlign w:val="center"/>
          </w:tcPr>
          <w:p w14:paraId="133DA214" w14:textId="3409EAFE" w:rsidR="7F78A27A" w:rsidRDefault="7F78A27A" w:rsidP="7F78A27A">
            <w:pPr>
              <w:jc w:val="center"/>
              <w:rPr>
                <w:rFonts w:ascii="Arial" w:eastAsia="Arial" w:hAnsi="Arial" w:cs="Arial"/>
              </w:rPr>
            </w:pPr>
            <w:r w:rsidRPr="7F78A27A">
              <w:rPr>
                <w:rFonts w:ascii="Arial" w:eastAsia="Arial" w:hAnsi="Arial" w:cs="Arial"/>
              </w:rPr>
              <w:t>5.6</w:t>
            </w:r>
          </w:p>
        </w:tc>
        <w:tc>
          <w:tcPr>
            <w:tcW w:w="2325" w:type="dxa"/>
            <w:tcMar>
              <w:left w:w="105" w:type="dxa"/>
              <w:right w:w="105" w:type="dxa"/>
            </w:tcMar>
            <w:vAlign w:val="center"/>
          </w:tcPr>
          <w:p w14:paraId="4518085A" w14:textId="37754282" w:rsidR="7F78A27A" w:rsidRDefault="7F78A27A" w:rsidP="7F78A27A">
            <w:pPr>
              <w:jc w:val="center"/>
              <w:rPr>
                <w:rFonts w:ascii="Arial" w:eastAsia="Arial" w:hAnsi="Arial" w:cs="Arial"/>
              </w:rPr>
            </w:pPr>
            <w:r w:rsidRPr="7F78A27A">
              <w:rPr>
                <w:rFonts w:ascii="Arial" w:eastAsia="Arial" w:hAnsi="Arial" w:cs="Arial"/>
              </w:rPr>
              <w:t>13.4</w:t>
            </w:r>
          </w:p>
        </w:tc>
      </w:tr>
      <w:tr w:rsidR="7F78A27A" w14:paraId="56FF2226" w14:textId="77777777" w:rsidTr="7F78A27A">
        <w:trPr>
          <w:trHeight w:val="300"/>
        </w:trPr>
        <w:tc>
          <w:tcPr>
            <w:tcW w:w="2325" w:type="dxa"/>
            <w:tcMar>
              <w:left w:w="105" w:type="dxa"/>
              <w:right w:w="105" w:type="dxa"/>
            </w:tcMar>
          </w:tcPr>
          <w:p w14:paraId="75E85D81" w14:textId="2B5105D7" w:rsidR="7F78A27A" w:rsidRDefault="7F78A27A" w:rsidP="7F78A27A">
            <w:pPr>
              <w:rPr>
                <w:rFonts w:ascii="Arial" w:eastAsia="Arial" w:hAnsi="Arial" w:cs="Arial"/>
              </w:rPr>
            </w:pPr>
            <w:r w:rsidRPr="7F78A27A">
              <w:rPr>
                <w:rFonts w:ascii="Arial" w:eastAsia="Arial" w:hAnsi="Arial" w:cs="Arial"/>
                <w:b/>
                <w:bCs/>
              </w:rPr>
              <w:t>First Language Not English</w:t>
            </w:r>
          </w:p>
        </w:tc>
        <w:tc>
          <w:tcPr>
            <w:tcW w:w="2325" w:type="dxa"/>
            <w:tcMar>
              <w:left w:w="105" w:type="dxa"/>
              <w:right w:w="105" w:type="dxa"/>
            </w:tcMar>
            <w:vAlign w:val="center"/>
          </w:tcPr>
          <w:p w14:paraId="1F07712B" w14:textId="14296AC5" w:rsidR="7F78A27A" w:rsidRDefault="7F78A27A" w:rsidP="7F78A27A">
            <w:pPr>
              <w:jc w:val="center"/>
              <w:rPr>
                <w:rFonts w:ascii="Arial" w:eastAsia="Arial" w:hAnsi="Arial" w:cs="Arial"/>
              </w:rPr>
            </w:pPr>
            <w:r w:rsidRPr="7F78A27A">
              <w:rPr>
                <w:rFonts w:ascii="Arial" w:eastAsia="Arial" w:hAnsi="Arial" w:cs="Arial"/>
              </w:rPr>
              <w:t>9.5</w:t>
            </w:r>
          </w:p>
        </w:tc>
        <w:tc>
          <w:tcPr>
            <w:tcW w:w="2325" w:type="dxa"/>
            <w:tcMar>
              <w:left w:w="105" w:type="dxa"/>
              <w:right w:w="105" w:type="dxa"/>
            </w:tcMar>
            <w:vAlign w:val="center"/>
          </w:tcPr>
          <w:p w14:paraId="47198E98" w14:textId="6F062CF9" w:rsidR="7F78A27A" w:rsidRDefault="7F78A27A" w:rsidP="7F78A27A">
            <w:pPr>
              <w:jc w:val="center"/>
              <w:rPr>
                <w:rFonts w:ascii="Arial" w:eastAsia="Arial" w:hAnsi="Arial" w:cs="Arial"/>
              </w:rPr>
            </w:pPr>
            <w:r w:rsidRPr="7F78A27A">
              <w:rPr>
                <w:rFonts w:ascii="Arial" w:eastAsia="Arial" w:hAnsi="Arial" w:cs="Arial"/>
              </w:rPr>
              <w:t>13.0</w:t>
            </w:r>
          </w:p>
        </w:tc>
        <w:tc>
          <w:tcPr>
            <w:tcW w:w="2325" w:type="dxa"/>
            <w:tcMar>
              <w:left w:w="105" w:type="dxa"/>
              <w:right w:w="105" w:type="dxa"/>
            </w:tcMar>
            <w:vAlign w:val="center"/>
          </w:tcPr>
          <w:p w14:paraId="54FDCF20" w14:textId="694913BB" w:rsidR="7F78A27A" w:rsidRDefault="7F78A27A" w:rsidP="7F78A27A">
            <w:pPr>
              <w:jc w:val="center"/>
              <w:rPr>
                <w:rFonts w:ascii="Arial" w:eastAsia="Arial" w:hAnsi="Arial" w:cs="Arial"/>
              </w:rPr>
            </w:pPr>
            <w:r w:rsidRPr="7F78A27A">
              <w:rPr>
                <w:rFonts w:ascii="Arial" w:eastAsia="Arial" w:hAnsi="Arial" w:cs="Arial"/>
              </w:rPr>
              <w:t>27.3</w:t>
            </w:r>
          </w:p>
        </w:tc>
      </w:tr>
      <w:tr w:rsidR="7F78A27A" w14:paraId="60C678E3" w14:textId="77777777" w:rsidTr="7F78A27A">
        <w:trPr>
          <w:trHeight w:val="300"/>
        </w:trPr>
        <w:tc>
          <w:tcPr>
            <w:tcW w:w="2325" w:type="dxa"/>
            <w:tcMar>
              <w:left w:w="105" w:type="dxa"/>
              <w:right w:w="105" w:type="dxa"/>
            </w:tcMar>
          </w:tcPr>
          <w:p w14:paraId="7AB11349" w14:textId="3BA5C935" w:rsidR="7F78A27A" w:rsidRDefault="7F78A27A" w:rsidP="7F78A27A">
            <w:pPr>
              <w:rPr>
                <w:rFonts w:ascii="Arial" w:eastAsia="Arial" w:hAnsi="Arial" w:cs="Arial"/>
              </w:rPr>
            </w:pPr>
            <w:r w:rsidRPr="7F78A27A">
              <w:rPr>
                <w:rFonts w:ascii="Arial" w:eastAsia="Arial" w:hAnsi="Arial" w:cs="Arial"/>
                <w:b/>
                <w:bCs/>
              </w:rPr>
              <w:t>Low Income</w:t>
            </w:r>
          </w:p>
        </w:tc>
        <w:tc>
          <w:tcPr>
            <w:tcW w:w="2325" w:type="dxa"/>
            <w:tcMar>
              <w:left w:w="105" w:type="dxa"/>
              <w:right w:w="105" w:type="dxa"/>
            </w:tcMar>
            <w:vAlign w:val="center"/>
          </w:tcPr>
          <w:p w14:paraId="6D51DA00" w14:textId="721BAA67" w:rsidR="7F78A27A" w:rsidRDefault="7F78A27A" w:rsidP="7F78A27A">
            <w:pPr>
              <w:jc w:val="center"/>
              <w:rPr>
                <w:rFonts w:ascii="Arial" w:eastAsia="Arial" w:hAnsi="Arial" w:cs="Arial"/>
              </w:rPr>
            </w:pPr>
            <w:r w:rsidRPr="7F78A27A">
              <w:rPr>
                <w:rFonts w:ascii="Arial" w:eastAsia="Arial" w:hAnsi="Arial" w:cs="Arial"/>
              </w:rPr>
              <w:t>59.5</w:t>
            </w:r>
          </w:p>
        </w:tc>
        <w:tc>
          <w:tcPr>
            <w:tcW w:w="2325" w:type="dxa"/>
            <w:tcMar>
              <w:left w:w="105" w:type="dxa"/>
              <w:right w:w="105" w:type="dxa"/>
            </w:tcMar>
            <w:vAlign w:val="center"/>
          </w:tcPr>
          <w:p w14:paraId="211BD82B" w14:textId="155FFC54" w:rsidR="7F78A27A" w:rsidRDefault="7F78A27A" w:rsidP="7F78A27A">
            <w:pPr>
              <w:jc w:val="center"/>
              <w:rPr>
                <w:rFonts w:ascii="Arial" w:eastAsia="Arial" w:hAnsi="Arial" w:cs="Arial"/>
              </w:rPr>
            </w:pPr>
            <w:r w:rsidRPr="7F78A27A">
              <w:rPr>
                <w:rFonts w:ascii="Arial" w:eastAsia="Arial" w:hAnsi="Arial" w:cs="Arial"/>
              </w:rPr>
              <w:t>59.0</w:t>
            </w:r>
          </w:p>
        </w:tc>
        <w:tc>
          <w:tcPr>
            <w:tcW w:w="2325" w:type="dxa"/>
            <w:tcMar>
              <w:left w:w="105" w:type="dxa"/>
              <w:right w:w="105" w:type="dxa"/>
            </w:tcMar>
            <w:vAlign w:val="center"/>
          </w:tcPr>
          <w:p w14:paraId="6C8CEC38" w14:textId="4F5A75A3" w:rsidR="7F78A27A" w:rsidRDefault="7F78A27A" w:rsidP="7F78A27A">
            <w:pPr>
              <w:jc w:val="center"/>
              <w:rPr>
                <w:rFonts w:ascii="Arial" w:eastAsia="Arial" w:hAnsi="Arial" w:cs="Arial"/>
              </w:rPr>
            </w:pPr>
            <w:r w:rsidRPr="7F78A27A">
              <w:rPr>
                <w:rFonts w:ascii="Arial" w:eastAsia="Arial" w:hAnsi="Arial" w:cs="Arial"/>
              </w:rPr>
              <w:t>41.1</w:t>
            </w:r>
          </w:p>
        </w:tc>
      </w:tr>
      <w:tr w:rsidR="7F78A27A" w14:paraId="727A5A2F" w14:textId="77777777" w:rsidTr="7F78A27A">
        <w:trPr>
          <w:trHeight w:val="300"/>
        </w:trPr>
        <w:tc>
          <w:tcPr>
            <w:tcW w:w="2325" w:type="dxa"/>
            <w:tcMar>
              <w:left w:w="105" w:type="dxa"/>
              <w:right w:w="105" w:type="dxa"/>
            </w:tcMar>
          </w:tcPr>
          <w:p w14:paraId="5AFBDA9D" w14:textId="1E5B5C22" w:rsidR="7F78A27A" w:rsidRDefault="7F78A27A" w:rsidP="7F78A27A">
            <w:pPr>
              <w:rPr>
                <w:rFonts w:ascii="Arial" w:eastAsia="Arial" w:hAnsi="Arial" w:cs="Arial"/>
              </w:rPr>
            </w:pPr>
            <w:r w:rsidRPr="7F78A27A">
              <w:rPr>
                <w:rFonts w:ascii="Arial" w:eastAsia="Arial" w:hAnsi="Arial" w:cs="Arial"/>
                <w:b/>
                <w:bCs/>
              </w:rPr>
              <w:t>Students with Disabilities</w:t>
            </w:r>
          </w:p>
        </w:tc>
        <w:tc>
          <w:tcPr>
            <w:tcW w:w="2325" w:type="dxa"/>
            <w:tcMar>
              <w:left w:w="105" w:type="dxa"/>
              <w:right w:w="105" w:type="dxa"/>
            </w:tcMar>
            <w:vAlign w:val="center"/>
          </w:tcPr>
          <w:p w14:paraId="1CF3A80A" w14:textId="278ED89B" w:rsidR="7F78A27A" w:rsidRDefault="7F78A27A" w:rsidP="7F78A27A">
            <w:pPr>
              <w:jc w:val="center"/>
              <w:rPr>
                <w:rFonts w:ascii="Arial" w:eastAsia="Arial" w:hAnsi="Arial" w:cs="Arial"/>
              </w:rPr>
            </w:pPr>
            <w:r w:rsidRPr="7F78A27A">
              <w:rPr>
                <w:rFonts w:ascii="Arial" w:eastAsia="Arial" w:hAnsi="Arial" w:cs="Arial"/>
              </w:rPr>
              <w:t>24.5</w:t>
            </w:r>
          </w:p>
        </w:tc>
        <w:tc>
          <w:tcPr>
            <w:tcW w:w="2325" w:type="dxa"/>
            <w:tcMar>
              <w:left w:w="105" w:type="dxa"/>
              <w:right w:w="105" w:type="dxa"/>
            </w:tcMar>
            <w:vAlign w:val="center"/>
          </w:tcPr>
          <w:p w14:paraId="4AF92643" w14:textId="191C0E36" w:rsidR="7F78A27A" w:rsidRDefault="7F78A27A" w:rsidP="7F78A27A">
            <w:pPr>
              <w:jc w:val="center"/>
              <w:rPr>
                <w:rFonts w:ascii="Arial" w:eastAsia="Arial" w:hAnsi="Arial" w:cs="Arial"/>
              </w:rPr>
            </w:pPr>
            <w:r w:rsidRPr="7F78A27A">
              <w:rPr>
                <w:rFonts w:ascii="Arial" w:eastAsia="Arial" w:hAnsi="Arial" w:cs="Arial"/>
              </w:rPr>
              <w:t>22.2</w:t>
            </w:r>
          </w:p>
        </w:tc>
        <w:tc>
          <w:tcPr>
            <w:tcW w:w="2325" w:type="dxa"/>
            <w:tcMar>
              <w:left w:w="105" w:type="dxa"/>
              <w:right w:w="105" w:type="dxa"/>
            </w:tcMar>
            <w:vAlign w:val="center"/>
          </w:tcPr>
          <w:p w14:paraId="0DB613BF" w14:textId="245C4230" w:rsidR="7F78A27A" w:rsidRDefault="7F78A27A" w:rsidP="7F78A27A">
            <w:pPr>
              <w:jc w:val="center"/>
              <w:rPr>
                <w:rFonts w:ascii="Arial" w:eastAsia="Arial" w:hAnsi="Arial" w:cs="Arial"/>
              </w:rPr>
            </w:pPr>
            <w:r w:rsidRPr="7F78A27A">
              <w:rPr>
                <w:rFonts w:ascii="Arial" w:eastAsia="Arial" w:hAnsi="Arial" w:cs="Arial"/>
              </w:rPr>
              <w:t>21.1</w:t>
            </w:r>
          </w:p>
        </w:tc>
      </w:tr>
    </w:tbl>
    <w:p w14:paraId="453725FC" w14:textId="2701A9EE" w:rsidR="00802713" w:rsidRDefault="00802713" w:rsidP="7F78A27A">
      <w:pPr>
        <w:rPr>
          <w:rFonts w:ascii="Arial" w:eastAsia="Arial" w:hAnsi="Arial" w:cs="Arial"/>
          <w:color w:val="000000" w:themeColor="text1"/>
        </w:rPr>
      </w:pPr>
    </w:p>
    <w:p w14:paraId="27D3D4EA" w14:textId="38BBB9D1"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Results of these two virtual schools are similar to the academic results seen in virtual schools nationwide.</w:t>
      </w:r>
      <w:r w:rsidR="00694F0D">
        <w:rPr>
          <w:rStyle w:val="FootnoteReference"/>
          <w:rFonts w:ascii="Arial" w:eastAsia="Arial" w:hAnsi="Arial" w:cs="Arial"/>
          <w:color w:val="000000" w:themeColor="text1"/>
        </w:rPr>
        <w:footnoteReference w:id="6"/>
      </w:r>
      <w:r w:rsidRPr="7F78A27A">
        <w:rPr>
          <w:rFonts w:ascii="Arial" w:eastAsia="Arial" w:hAnsi="Arial" w:cs="Arial"/>
          <w:color w:val="000000" w:themeColor="text1"/>
        </w:rPr>
        <w:t xml:space="preserve"> Neither school’s results have consistently met academic standards set by the Massachusetts statewide accountability system. Despite piloting remote administration of statewide assessments,</w:t>
      </w:r>
      <w:r w:rsidR="005534C4">
        <w:rPr>
          <w:rStyle w:val="FootnoteReference"/>
          <w:rFonts w:ascii="Arial" w:eastAsia="Arial" w:hAnsi="Arial" w:cs="Arial"/>
          <w:color w:val="000000" w:themeColor="text1"/>
        </w:rPr>
        <w:footnoteReference w:id="7"/>
      </w:r>
      <w:r w:rsidRPr="7F78A27A">
        <w:rPr>
          <w:rFonts w:ascii="Arial" w:eastAsia="Arial" w:hAnsi="Arial" w:cs="Arial"/>
          <w:color w:val="000000" w:themeColor="text1"/>
        </w:rPr>
        <w:t xml:space="preserve"> neither school met the state assessment participation levels required by law, and both schools produced results that are well below state averages. </w:t>
      </w:r>
      <w:r w:rsidR="000C4D4E">
        <w:rPr>
          <w:rFonts w:ascii="Arial" w:eastAsia="Arial" w:hAnsi="Arial" w:cs="Arial"/>
          <w:color w:val="000000" w:themeColor="text1"/>
        </w:rPr>
        <w:t>GCVS and TECCA</w:t>
      </w:r>
      <w:r w:rsidR="00ED05DE">
        <w:rPr>
          <w:rFonts w:ascii="Arial" w:eastAsia="Arial" w:hAnsi="Arial" w:cs="Arial"/>
          <w:color w:val="000000" w:themeColor="text1"/>
        </w:rPr>
        <w:t xml:space="preserve">, however, </w:t>
      </w:r>
      <w:r w:rsidR="00C828C3">
        <w:rPr>
          <w:rFonts w:ascii="Arial" w:eastAsia="Arial" w:hAnsi="Arial" w:cs="Arial"/>
          <w:color w:val="000000" w:themeColor="text1"/>
        </w:rPr>
        <w:t xml:space="preserve">have demonstrated improvement in overall </w:t>
      </w:r>
      <w:r w:rsidR="00553722">
        <w:rPr>
          <w:rFonts w:ascii="Arial" w:eastAsia="Arial" w:hAnsi="Arial" w:cs="Arial"/>
          <w:color w:val="000000" w:themeColor="text1"/>
        </w:rPr>
        <w:t xml:space="preserve">accountability percentiles </w:t>
      </w:r>
      <w:r w:rsidR="00BF01A0">
        <w:rPr>
          <w:rFonts w:ascii="Arial" w:eastAsia="Arial" w:hAnsi="Arial" w:cs="Arial"/>
          <w:color w:val="000000" w:themeColor="text1"/>
        </w:rPr>
        <w:t xml:space="preserve">in </w:t>
      </w:r>
      <w:r w:rsidR="008B3F8D">
        <w:rPr>
          <w:rFonts w:ascii="Arial" w:eastAsia="Arial" w:hAnsi="Arial" w:cs="Arial"/>
          <w:color w:val="000000" w:themeColor="text1"/>
        </w:rPr>
        <w:t>their current certificate terms</w:t>
      </w:r>
      <w:r w:rsidR="001A5D4D">
        <w:rPr>
          <w:rFonts w:ascii="Arial" w:eastAsia="Arial" w:hAnsi="Arial" w:cs="Arial"/>
          <w:color w:val="000000" w:themeColor="text1"/>
        </w:rPr>
        <w:t xml:space="preserve">. </w:t>
      </w:r>
      <w:r w:rsidR="004E4A86">
        <w:rPr>
          <w:rFonts w:ascii="Arial" w:eastAsia="Arial" w:hAnsi="Arial" w:cs="Arial"/>
          <w:color w:val="000000" w:themeColor="text1"/>
        </w:rPr>
        <w:t>Until 2022</w:t>
      </w:r>
      <w:r w:rsidR="00E7146F">
        <w:rPr>
          <w:rFonts w:ascii="Arial" w:eastAsia="Arial" w:hAnsi="Arial" w:cs="Arial"/>
          <w:color w:val="000000" w:themeColor="text1"/>
        </w:rPr>
        <w:t xml:space="preserve"> (</w:t>
      </w:r>
      <w:r w:rsidR="00376746">
        <w:rPr>
          <w:rFonts w:ascii="Arial" w:eastAsia="Arial" w:hAnsi="Arial" w:cs="Arial"/>
          <w:color w:val="000000" w:themeColor="text1"/>
        </w:rPr>
        <w:t>and</w:t>
      </w:r>
      <w:r w:rsidR="007C0F4B">
        <w:rPr>
          <w:rFonts w:ascii="Arial" w:eastAsia="Arial" w:hAnsi="Arial" w:cs="Arial"/>
          <w:color w:val="000000" w:themeColor="text1"/>
        </w:rPr>
        <w:t xml:space="preserve"> </w:t>
      </w:r>
      <w:r w:rsidR="00B419C6">
        <w:rPr>
          <w:rFonts w:ascii="Arial" w:eastAsia="Arial" w:hAnsi="Arial" w:cs="Arial"/>
          <w:color w:val="000000" w:themeColor="text1"/>
        </w:rPr>
        <w:t>in applicable years</w:t>
      </w:r>
      <w:r w:rsidR="00E7146F">
        <w:rPr>
          <w:rFonts w:ascii="Arial" w:eastAsia="Arial" w:hAnsi="Arial" w:cs="Arial"/>
          <w:color w:val="000000" w:themeColor="text1"/>
        </w:rPr>
        <w:t>)</w:t>
      </w:r>
      <w:r w:rsidR="00B419C6">
        <w:rPr>
          <w:rFonts w:ascii="Arial" w:eastAsia="Arial" w:hAnsi="Arial" w:cs="Arial"/>
          <w:color w:val="000000" w:themeColor="text1"/>
        </w:rPr>
        <w:t xml:space="preserve"> </w:t>
      </w:r>
      <w:r w:rsidR="00171A21">
        <w:rPr>
          <w:rFonts w:ascii="Arial" w:eastAsia="Arial" w:hAnsi="Arial" w:cs="Arial"/>
          <w:color w:val="000000" w:themeColor="text1"/>
        </w:rPr>
        <w:t>statewide system of accountability data placed both GCVS</w:t>
      </w:r>
      <w:r w:rsidR="00681E6E">
        <w:rPr>
          <w:rFonts w:ascii="Arial" w:eastAsia="Arial" w:hAnsi="Arial" w:cs="Arial"/>
          <w:color w:val="000000" w:themeColor="text1"/>
        </w:rPr>
        <w:t>’s</w:t>
      </w:r>
      <w:r w:rsidR="00171A21">
        <w:rPr>
          <w:rFonts w:ascii="Arial" w:eastAsia="Arial" w:hAnsi="Arial" w:cs="Arial"/>
          <w:color w:val="000000" w:themeColor="text1"/>
        </w:rPr>
        <w:t xml:space="preserve"> and TECCA</w:t>
      </w:r>
      <w:r w:rsidR="00681E6E">
        <w:rPr>
          <w:rFonts w:ascii="Arial" w:eastAsia="Arial" w:hAnsi="Arial" w:cs="Arial"/>
          <w:color w:val="000000" w:themeColor="text1"/>
        </w:rPr>
        <w:t xml:space="preserve">’s </w:t>
      </w:r>
      <w:r w:rsidR="00254238">
        <w:rPr>
          <w:rFonts w:ascii="Arial" w:eastAsia="Arial" w:hAnsi="Arial" w:cs="Arial"/>
          <w:color w:val="000000" w:themeColor="text1"/>
        </w:rPr>
        <w:t>outcomes</w:t>
      </w:r>
      <w:r w:rsidR="00AA2D1A">
        <w:rPr>
          <w:rFonts w:ascii="Arial" w:eastAsia="Arial" w:hAnsi="Arial" w:cs="Arial"/>
          <w:color w:val="000000" w:themeColor="text1"/>
        </w:rPr>
        <w:t xml:space="preserve"> </w:t>
      </w:r>
      <w:r w:rsidR="006F25B7">
        <w:rPr>
          <w:rFonts w:ascii="Arial" w:eastAsia="Arial" w:hAnsi="Arial" w:cs="Arial"/>
          <w:color w:val="000000" w:themeColor="text1"/>
        </w:rPr>
        <w:t xml:space="preserve">among the lowest performing </w:t>
      </w:r>
      <w:r w:rsidR="00247E0F">
        <w:rPr>
          <w:rFonts w:ascii="Arial" w:eastAsia="Arial" w:hAnsi="Arial" w:cs="Arial"/>
          <w:color w:val="000000" w:themeColor="text1"/>
        </w:rPr>
        <w:t xml:space="preserve">K through grade 12 </w:t>
      </w:r>
      <w:r w:rsidR="006F25B7">
        <w:rPr>
          <w:rFonts w:ascii="Arial" w:eastAsia="Arial" w:hAnsi="Arial" w:cs="Arial"/>
          <w:color w:val="000000" w:themeColor="text1"/>
        </w:rPr>
        <w:t xml:space="preserve">schools. </w:t>
      </w:r>
      <w:r w:rsidR="00474016">
        <w:rPr>
          <w:rFonts w:ascii="Arial" w:eastAsia="Arial" w:hAnsi="Arial" w:cs="Arial"/>
          <w:color w:val="000000" w:themeColor="text1"/>
        </w:rPr>
        <w:t xml:space="preserve">GCVS was in the </w:t>
      </w:r>
      <w:r w:rsidR="00647EB7">
        <w:rPr>
          <w:rFonts w:ascii="Arial" w:eastAsia="Arial" w:hAnsi="Arial" w:cs="Arial"/>
          <w:color w:val="000000" w:themeColor="text1"/>
        </w:rPr>
        <w:t xml:space="preserve">fourth and TECCA was in the </w:t>
      </w:r>
      <w:r w:rsidR="00A55DC9">
        <w:rPr>
          <w:rFonts w:ascii="Arial" w:eastAsia="Arial" w:hAnsi="Arial" w:cs="Arial"/>
          <w:color w:val="000000" w:themeColor="text1"/>
        </w:rPr>
        <w:t xml:space="preserve">fifth </w:t>
      </w:r>
      <w:r w:rsidR="007F233E">
        <w:rPr>
          <w:rFonts w:ascii="Arial" w:eastAsia="Arial" w:hAnsi="Arial" w:cs="Arial"/>
          <w:color w:val="000000" w:themeColor="text1"/>
        </w:rPr>
        <w:t xml:space="preserve">accountability </w:t>
      </w:r>
      <w:r w:rsidR="00A55DC9">
        <w:rPr>
          <w:rFonts w:ascii="Arial" w:eastAsia="Arial" w:hAnsi="Arial" w:cs="Arial"/>
          <w:color w:val="000000" w:themeColor="text1"/>
        </w:rPr>
        <w:t>percentile in 2021.</w:t>
      </w:r>
      <w:r w:rsidR="00171A21">
        <w:rPr>
          <w:rFonts w:ascii="Arial" w:eastAsia="Arial" w:hAnsi="Arial" w:cs="Arial"/>
          <w:color w:val="000000" w:themeColor="text1"/>
        </w:rPr>
        <w:t xml:space="preserve"> </w:t>
      </w:r>
      <w:r w:rsidR="00247E0F">
        <w:rPr>
          <w:rFonts w:ascii="Arial" w:eastAsia="Arial" w:hAnsi="Arial" w:cs="Arial"/>
          <w:color w:val="000000" w:themeColor="text1"/>
        </w:rPr>
        <w:t xml:space="preserve">Based on 2024-25 data, GCVS is now in the </w:t>
      </w:r>
      <w:r w:rsidR="00AE73A8">
        <w:rPr>
          <w:rFonts w:ascii="Arial" w:eastAsia="Arial" w:hAnsi="Arial" w:cs="Arial"/>
          <w:color w:val="000000" w:themeColor="text1"/>
        </w:rPr>
        <w:t>28</w:t>
      </w:r>
      <w:r w:rsidR="00AE73A8" w:rsidRPr="009E7CA1">
        <w:rPr>
          <w:rFonts w:ascii="Arial" w:eastAsia="Arial" w:hAnsi="Arial" w:cs="Arial"/>
          <w:color w:val="000000" w:themeColor="text1"/>
          <w:vertAlign w:val="superscript"/>
        </w:rPr>
        <w:t>th</w:t>
      </w:r>
      <w:r w:rsidR="00AE73A8">
        <w:rPr>
          <w:rFonts w:ascii="Arial" w:eastAsia="Arial" w:hAnsi="Arial" w:cs="Arial"/>
          <w:color w:val="000000" w:themeColor="text1"/>
        </w:rPr>
        <w:t xml:space="preserve"> </w:t>
      </w:r>
      <w:r w:rsidR="007F233E">
        <w:rPr>
          <w:rFonts w:ascii="Arial" w:eastAsia="Arial" w:hAnsi="Arial" w:cs="Arial"/>
          <w:color w:val="000000" w:themeColor="text1"/>
        </w:rPr>
        <w:t xml:space="preserve">accountability </w:t>
      </w:r>
      <w:r w:rsidR="00AE73A8">
        <w:rPr>
          <w:rFonts w:ascii="Arial" w:eastAsia="Arial" w:hAnsi="Arial" w:cs="Arial"/>
          <w:color w:val="000000" w:themeColor="text1"/>
        </w:rPr>
        <w:t xml:space="preserve">percentile and TECCA is in the </w:t>
      </w:r>
      <w:r w:rsidR="007F233E">
        <w:rPr>
          <w:rFonts w:ascii="Arial" w:eastAsia="Arial" w:hAnsi="Arial" w:cs="Arial"/>
          <w:color w:val="000000" w:themeColor="text1"/>
        </w:rPr>
        <w:t>18</w:t>
      </w:r>
      <w:r w:rsidR="007F233E" w:rsidRPr="009E7CA1">
        <w:rPr>
          <w:rFonts w:ascii="Arial" w:eastAsia="Arial" w:hAnsi="Arial" w:cs="Arial"/>
          <w:color w:val="000000" w:themeColor="text1"/>
          <w:vertAlign w:val="superscript"/>
        </w:rPr>
        <w:t>th</w:t>
      </w:r>
      <w:r w:rsidR="007F233E">
        <w:rPr>
          <w:rFonts w:ascii="Arial" w:eastAsia="Arial" w:hAnsi="Arial" w:cs="Arial"/>
          <w:color w:val="000000" w:themeColor="text1"/>
        </w:rPr>
        <w:t xml:space="preserve"> accountability percentile. </w:t>
      </w:r>
    </w:p>
    <w:p w14:paraId="5AE72C94" w14:textId="3C766C7F"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 xml:space="preserve">Renewing the schools’ certificates with conditions that clearly outline areas for improvement or correction gives both schools additional time to demonstrate academic improvement and retains the Board’s ability to impose probation should either school’s performance worsen. </w:t>
      </w:r>
    </w:p>
    <w:p w14:paraId="5533654E" w14:textId="6779176F"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A summary of each school’s performance during the certificate term, and my recommendations for renewal with specific conditions, are presented below.  </w:t>
      </w:r>
    </w:p>
    <w:p w14:paraId="7AFF43FA" w14:textId="23ABB8AB" w:rsidR="00802713" w:rsidRDefault="66880088" w:rsidP="7F78A27A">
      <w:pPr>
        <w:pStyle w:val="Heading2"/>
        <w:rPr>
          <w:rFonts w:ascii="Arial" w:eastAsia="Arial" w:hAnsi="Arial" w:cs="Arial"/>
          <w:b/>
          <w:bCs/>
          <w:color w:val="000000" w:themeColor="text1"/>
        </w:rPr>
      </w:pPr>
      <w:r w:rsidRPr="7F78A27A">
        <w:rPr>
          <w:rFonts w:ascii="Arial" w:eastAsia="Arial" w:hAnsi="Arial" w:cs="Arial"/>
          <w:b/>
          <w:bCs/>
          <w:color w:val="000000" w:themeColor="text1"/>
        </w:rPr>
        <w:t>Greater Commonwealth Virtual School (GCVS)</w:t>
      </w:r>
    </w:p>
    <w:p w14:paraId="1BC4A602" w14:textId="3FFED2A1" w:rsidR="00802713" w:rsidRDefault="66880088" w:rsidP="7F78A27A">
      <w:pPr>
        <w:rPr>
          <w:rFonts w:ascii="Arial" w:eastAsia="Arial" w:hAnsi="Arial" w:cs="Arial"/>
          <w:color w:val="000000" w:themeColor="text1"/>
        </w:rPr>
      </w:pPr>
      <w:r w:rsidRPr="7F78A27A">
        <w:rPr>
          <w:rFonts w:ascii="Arial" w:eastAsia="Arial" w:hAnsi="Arial" w:cs="Arial"/>
          <w:b/>
          <w:bCs/>
          <w:color w:val="000000" w:themeColor="text1"/>
        </w:rPr>
        <w:t>Mission Statement: “</w:t>
      </w:r>
      <w:r w:rsidRPr="7F78A27A">
        <w:rPr>
          <w:rFonts w:ascii="Arial" w:eastAsia="Arial" w:hAnsi="Arial" w:cs="Arial"/>
          <w:color w:val="000000" w:themeColor="text1"/>
        </w:rPr>
        <w:t>The Greater Commonwealth Virtual School, a public school of choice, serves students from across Massachusetts who need a learning community that is accessible, flexible, and inclusive. As a pioneer of online learning, we empower our educators to tailor learning experiences to each student’s strengths, interests, and challenges. We redefine and change how students and teachers engage through innovative technology, while ensuring mastery of competencies embedded in a rigorous curriculum.”</w:t>
      </w:r>
    </w:p>
    <w:p w14:paraId="63E1A7B7" w14:textId="20F3E66A"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GCVS School Facts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15"/>
        <w:gridCol w:w="4215"/>
      </w:tblGrid>
      <w:tr w:rsidR="7F78A27A" w14:paraId="493075FB" w14:textId="77777777" w:rsidTr="7F78A27A">
        <w:trPr>
          <w:trHeight w:val="300"/>
        </w:trPr>
        <w:tc>
          <w:tcPr>
            <w:tcW w:w="5115" w:type="dxa"/>
            <w:shd w:val="clear" w:color="auto" w:fill="BFBFBF" w:themeFill="background1" w:themeFillShade="BF"/>
            <w:tcMar>
              <w:left w:w="105" w:type="dxa"/>
              <w:right w:w="105" w:type="dxa"/>
            </w:tcMar>
          </w:tcPr>
          <w:p w14:paraId="7A137C11" w14:textId="5F210C25" w:rsidR="7F78A27A" w:rsidRDefault="7F78A27A" w:rsidP="7F78A27A">
            <w:pPr>
              <w:pStyle w:val="TableHeading"/>
              <w:keepNext/>
              <w:rPr>
                <w:rFonts w:ascii="Arial" w:eastAsia="Arial" w:hAnsi="Arial" w:cs="Arial"/>
              </w:rPr>
            </w:pPr>
            <w:r w:rsidRPr="7F78A27A">
              <w:rPr>
                <w:rFonts w:ascii="Arial" w:eastAsia="Arial" w:hAnsi="Arial" w:cs="Arial"/>
              </w:rPr>
              <w:t>School Fact Type</w:t>
            </w:r>
          </w:p>
        </w:tc>
        <w:tc>
          <w:tcPr>
            <w:tcW w:w="4215" w:type="dxa"/>
            <w:shd w:val="clear" w:color="auto" w:fill="BFBFBF" w:themeFill="background1" w:themeFillShade="BF"/>
            <w:tcMar>
              <w:left w:w="105" w:type="dxa"/>
              <w:right w:w="105" w:type="dxa"/>
            </w:tcMar>
          </w:tcPr>
          <w:p w14:paraId="7C7B0161" w14:textId="733AC3BD" w:rsidR="7F78A27A" w:rsidRDefault="7F78A27A" w:rsidP="7F78A27A">
            <w:pPr>
              <w:pStyle w:val="TableHeading"/>
              <w:keepNext/>
              <w:rPr>
                <w:rFonts w:ascii="Arial" w:eastAsia="Arial" w:hAnsi="Arial" w:cs="Arial"/>
              </w:rPr>
            </w:pPr>
            <w:r w:rsidRPr="7F78A27A">
              <w:rPr>
                <w:rFonts w:ascii="Arial" w:eastAsia="Arial" w:hAnsi="Arial" w:cs="Arial"/>
              </w:rPr>
              <w:t>School Facts (GCVS)</w:t>
            </w:r>
          </w:p>
        </w:tc>
      </w:tr>
      <w:tr w:rsidR="7F78A27A" w14:paraId="54291F88" w14:textId="77777777" w:rsidTr="7F78A27A">
        <w:trPr>
          <w:trHeight w:val="300"/>
        </w:trPr>
        <w:tc>
          <w:tcPr>
            <w:tcW w:w="5115" w:type="dxa"/>
            <w:shd w:val="clear" w:color="auto" w:fill="F2F2F2" w:themeFill="background1" w:themeFillShade="F2"/>
            <w:tcMar>
              <w:left w:w="105" w:type="dxa"/>
              <w:right w:w="105" w:type="dxa"/>
            </w:tcMar>
          </w:tcPr>
          <w:p w14:paraId="63144D8D" w14:textId="76E87998" w:rsidR="7F78A27A" w:rsidRDefault="7F78A27A" w:rsidP="7F78A27A">
            <w:pPr>
              <w:pStyle w:val="Table"/>
              <w:keepNext/>
              <w:jc w:val="left"/>
              <w:rPr>
                <w:rFonts w:ascii="Arial" w:eastAsia="Arial" w:hAnsi="Arial" w:cs="Arial"/>
              </w:rPr>
            </w:pPr>
            <w:r w:rsidRPr="7F78A27A">
              <w:rPr>
                <w:rFonts w:ascii="Arial" w:eastAsia="Arial" w:hAnsi="Arial" w:cs="Arial"/>
                <w:b/>
                <w:bCs/>
              </w:rPr>
              <w:t>Type of Commonwealth Virtual School</w:t>
            </w:r>
            <w:r w:rsidR="00F8559E">
              <w:rPr>
                <w:rStyle w:val="FootnoteReference"/>
                <w:rFonts w:ascii="Arial" w:eastAsia="Arial" w:hAnsi="Arial" w:cs="Arial"/>
                <w:b/>
                <w:bCs/>
              </w:rPr>
              <w:footnoteReference w:id="8"/>
            </w:r>
          </w:p>
        </w:tc>
        <w:tc>
          <w:tcPr>
            <w:tcW w:w="4215" w:type="dxa"/>
            <w:tcMar>
              <w:left w:w="105" w:type="dxa"/>
              <w:right w:w="105" w:type="dxa"/>
            </w:tcMar>
            <w:vAlign w:val="center"/>
          </w:tcPr>
          <w:p w14:paraId="167E67AF" w14:textId="7C3F1DC5" w:rsidR="7F78A27A" w:rsidRDefault="7F78A27A" w:rsidP="7F78A27A">
            <w:pPr>
              <w:pStyle w:val="Table"/>
              <w:keepNext/>
              <w:jc w:val="left"/>
              <w:rPr>
                <w:rFonts w:ascii="Arial" w:eastAsia="Arial" w:hAnsi="Arial" w:cs="Arial"/>
              </w:rPr>
            </w:pPr>
            <w:r w:rsidRPr="7F78A27A">
              <w:rPr>
                <w:rFonts w:ascii="Arial" w:eastAsia="Arial" w:hAnsi="Arial" w:cs="Arial"/>
              </w:rPr>
              <w:t>CMVS 1</w:t>
            </w:r>
          </w:p>
        </w:tc>
      </w:tr>
      <w:tr w:rsidR="7F78A27A" w14:paraId="0CDB83FE" w14:textId="77777777" w:rsidTr="7F78A27A">
        <w:trPr>
          <w:trHeight w:val="300"/>
        </w:trPr>
        <w:tc>
          <w:tcPr>
            <w:tcW w:w="5115" w:type="dxa"/>
            <w:shd w:val="clear" w:color="auto" w:fill="F2F2F2" w:themeFill="background1" w:themeFillShade="F2"/>
            <w:tcMar>
              <w:left w:w="105" w:type="dxa"/>
              <w:right w:w="105" w:type="dxa"/>
            </w:tcMar>
          </w:tcPr>
          <w:p w14:paraId="1B7269F5" w14:textId="400152C6" w:rsidR="7F78A27A" w:rsidRDefault="7F78A27A" w:rsidP="7F78A27A">
            <w:pPr>
              <w:pStyle w:val="Table"/>
              <w:keepNext/>
              <w:jc w:val="left"/>
              <w:rPr>
                <w:rFonts w:ascii="Arial" w:eastAsia="Arial" w:hAnsi="Arial" w:cs="Arial"/>
              </w:rPr>
            </w:pPr>
            <w:r w:rsidRPr="7F78A27A">
              <w:rPr>
                <w:rFonts w:ascii="Arial" w:eastAsia="Arial" w:hAnsi="Arial" w:cs="Arial"/>
                <w:b/>
                <w:bCs/>
              </w:rPr>
              <w:t>Number of Districts Capped for Enrollment</w:t>
            </w:r>
          </w:p>
        </w:tc>
        <w:tc>
          <w:tcPr>
            <w:tcW w:w="4215" w:type="dxa"/>
            <w:tcMar>
              <w:left w:w="105" w:type="dxa"/>
              <w:right w:w="105" w:type="dxa"/>
            </w:tcMar>
            <w:vAlign w:val="center"/>
          </w:tcPr>
          <w:p w14:paraId="365DFBF4" w14:textId="4F8DBE5E" w:rsidR="7F78A27A" w:rsidRDefault="7F78A27A" w:rsidP="7F78A27A">
            <w:pPr>
              <w:pStyle w:val="Table"/>
              <w:keepNext/>
              <w:jc w:val="left"/>
              <w:rPr>
                <w:rFonts w:ascii="Arial" w:eastAsia="Arial" w:hAnsi="Arial" w:cs="Arial"/>
              </w:rPr>
            </w:pPr>
            <w:r w:rsidRPr="7F78A27A">
              <w:rPr>
                <w:rFonts w:ascii="Arial" w:eastAsia="Arial" w:hAnsi="Arial" w:cs="Arial"/>
              </w:rPr>
              <w:t>33</w:t>
            </w:r>
            <w:r w:rsidR="00FA341F">
              <w:rPr>
                <w:rStyle w:val="FootnoteReference"/>
                <w:rFonts w:ascii="Arial" w:eastAsia="Arial" w:hAnsi="Arial" w:cs="Arial"/>
              </w:rPr>
              <w:footnoteReference w:id="9"/>
            </w:r>
          </w:p>
        </w:tc>
      </w:tr>
      <w:tr w:rsidR="7F78A27A" w14:paraId="3C34E107" w14:textId="77777777" w:rsidTr="7F78A27A">
        <w:trPr>
          <w:trHeight w:val="300"/>
        </w:trPr>
        <w:tc>
          <w:tcPr>
            <w:tcW w:w="5115" w:type="dxa"/>
            <w:shd w:val="clear" w:color="auto" w:fill="F2F2F2" w:themeFill="background1" w:themeFillShade="F2"/>
            <w:tcMar>
              <w:left w:w="105" w:type="dxa"/>
              <w:right w:w="105" w:type="dxa"/>
            </w:tcMar>
          </w:tcPr>
          <w:p w14:paraId="212C2DE7" w14:textId="5D5DAD1C" w:rsidR="7F78A27A" w:rsidRDefault="7F78A27A" w:rsidP="7F78A27A">
            <w:pPr>
              <w:pStyle w:val="Table"/>
              <w:keepNext/>
              <w:jc w:val="left"/>
              <w:rPr>
                <w:rFonts w:ascii="Arial" w:eastAsia="Arial" w:hAnsi="Arial" w:cs="Arial"/>
              </w:rPr>
            </w:pPr>
            <w:r w:rsidRPr="7F78A27A">
              <w:rPr>
                <w:rFonts w:ascii="Arial" w:eastAsia="Arial" w:hAnsi="Arial" w:cs="Arial"/>
                <w:b/>
                <w:bCs/>
              </w:rPr>
              <w:t>Year Opened</w:t>
            </w:r>
          </w:p>
        </w:tc>
        <w:tc>
          <w:tcPr>
            <w:tcW w:w="4215" w:type="dxa"/>
            <w:tcMar>
              <w:left w:w="105" w:type="dxa"/>
              <w:right w:w="105" w:type="dxa"/>
            </w:tcMar>
            <w:vAlign w:val="center"/>
          </w:tcPr>
          <w:p w14:paraId="16D51E82" w14:textId="15A0719D" w:rsidR="7F78A27A" w:rsidRDefault="7F78A27A" w:rsidP="7F78A27A">
            <w:pPr>
              <w:pStyle w:val="Table"/>
              <w:keepNext/>
              <w:jc w:val="left"/>
              <w:rPr>
                <w:rFonts w:ascii="Arial" w:eastAsia="Arial" w:hAnsi="Arial" w:cs="Arial"/>
              </w:rPr>
            </w:pPr>
            <w:r w:rsidRPr="7F78A27A">
              <w:rPr>
                <w:rFonts w:ascii="Arial" w:eastAsia="Arial" w:hAnsi="Arial" w:cs="Arial"/>
              </w:rPr>
              <w:t>2013</w:t>
            </w:r>
          </w:p>
        </w:tc>
      </w:tr>
      <w:tr w:rsidR="7F78A27A" w14:paraId="1FFB001F" w14:textId="77777777" w:rsidTr="7F78A27A">
        <w:trPr>
          <w:trHeight w:val="300"/>
        </w:trPr>
        <w:tc>
          <w:tcPr>
            <w:tcW w:w="5115" w:type="dxa"/>
            <w:shd w:val="clear" w:color="auto" w:fill="F2F2F2" w:themeFill="background1" w:themeFillShade="F2"/>
            <w:tcMar>
              <w:left w:w="105" w:type="dxa"/>
              <w:right w:w="105" w:type="dxa"/>
            </w:tcMar>
          </w:tcPr>
          <w:p w14:paraId="57AB8C60" w14:textId="519C64A1" w:rsidR="7F78A27A" w:rsidRDefault="7F78A27A" w:rsidP="7F78A27A">
            <w:pPr>
              <w:pStyle w:val="Table"/>
              <w:keepNext/>
              <w:jc w:val="left"/>
              <w:rPr>
                <w:rFonts w:ascii="Arial" w:eastAsia="Arial" w:hAnsi="Arial" w:cs="Arial"/>
              </w:rPr>
            </w:pPr>
            <w:r w:rsidRPr="7F78A27A">
              <w:rPr>
                <w:rFonts w:ascii="Arial" w:eastAsia="Arial" w:hAnsi="Arial" w:cs="Arial"/>
                <w:b/>
                <w:bCs/>
              </w:rPr>
              <w:t>Years Renewed</w:t>
            </w:r>
          </w:p>
        </w:tc>
        <w:tc>
          <w:tcPr>
            <w:tcW w:w="4215" w:type="dxa"/>
            <w:tcMar>
              <w:left w:w="105" w:type="dxa"/>
              <w:right w:w="105" w:type="dxa"/>
            </w:tcMar>
            <w:vAlign w:val="center"/>
          </w:tcPr>
          <w:p w14:paraId="6B10759B" w14:textId="1629F486" w:rsidR="7F78A27A" w:rsidRDefault="7F78A27A" w:rsidP="7F78A27A">
            <w:pPr>
              <w:pStyle w:val="Table"/>
              <w:keepNext/>
              <w:jc w:val="left"/>
              <w:rPr>
                <w:rFonts w:ascii="Arial" w:eastAsia="Arial" w:hAnsi="Arial" w:cs="Arial"/>
              </w:rPr>
            </w:pPr>
            <w:r w:rsidRPr="7F78A27A">
              <w:rPr>
                <w:rFonts w:ascii="Arial" w:eastAsia="Arial" w:hAnsi="Arial" w:cs="Arial"/>
              </w:rPr>
              <w:t>2016, 2019, 2022</w:t>
            </w:r>
          </w:p>
        </w:tc>
      </w:tr>
      <w:tr w:rsidR="7F78A27A" w14:paraId="575AF499" w14:textId="77777777" w:rsidTr="7F78A27A">
        <w:trPr>
          <w:trHeight w:val="300"/>
        </w:trPr>
        <w:tc>
          <w:tcPr>
            <w:tcW w:w="5115" w:type="dxa"/>
            <w:shd w:val="clear" w:color="auto" w:fill="F2F2F2" w:themeFill="background1" w:themeFillShade="F2"/>
            <w:tcMar>
              <w:left w:w="105" w:type="dxa"/>
              <w:right w:w="105" w:type="dxa"/>
            </w:tcMar>
          </w:tcPr>
          <w:p w14:paraId="3DF40CC3" w14:textId="38349929" w:rsidR="7F78A27A" w:rsidRDefault="7F78A27A" w:rsidP="7F78A27A">
            <w:pPr>
              <w:pStyle w:val="Table"/>
              <w:keepNext/>
              <w:jc w:val="left"/>
              <w:rPr>
                <w:rFonts w:ascii="Arial" w:eastAsia="Arial" w:hAnsi="Arial" w:cs="Arial"/>
              </w:rPr>
            </w:pPr>
            <w:r w:rsidRPr="7F78A27A">
              <w:rPr>
                <w:rFonts w:ascii="Arial" w:eastAsia="Arial" w:hAnsi="Arial" w:cs="Arial"/>
                <w:b/>
                <w:bCs/>
              </w:rPr>
              <w:t>Current Age of School</w:t>
            </w:r>
          </w:p>
        </w:tc>
        <w:tc>
          <w:tcPr>
            <w:tcW w:w="4215" w:type="dxa"/>
            <w:tcMar>
              <w:left w:w="105" w:type="dxa"/>
              <w:right w:w="105" w:type="dxa"/>
            </w:tcMar>
            <w:vAlign w:val="center"/>
          </w:tcPr>
          <w:p w14:paraId="6C588F64" w14:textId="50869DBD" w:rsidR="7F78A27A" w:rsidRDefault="7F78A27A" w:rsidP="7F78A27A">
            <w:pPr>
              <w:pStyle w:val="Table"/>
              <w:keepNext/>
              <w:jc w:val="left"/>
              <w:rPr>
                <w:rFonts w:ascii="Arial" w:eastAsia="Arial" w:hAnsi="Arial" w:cs="Arial"/>
              </w:rPr>
            </w:pPr>
            <w:r w:rsidRPr="7F78A27A">
              <w:rPr>
                <w:rFonts w:ascii="Arial" w:eastAsia="Arial" w:hAnsi="Arial" w:cs="Arial"/>
              </w:rPr>
              <w:t>13</w:t>
            </w:r>
          </w:p>
        </w:tc>
      </w:tr>
      <w:tr w:rsidR="7F78A27A" w14:paraId="2870DDDE" w14:textId="77777777" w:rsidTr="7F78A27A">
        <w:trPr>
          <w:trHeight w:val="300"/>
        </w:trPr>
        <w:tc>
          <w:tcPr>
            <w:tcW w:w="5115" w:type="dxa"/>
            <w:shd w:val="clear" w:color="auto" w:fill="F2F2F2" w:themeFill="background1" w:themeFillShade="F2"/>
            <w:tcMar>
              <w:left w:w="105" w:type="dxa"/>
              <w:right w:w="105" w:type="dxa"/>
            </w:tcMar>
          </w:tcPr>
          <w:p w14:paraId="122AAE12" w14:textId="5617F788" w:rsidR="7F78A27A" w:rsidRDefault="7F78A27A" w:rsidP="7F78A27A">
            <w:pPr>
              <w:pStyle w:val="Table"/>
              <w:keepNext/>
              <w:jc w:val="left"/>
              <w:rPr>
                <w:rFonts w:ascii="Arial" w:eastAsia="Arial" w:hAnsi="Arial" w:cs="Arial"/>
              </w:rPr>
            </w:pPr>
            <w:r w:rsidRPr="7F78A27A">
              <w:rPr>
                <w:rFonts w:ascii="Arial" w:eastAsia="Arial" w:hAnsi="Arial" w:cs="Arial"/>
                <w:b/>
                <w:bCs/>
              </w:rPr>
              <w:t>Maximum Enrollment</w:t>
            </w:r>
          </w:p>
        </w:tc>
        <w:tc>
          <w:tcPr>
            <w:tcW w:w="4215" w:type="dxa"/>
            <w:tcMar>
              <w:left w:w="105" w:type="dxa"/>
              <w:right w:w="105" w:type="dxa"/>
            </w:tcMar>
            <w:vAlign w:val="center"/>
          </w:tcPr>
          <w:p w14:paraId="1F3483FC" w14:textId="4ED3C281" w:rsidR="7F78A27A" w:rsidRDefault="7F78A27A" w:rsidP="7F78A27A">
            <w:pPr>
              <w:pStyle w:val="Table"/>
              <w:keepNext/>
              <w:jc w:val="left"/>
              <w:rPr>
                <w:rFonts w:ascii="Arial" w:eastAsia="Arial" w:hAnsi="Arial" w:cs="Arial"/>
              </w:rPr>
            </w:pPr>
            <w:r w:rsidRPr="7F78A27A">
              <w:rPr>
                <w:rFonts w:ascii="Arial" w:eastAsia="Arial" w:hAnsi="Arial" w:cs="Arial"/>
              </w:rPr>
              <w:t>1,200</w:t>
            </w:r>
          </w:p>
        </w:tc>
      </w:tr>
      <w:tr w:rsidR="7F78A27A" w14:paraId="02F6DC25" w14:textId="77777777" w:rsidTr="7F78A27A">
        <w:trPr>
          <w:trHeight w:val="300"/>
        </w:trPr>
        <w:tc>
          <w:tcPr>
            <w:tcW w:w="5115" w:type="dxa"/>
            <w:shd w:val="clear" w:color="auto" w:fill="F2F2F2" w:themeFill="background1" w:themeFillShade="F2"/>
            <w:tcMar>
              <w:left w:w="105" w:type="dxa"/>
              <w:right w:w="105" w:type="dxa"/>
            </w:tcMar>
          </w:tcPr>
          <w:p w14:paraId="004BEE9D" w14:textId="747F61DC" w:rsidR="7F78A27A" w:rsidRDefault="7F78A27A" w:rsidP="7F78A27A">
            <w:pPr>
              <w:pStyle w:val="Table"/>
              <w:keepNext/>
              <w:jc w:val="left"/>
              <w:rPr>
                <w:rFonts w:ascii="Arial" w:eastAsia="Arial" w:hAnsi="Arial" w:cs="Arial"/>
              </w:rPr>
            </w:pPr>
            <w:r w:rsidRPr="7F78A27A">
              <w:rPr>
                <w:rFonts w:ascii="Arial" w:eastAsia="Arial" w:hAnsi="Arial" w:cs="Arial"/>
                <w:b/>
                <w:bCs/>
              </w:rPr>
              <w:t>Enrollment (2025-26)</w:t>
            </w:r>
          </w:p>
        </w:tc>
        <w:tc>
          <w:tcPr>
            <w:tcW w:w="4215" w:type="dxa"/>
            <w:tcMar>
              <w:left w:w="105" w:type="dxa"/>
              <w:right w:w="105" w:type="dxa"/>
            </w:tcMar>
            <w:vAlign w:val="center"/>
          </w:tcPr>
          <w:p w14:paraId="3E48A271" w14:textId="0E77A465" w:rsidR="7F78A27A" w:rsidRDefault="7F78A27A" w:rsidP="7F78A27A">
            <w:pPr>
              <w:pStyle w:val="Table"/>
              <w:keepNext/>
              <w:jc w:val="left"/>
              <w:rPr>
                <w:rFonts w:ascii="Arial" w:eastAsia="Arial" w:hAnsi="Arial" w:cs="Arial"/>
              </w:rPr>
            </w:pPr>
            <w:r w:rsidRPr="7F78A27A">
              <w:rPr>
                <w:rFonts w:ascii="Arial" w:eastAsia="Arial" w:hAnsi="Arial" w:cs="Arial"/>
              </w:rPr>
              <w:t>1,185 (October 2025)</w:t>
            </w:r>
          </w:p>
        </w:tc>
      </w:tr>
      <w:tr w:rsidR="7F78A27A" w14:paraId="76884AD7" w14:textId="77777777" w:rsidTr="7F78A27A">
        <w:trPr>
          <w:trHeight w:val="300"/>
        </w:trPr>
        <w:tc>
          <w:tcPr>
            <w:tcW w:w="5115" w:type="dxa"/>
            <w:shd w:val="clear" w:color="auto" w:fill="F2F2F2" w:themeFill="background1" w:themeFillShade="F2"/>
            <w:tcMar>
              <w:left w:w="105" w:type="dxa"/>
              <w:right w:w="105" w:type="dxa"/>
            </w:tcMar>
          </w:tcPr>
          <w:p w14:paraId="770348AB" w14:textId="3B51B417" w:rsidR="7F78A27A" w:rsidRDefault="7F78A27A" w:rsidP="7F78A27A">
            <w:pPr>
              <w:pStyle w:val="Table"/>
              <w:keepNext/>
              <w:jc w:val="left"/>
              <w:rPr>
                <w:rFonts w:ascii="Arial" w:eastAsia="Arial" w:hAnsi="Arial" w:cs="Arial"/>
              </w:rPr>
            </w:pPr>
            <w:r w:rsidRPr="7F78A27A">
              <w:rPr>
                <w:rFonts w:ascii="Arial" w:eastAsia="Arial" w:hAnsi="Arial" w:cs="Arial"/>
                <w:b/>
                <w:bCs/>
              </w:rPr>
              <w:t>Grade Span</w:t>
            </w:r>
          </w:p>
        </w:tc>
        <w:tc>
          <w:tcPr>
            <w:tcW w:w="4215" w:type="dxa"/>
            <w:tcMar>
              <w:left w:w="105" w:type="dxa"/>
              <w:right w:w="105" w:type="dxa"/>
            </w:tcMar>
            <w:vAlign w:val="center"/>
          </w:tcPr>
          <w:p w14:paraId="2A921608" w14:textId="1E50230C" w:rsidR="7F78A27A" w:rsidRDefault="7F78A27A" w:rsidP="7F78A27A">
            <w:pPr>
              <w:pStyle w:val="Table"/>
              <w:keepNext/>
              <w:jc w:val="left"/>
              <w:rPr>
                <w:rFonts w:ascii="Arial" w:eastAsia="Arial" w:hAnsi="Arial" w:cs="Arial"/>
              </w:rPr>
            </w:pPr>
            <w:r w:rsidRPr="7F78A27A">
              <w:rPr>
                <w:rFonts w:ascii="Arial" w:eastAsia="Arial" w:hAnsi="Arial" w:cs="Arial"/>
              </w:rPr>
              <w:t>K-12</w:t>
            </w:r>
          </w:p>
        </w:tc>
      </w:tr>
      <w:tr w:rsidR="7F78A27A" w14:paraId="1825052D" w14:textId="77777777" w:rsidTr="7F78A27A">
        <w:trPr>
          <w:trHeight w:val="300"/>
        </w:trPr>
        <w:tc>
          <w:tcPr>
            <w:tcW w:w="5115" w:type="dxa"/>
            <w:shd w:val="clear" w:color="auto" w:fill="F2F2F2" w:themeFill="background1" w:themeFillShade="F2"/>
            <w:tcMar>
              <w:left w:w="105" w:type="dxa"/>
              <w:right w:w="105" w:type="dxa"/>
            </w:tcMar>
          </w:tcPr>
          <w:p w14:paraId="6ED869CD" w14:textId="121F5DA6" w:rsidR="7F78A27A" w:rsidRDefault="7F78A27A" w:rsidP="7F78A27A">
            <w:pPr>
              <w:pStyle w:val="Table"/>
              <w:keepNext/>
              <w:jc w:val="left"/>
              <w:rPr>
                <w:rFonts w:ascii="Arial" w:eastAsia="Arial" w:hAnsi="Arial" w:cs="Arial"/>
              </w:rPr>
            </w:pPr>
            <w:r w:rsidRPr="7F78A27A">
              <w:rPr>
                <w:rFonts w:ascii="Arial" w:eastAsia="Arial" w:hAnsi="Arial" w:cs="Arial"/>
                <w:b/>
                <w:bCs/>
              </w:rPr>
              <w:t>Students on Waitlist</w:t>
            </w:r>
          </w:p>
        </w:tc>
        <w:tc>
          <w:tcPr>
            <w:tcW w:w="4215" w:type="dxa"/>
            <w:tcMar>
              <w:left w:w="105" w:type="dxa"/>
              <w:right w:w="105" w:type="dxa"/>
            </w:tcMar>
            <w:vAlign w:val="center"/>
          </w:tcPr>
          <w:p w14:paraId="63BA86A4" w14:textId="2E861653" w:rsidR="7F78A27A" w:rsidRDefault="7F78A27A" w:rsidP="7F78A27A">
            <w:pPr>
              <w:pStyle w:val="Table"/>
              <w:keepNext/>
              <w:jc w:val="left"/>
              <w:rPr>
                <w:rFonts w:ascii="Arial" w:eastAsia="Arial" w:hAnsi="Arial" w:cs="Arial"/>
              </w:rPr>
            </w:pPr>
            <w:r w:rsidRPr="7F78A27A">
              <w:rPr>
                <w:rFonts w:ascii="Arial" w:eastAsia="Arial" w:hAnsi="Arial" w:cs="Arial"/>
              </w:rPr>
              <w:t>131 (October 2025)</w:t>
            </w:r>
          </w:p>
        </w:tc>
      </w:tr>
    </w:tbl>
    <w:p w14:paraId="7F937F2E" w14:textId="51F1320F" w:rsidR="00802713" w:rsidRDefault="00802713" w:rsidP="7F78A27A">
      <w:pPr>
        <w:rPr>
          <w:rFonts w:ascii="Arial" w:eastAsia="Arial" w:hAnsi="Arial" w:cs="Arial"/>
          <w:color w:val="000000" w:themeColor="text1"/>
        </w:rPr>
      </w:pPr>
    </w:p>
    <w:p w14:paraId="31F95E3F" w14:textId="69B5AF2A"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School History</w:t>
      </w:r>
    </w:p>
    <w:p w14:paraId="1431E670" w14:textId="0BCD099F"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The Department received an application on April 22, 2013, to establish a new CMVS (originally called Greenfield Commonwealth Virtual School) for the 2013-2014 school year. On June 24, 2013, the Board granted a three-year certificate to the board of trustees of GCVS, effective July 1, 2013, as required by Section 6 of Chapter 379 of the Acts of 2012. To assist GCVS in meeting the standards expected of a CMVS, the Board imposed several conditions on its certificate.</w:t>
      </w:r>
      <w:r w:rsidR="002505BD">
        <w:rPr>
          <w:rStyle w:val="FootnoteReference"/>
          <w:rFonts w:ascii="Arial" w:eastAsia="Arial" w:hAnsi="Arial" w:cs="Arial"/>
          <w:color w:val="000000" w:themeColor="text1"/>
        </w:rPr>
        <w:footnoteReference w:id="10"/>
      </w:r>
    </w:p>
    <w:p w14:paraId="6F66C7F5" w14:textId="53F6DAB3" w:rsidR="00802713" w:rsidRDefault="66880088" w:rsidP="7F78A27A">
      <w:pPr>
        <w:rPr>
          <w:rFonts w:ascii="Arial" w:eastAsia="Arial" w:hAnsi="Arial" w:cs="Arial"/>
          <w:color w:val="000000" w:themeColor="text1"/>
        </w:rPr>
      </w:pPr>
      <w:r w:rsidRPr="49738255">
        <w:rPr>
          <w:rFonts w:ascii="Arial" w:eastAsia="Arial" w:hAnsi="Arial" w:cs="Arial"/>
          <w:color w:val="000000" w:themeColor="text1"/>
        </w:rPr>
        <w:t>GCVS continued to have challenges resulting in further conditions and placing the school on probation. GCVS operated under probationary status from October 2014 until March 2019, with the Board modifying the conditions on the school’s certificate twice.</w:t>
      </w:r>
      <w:r w:rsidR="009A1757">
        <w:rPr>
          <w:rStyle w:val="FootnoteReference"/>
          <w:rFonts w:ascii="Arial" w:eastAsia="Arial" w:hAnsi="Arial" w:cs="Arial"/>
          <w:color w:val="000000" w:themeColor="text1"/>
        </w:rPr>
        <w:footnoteReference w:id="11"/>
      </w:r>
      <w:r w:rsidRPr="49738255">
        <w:rPr>
          <w:rFonts w:ascii="Arial" w:eastAsia="Arial" w:hAnsi="Arial" w:cs="Arial"/>
          <w:color w:val="000000" w:themeColor="text1"/>
        </w:rPr>
        <w:t xml:space="preserve"> Although the school was removed from probation in March 2019, a condition related to academic performance has been imposed on the school’s certificate since 2014. The condition was extended by the Board several times, most recently in 2025. The school has shown some academic improvement but has yet to show significant improvement. </w:t>
      </w:r>
    </w:p>
    <w:p w14:paraId="1A0E760E" w14:textId="4675A514" w:rsidR="00802713" w:rsidRDefault="00802713" w:rsidP="7F78A27A">
      <w:pPr>
        <w:rPr>
          <w:rFonts w:ascii="Arial" w:eastAsia="Arial" w:hAnsi="Arial" w:cs="Arial"/>
          <w:color w:val="000000" w:themeColor="text1"/>
        </w:rPr>
      </w:pPr>
    </w:p>
    <w:p w14:paraId="2D39EE91" w14:textId="32D842B2"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Progress Toward Meeting the Condition</w:t>
      </w:r>
    </w:p>
    <w:p w14:paraId="2E0F038A" w14:textId="59FEDB7C" w:rsidR="00802713" w:rsidRDefault="66880088" w:rsidP="7F78A27A">
      <w:pPr>
        <w:rPr>
          <w:rFonts w:ascii="Arial" w:eastAsia="Arial" w:hAnsi="Arial" w:cs="Arial"/>
          <w:color w:val="000000" w:themeColor="text1"/>
        </w:rPr>
      </w:pPr>
      <w:r w:rsidRPr="49738255">
        <w:rPr>
          <w:rFonts w:ascii="Arial" w:eastAsia="Arial" w:hAnsi="Arial" w:cs="Arial"/>
          <w:color w:val="000000" w:themeColor="text1"/>
        </w:rPr>
        <w:t xml:space="preserve">The existing condition and a summary of key evidence related to the condition follow. </w:t>
      </w:r>
    </w:p>
    <w:p w14:paraId="28745894" w14:textId="5444714D" w:rsidR="00802713" w:rsidRDefault="66880088" w:rsidP="7F78A27A">
      <w:pPr>
        <w:rPr>
          <w:rFonts w:ascii="Arial" w:eastAsia="Arial" w:hAnsi="Arial" w:cs="Arial"/>
          <w:color w:val="000000" w:themeColor="text1"/>
        </w:rPr>
      </w:pPr>
      <w:r w:rsidRPr="7F78A27A">
        <w:rPr>
          <w:rFonts w:ascii="Arial" w:eastAsia="Arial" w:hAnsi="Arial" w:cs="Arial"/>
          <w:b/>
          <w:bCs/>
          <w:color w:val="000000" w:themeColor="text1"/>
        </w:rPr>
        <w:t>Condition:</w:t>
      </w:r>
      <w:r w:rsidRPr="7F78A27A">
        <w:rPr>
          <w:rFonts w:ascii="Arial" w:eastAsia="Arial" w:hAnsi="Arial" w:cs="Arial"/>
          <w:color w:val="000000" w:themeColor="text1"/>
        </w:rPr>
        <w:t xml:space="preserve"> By December 31, 2025, the school must demonstrate that it is an academic success by providing evidence of significant and sustained academic improvement in mathematics, English language arts, and science for all students and all student subgroups.  </w:t>
      </w:r>
    </w:p>
    <w:p w14:paraId="67868829" w14:textId="280AE548" w:rsidR="00802713" w:rsidRDefault="66880088" w:rsidP="7F78A27A">
      <w:pPr>
        <w:rPr>
          <w:rFonts w:ascii="Arial" w:eastAsia="Arial" w:hAnsi="Arial" w:cs="Arial"/>
          <w:color w:val="000000" w:themeColor="text1"/>
        </w:rPr>
      </w:pPr>
      <w:r w:rsidRPr="7F78A27A">
        <w:rPr>
          <w:rFonts w:ascii="Arial" w:eastAsia="Arial" w:hAnsi="Arial" w:cs="Arial"/>
          <w:b/>
          <w:bCs/>
          <w:color w:val="000000" w:themeColor="text1"/>
        </w:rPr>
        <w:t>Status: Not Met</w:t>
      </w:r>
    </w:p>
    <w:p w14:paraId="189D770D" w14:textId="604944E2" w:rsidR="00802713" w:rsidRDefault="66880088" w:rsidP="7F78A27A">
      <w:pPr>
        <w:ind w:left="720"/>
        <w:rPr>
          <w:rFonts w:ascii="Arial" w:eastAsia="Arial" w:hAnsi="Arial" w:cs="Arial"/>
          <w:color w:val="000000" w:themeColor="text1"/>
        </w:rPr>
      </w:pPr>
      <w:r w:rsidRPr="7F78A27A">
        <w:rPr>
          <w:rFonts w:ascii="Arial" w:eastAsia="Arial" w:hAnsi="Arial" w:cs="Arial"/>
          <w:color w:val="000000" w:themeColor="text1"/>
        </w:rPr>
        <w:t xml:space="preserve">During the school’s certificate term, GCVS has demonstrated some academic improvement and has yet to show sustained improvement. The school’s accountability percentile was 20 in 2023, 27 in 2024, and 28 in 2025. From 2023 through 2025, the Department classified the school as requiring assistance or intervention due to its low graduation rate and low MCAS participation rates. The school made substantial progress toward targets in 2023 and 2024 and moderate progress toward targets in 2025. From 2023 through 2025, school results demonstrate a decline in progress toward achievement targets in English language arts and mathematics for students in grade 10. </w:t>
      </w:r>
    </w:p>
    <w:p w14:paraId="11467307" w14:textId="770F871E" w:rsidR="00802713" w:rsidRDefault="66880088" w:rsidP="7F78A27A">
      <w:pPr>
        <w:ind w:left="720"/>
        <w:rPr>
          <w:rFonts w:ascii="Arial" w:eastAsia="Arial" w:hAnsi="Arial" w:cs="Arial"/>
          <w:color w:val="000000" w:themeColor="text1"/>
        </w:rPr>
      </w:pPr>
      <w:r w:rsidRPr="7F78A27A">
        <w:rPr>
          <w:rFonts w:ascii="Arial" w:eastAsia="Arial" w:hAnsi="Arial" w:cs="Arial"/>
          <w:color w:val="000000" w:themeColor="text1"/>
        </w:rPr>
        <w:t xml:space="preserve">While the Department uses any statewide assessment data available to assess the academic performance of Commonwealth virtual schools, the Department also requires Commonwealth virtual schools to submit evidence of academic success from non-statewide assessments. At a minimum, Commonwealth virtual schools must develop academic goals for non-statewide assessments in their Accountability Plans that will allow them to illustrate a track record of academic success during the certificate term. GCVS developed four-year goals in its Accountability Plan related to students either meeting their student growth percentile (SGP) goal or demonstrating grade-level equivalent (GLE) growth. The school met its goals in its Accountability Plan related to academic performance and provided some evidence of positive academic outcomes. The school reported that during the 2024-25 school year, 95 percent of students either met their SGP goal or demonstrated GLE growth in reading and 93 percent of students either met their SGP goal or demonstrated GLE growth in mathematics. </w:t>
      </w:r>
    </w:p>
    <w:p w14:paraId="32D0D154" w14:textId="0A101A77" w:rsidR="00802713" w:rsidRDefault="00802713" w:rsidP="7F78A27A">
      <w:pPr>
        <w:rPr>
          <w:rFonts w:ascii="Arial" w:eastAsia="Arial" w:hAnsi="Arial" w:cs="Arial"/>
          <w:color w:val="000000" w:themeColor="text1"/>
        </w:rPr>
      </w:pPr>
    </w:p>
    <w:p w14:paraId="60BDD333" w14:textId="1E1832DA"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 xml:space="preserve">GCVS Renewal: Summary of Performance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889"/>
        <w:gridCol w:w="1455"/>
      </w:tblGrid>
      <w:tr w:rsidR="7F78A27A" w14:paraId="226967E5" w14:textId="77777777" w:rsidTr="7F78A27A">
        <w:trPr>
          <w:trHeight w:val="300"/>
        </w:trPr>
        <w:tc>
          <w:tcPr>
            <w:tcW w:w="7890" w:type="dxa"/>
            <w:shd w:val="clear" w:color="auto" w:fill="BFBFBF" w:themeFill="background1" w:themeFillShade="BF"/>
            <w:tcMar>
              <w:left w:w="105" w:type="dxa"/>
              <w:right w:w="105" w:type="dxa"/>
            </w:tcMar>
          </w:tcPr>
          <w:p w14:paraId="6AB86F7F" w14:textId="79ACA915" w:rsidR="7F78A27A" w:rsidRDefault="7F78A27A" w:rsidP="7F78A27A">
            <w:pPr>
              <w:spacing w:before="60" w:after="60"/>
              <w:rPr>
                <w:rFonts w:ascii="Arial" w:eastAsia="Arial" w:hAnsi="Arial" w:cs="Arial"/>
              </w:rPr>
            </w:pPr>
            <w:r w:rsidRPr="7F78A27A">
              <w:rPr>
                <w:rFonts w:ascii="Arial" w:eastAsia="Arial" w:hAnsi="Arial" w:cs="Arial"/>
                <w:b/>
                <w:bCs/>
              </w:rPr>
              <w:t>Criteria</w:t>
            </w:r>
          </w:p>
        </w:tc>
        <w:tc>
          <w:tcPr>
            <w:tcW w:w="1455" w:type="dxa"/>
            <w:shd w:val="clear" w:color="auto" w:fill="BFBFBF" w:themeFill="background1" w:themeFillShade="BF"/>
            <w:tcMar>
              <w:left w:w="105" w:type="dxa"/>
              <w:right w:w="105" w:type="dxa"/>
            </w:tcMar>
          </w:tcPr>
          <w:p w14:paraId="4524411C" w14:textId="4030D8DF" w:rsidR="7F78A27A" w:rsidRDefault="7F78A27A" w:rsidP="7F78A27A">
            <w:pPr>
              <w:spacing w:before="60" w:after="60"/>
              <w:jc w:val="center"/>
              <w:rPr>
                <w:rFonts w:ascii="Arial" w:eastAsia="Arial" w:hAnsi="Arial" w:cs="Arial"/>
              </w:rPr>
            </w:pPr>
            <w:r w:rsidRPr="7F78A27A">
              <w:rPr>
                <w:rFonts w:ascii="Arial" w:eastAsia="Arial" w:hAnsi="Arial" w:cs="Arial"/>
                <w:b/>
                <w:bCs/>
              </w:rPr>
              <w:t>Rating</w:t>
            </w:r>
            <w:r w:rsidR="008368E6">
              <w:rPr>
                <w:rStyle w:val="FootnoteReference"/>
                <w:rFonts w:ascii="Arial" w:eastAsia="Arial" w:hAnsi="Arial" w:cs="Arial"/>
                <w:b/>
                <w:bCs/>
              </w:rPr>
              <w:footnoteReference w:id="12"/>
            </w:r>
          </w:p>
        </w:tc>
      </w:tr>
      <w:tr w:rsidR="7F78A27A" w14:paraId="223FB235" w14:textId="77777777" w:rsidTr="7F78A27A">
        <w:trPr>
          <w:trHeight w:val="300"/>
        </w:trPr>
        <w:tc>
          <w:tcPr>
            <w:tcW w:w="7890" w:type="dxa"/>
            <w:tcMar>
              <w:left w:w="105" w:type="dxa"/>
              <w:right w:w="105" w:type="dxa"/>
            </w:tcMar>
          </w:tcPr>
          <w:p w14:paraId="158368C1" w14:textId="1787A197" w:rsidR="7F78A27A" w:rsidRDefault="7F78A27A" w:rsidP="7F78A27A">
            <w:pPr>
              <w:spacing w:before="60" w:after="60"/>
              <w:rPr>
                <w:rFonts w:ascii="Arial" w:eastAsia="Arial" w:hAnsi="Arial" w:cs="Arial"/>
              </w:rPr>
            </w:pPr>
            <w:r w:rsidRPr="7F78A27A">
              <w:rPr>
                <w:rFonts w:ascii="Arial" w:eastAsia="Arial" w:hAnsi="Arial" w:cs="Arial"/>
                <w:b/>
                <w:bCs/>
              </w:rPr>
              <w:t>Criterion 1: Mission and Terms of the Certificate</w:t>
            </w:r>
          </w:p>
          <w:p w14:paraId="6B5E19CD" w14:textId="48E0A717" w:rsidR="7F78A27A" w:rsidRDefault="7F78A27A" w:rsidP="7F78A27A">
            <w:pPr>
              <w:spacing w:before="60" w:after="60"/>
              <w:rPr>
                <w:rFonts w:ascii="Arial" w:eastAsia="Arial" w:hAnsi="Arial" w:cs="Arial"/>
              </w:rPr>
            </w:pPr>
            <w:r w:rsidRPr="7F78A27A">
              <w:rPr>
                <w:rFonts w:ascii="Arial" w:eastAsia="Arial" w:hAnsi="Arial" w:cs="Arial"/>
              </w:rPr>
              <w:t xml:space="preserve">Throughout the certificate term, GCVS achieved partial success in accomplishing the school’s mission and is mostly implementing the school’s educational program, instructional methodology, and services for students articulated in the certificate. </w:t>
            </w:r>
          </w:p>
        </w:tc>
        <w:tc>
          <w:tcPr>
            <w:tcW w:w="1455" w:type="dxa"/>
            <w:tcMar>
              <w:left w:w="105" w:type="dxa"/>
              <w:right w:w="105" w:type="dxa"/>
            </w:tcMar>
            <w:vAlign w:val="center"/>
          </w:tcPr>
          <w:p w14:paraId="226D51BF" w14:textId="348E36FB" w:rsidR="7F78A27A" w:rsidRDefault="7F78A27A" w:rsidP="7F78A27A">
            <w:pPr>
              <w:spacing w:before="60" w:after="60"/>
              <w:jc w:val="center"/>
              <w:rPr>
                <w:rFonts w:ascii="Arial" w:eastAsia="Arial" w:hAnsi="Arial" w:cs="Arial"/>
              </w:rPr>
            </w:pPr>
            <w:r w:rsidRPr="7F78A27A">
              <w:rPr>
                <w:rFonts w:ascii="Arial" w:eastAsia="Arial" w:hAnsi="Arial" w:cs="Arial"/>
              </w:rPr>
              <w:t>Partially Meets</w:t>
            </w:r>
          </w:p>
        </w:tc>
      </w:tr>
      <w:tr w:rsidR="7F78A27A" w14:paraId="411A9B7B" w14:textId="77777777" w:rsidTr="7F78A27A">
        <w:trPr>
          <w:trHeight w:val="300"/>
        </w:trPr>
        <w:tc>
          <w:tcPr>
            <w:tcW w:w="7890" w:type="dxa"/>
            <w:tcMar>
              <w:left w:w="105" w:type="dxa"/>
              <w:right w:w="105" w:type="dxa"/>
            </w:tcMar>
          </w:tcPr>
          <w:p w14:paraId="37ECF0F7" w14:textId="5650AC30" w:rsidR="7F78A27A" w:rsidRDefault="7F78A27A" w:rsidP="7F78A27A">
            <w:pPr>
              <w:spacing w:before="60" w:after="60"/>
              <w:rPr>
                <w:rFonts w:ascii="Arial" w:eastAsia="Arial" w:hAnsi="Arial" w:cs="Arial"/>
              </w:rPr>
            </w:pPr>
            <w:r w:rsidRPr="7F78A27A">
              <w:rPr>
                <w:rFonts w:ascii="Arial" w:eastAsia="Arial" w:hAnsi="Arial" w:cs="Arial"/>
                <w:b/>
                <w:bCs/>
              </w:rPr>
              <w:t>Criterion 2: Access and Equity</w:t>
            </w:r>
          </w:p>
          <w:p w14:paraId="2671C7A5" w14:textId="4904EE30" w:rsidR="7F78A27A" w:rsidRDefault="7F78A27A" w:rsidP="7F78A27A">
            <w:pPr>
              <w:spacing w:before="60" w:after="60"/>
              <w:rPr>
                <w:rFonts w:ascii="Arial" w:eastAsia="Arial" w:hAnsi="Arial" w:cs="Arial"/>
              </w:rPr>
            </w:pPr>
            <w:r w:rsidRPr="7F78A27A">
              <w:rPr>
                <w:rFonts w:ascii="Arial" w:eastAsia="Arial" w:hAnsi="Arial" w:cs="Arial"/>
              </w:rPr>
              <w:t>The school ensures access and equity for all students who attend and who are eligible to attend. The school defined attendance requirements and developed a process to monitor student attendance. The school uses active strategies from its Recruitment and Retention Plan to successfully enroll and retain students from all target populations specified in the certificate.</w:t>
            </w:r>
          </w:p>
        </w:tc>
        <w:tc>
          <w:tcPr>
            <w:tcW w:w="1455" w:type="dxa"/>
            <w:tcMar>
              <w:left w:w="105" w:type="dxa"/>
              <w:right w:w="105" w:type="dxa"/>
            </w:tcMar>
            <w:vAlign w:val="center"/>
          </w:tcPr>
          <w:p w14:paraId="0C26C8AF" w14:textId="4BAD4744" w:rsidR="7F78A27A" w:rsidRDefault="7F78A27A" w:rsidP="7F78A27A">
            <w:pPr>
              <w:spacing w:before="60" w:after="60"/>
              <w:jc w:val="center"/>
              <w:rPr>
                <w:rFonts w:ascii="Arial" w:eastAsia="Arial" w:hAnsi="Arial" w:cs="Arial"/>
              </w:rPr>
            </w:pPr>
            <w:r w:rsidRPr="7F78A27A">
              <w:rPr>
                <w:rFonts w:ascii="Arial" w:eastAsia="Arial" w:hAnsi="Arial" w:cs="Arial"/>
              </w:rPr>
              <w:t>Meets</w:t>
            </w:r>
          </w:p>
        </w:tc>
      </w:tr>
      <w:tr w:rsidR="7F78A27A" w14:paraId="6F7AF155" w14:textId="77777777" w:rsidTr="7F78A27A">
        <w:trPr>
          <w:trHeight w:val="300"/>
        </w:trPr>
        <w:tc>
          <w:tcPr>
            <w:tcW w:w="7890" w:type="dxa"/>
            <w:tcMar>
              <w:left w:w="105" w:type="dxa"/>
              <w:right w:w="105" w:type="dxa"/>
            </w:tcMar>
          </w:tcPr>
          <w:p w14:paraId="44400D10" w14:textId="55AEAF9C" w:rsidR="7F78A27A" w:rsidRDefault="7F78A27A" w:rsidP="7F78A27A">
            <w:pPr>
              <w:spacing w:before="60" w:after="60"/>
              <w:rPr>
                <w:rFonts w:ascii="Arial" w:eastAsia="Arial" w:hAnsi="Arial" w:cs="Arial"/>
              </w:rPr>
            </w:pPr>
            <w:r w:rsidRPr="7F78A27A">
              <w:rPr>
                <w:rFonts w:ascii="Arial" w:eastAsia="Arial" w:hAnsi="Arial" w:cs="Arial"/>
                <w:b/>
                <w:bCs/>
              </w:rPr>
              <w:t>Criterion 3: Compliance</w:t>
            </w:r>
          </w:p>
          <w:p w14:paraId="432E0360" w14:textId="0591B752" w:rsidR="7F78A27A" w:rsidRDefault="7F78A27A" w:rsidP="7F78A27A">
            <w:pPr>
              <w:spacing w:before="60" w:after="60"/>
              <w:rPr>
                <w:rFonts w:ascii="Arial" w:eastAsia="Arial" w:hAnsi="Arial" w:cs="Arial"/>
              </w:rPr>
            </w:pPr>
            <w:r w:rsidRPr="7F78A27A">
              <w:rPr>
                <w:rFonts w:ascii="Arial" w:eastAsia="Arial" w:hAnsi="Arial" w:cs="Arial"/>
              </w:rPr>
              <w:t xml:space="preserve">The school is in compliance with program requirements as determined by monitoring reviews. The Department’s Special Education Planning and Policy (SEPP) Office determined the school met the requirements for special education during most years of its certificate. The board of trustees operates in a manner that is not fully in compliance with Open Meeting Law (OML). </w:t>
            </w:r>
          </w:p>
        </w:tc>
        <w:tc>
          <w:tcPr>
            <w:tcW w:w="1455" w:type="dxa"/>
            <w:tcMar>
              <w:left w:w="105" w:type="dxa"/>
              <w:right w:w="105" w:type="dxa"/>
            </w:tcMar>
            <w:vAlign w:val="center"/>
          </w:tcPr>
          <w:p w14:paraId="0E0887AC" w14:textId="2CFCC6AB" w:rsidR="7F78A27A" w:rsidRDefault="7F78A27A" w:rsidP="7F78A27A">
            <w:pPr>
              <w:spacing w:before="60" w:after="60"/>
              <w:jc w:val="center"/>
              <w:rPr>
                <w:rFonts w:ascii="Arial" w:eastAsia="Arial" w:hAnsi="Arial" w:cs="Arial"/>
              </w:rPr>
            </w:pPr>
            <w:r w:rsidRPr="7F78A27A">
              <w:rPr>
                <w:rFonts w:ascii="Arial" w:eastAsia="Arial" w:hAnsi="Arial" w:cs="Arial"/>
              </w:rPr>
              <w:t>Not Rated</w:t>
            </w:r>
            <w:r w:rsidR="00A56878">
              <w:rPr>
                <w:rStyle w:val="FootnoteReference"/>
                <w:rFonts w:ascii="Arial" w:eastAsia="Arial" w:hAnsi="Arial" w:cs="Arial"/>
              </w:rPr>
              <w:footnoteReference w:id="13"/>
            </w:r>
          </w:p>
        </w:tc>
      </w:tr>
      <w:tr w:rsidR="7F78A27A" w14:paraId="6E461B80" w14:textId="77777777" w:rsidTr="7F78A27A">
        <w:trPr>
          <w:trHeight w:val="300"/>
        </w:trPr>
        <w:tc>
          <w:tcPr>
            <w:tcW w:w="7890" w:type="dxa"/>
            <w:tcMar>
              <w:left w:w="105" w:type="dxa"/>
              <w:right w:w="105" w:type="dxa"/>
            </w:tcMar>
          </w:tcPr>
          <w:p w14:paraId="427679D4" w14:textId="049532A0" w:rsidR="7F78A27A" w:rsidRDefault="7F78A27A" w:rsidP="7F78A27A">
            <w:pPr>
              <w:spacing w:before="60" w:after="60"/>
              <w:rPr>
                <w:rFonts w:ascii="Arial" w:eastAsia="Arial" w:hAnsi="Arial" w:cs="Arial"/>
              </w:rPr>
            </w:pPr>
            <w:r w:rsidRPr="7F78A27A">
              <w:rPr>
                <w:rFonts w:ascii="Arial" w:eastAsia="Arial" w:hAnsi="Arial" w:cs="Arial"/>
                <w:b/>
                <w:bCs/>
              </w:rPr>
              <w:t>Criterion 4: Student Performance</w:t>
            </w:r>
          </w:p>
          <w:p w14:paraId="3B66A5BB" w14:textId="03A21F17" w:rsidR="7F78A27A" w:rsidRDefault="7F78A27A" w:rsidP="7F78A27A">
            <w:pPr>
              <w:pStyle w:val="ListParagraph"/>
              <w:numPr>
                <w:ilvl w:val="0"/>
                <w:numId w:val="1"/>
              </w:numPr>
              <w:spacing w:before="60" w:after="60"/>
              <w:rPr>
                <w:rFonts w:ascii="Arial" w:eastAsia="Arial" w:hAnsi="Arial" w:cs="Arial"/>
              </w:rPr>
            </w:pPr>
            <w:r w:rsidRPr="7F78A27A">
              <w:rPr>
                <w:rFonts w:ascii="Arial" w:eastAsia="Arial" w:hAnsi="Arial" w:cs="Arial"/>
                <w:b/>
                <w:bCs/>
              </w:rPr>
              <w:t>Progress Toward Improvement Targets:</w:t>
            </w:r>
            <w:r w:rsidRPr="7F78A27A">
              <w:rPr>
                <w:rFonts w:ascii="Arial" w:eastAsia="Arial" w:hAnsi="Arial" w:cs="Arial"/>
              </w:rPr>
              <w:t xml:space="preserve"> 43% - Moderate progress toward targets</w:t>
            </w:r>
          </w:p>
          <w:p w14:paraId="429C5DBD" w14:textId="6EBC4B0D" w:rsidR="7F78A27A" w:rsidRDefault="7F78A27A" w:rsidP="7F78A27A">
            <w:pPr>
              <w:pStyle w:val="ListParagraph"/>
              <w:numPr>
                <w:ilvl w:val="0"/>
                <w:numId w:val="1"/>
              </w:numPr>
              <w:spacing w:before="60" w:after="60"/>
              <w:rPr>
                <w:rFonts w:ascii="Arial" w:eastAsia="Arial" w:hAnsi="Arial" w:cs="Arial"/>
              </w:rPr>
            </w:pPr>
            <w:r w:rsidRPr="7F78A27A">
              <w:rPr>
                <w:rFonts w:ascii="Arial" w:eastAsia="Arial" w:hAnsi="Arial" w:cs="Arial"/>
                <w:b/>
                <w:bCs/>
              </w:rPr>
              <w:t>2025 Accountability Percentile:</w:t>
            </w:r>
            <w:r w:rsidRPr="7F78A27A">
              <w:rPr>
                <w:rFonts w:ascii="Arial" w:eastAsia="Arial" w:hAnsi="Arial" w:cs="Arial"/>
              </w:rPr>
              <w:t xml:space="preserve"> 28</w:t>
            </w:r>
          </w:p>
        </w:tc>
        <w:tc>
          <w:tcPr>
            <w:tcW w:w="1455" w:type="dxa"/>
            <w:tcMar>
              <w:left w:w="105" w:type="dxa"/>
              <w:right w:w="105" w:type="dxa"/>
            </w:tcMar>
            <w:vAlign w:val="center"/>
          </w:tcPr>
          <w:p w14:paraId="561CE184" w14:textId="7549BC2D" w:rsidR="7F78A27A" w:rsidRDefault="7F78A27A" w:rsidP="7F78A27A">
            <w:pPr>
              <w:spacing w:before="60" w:after="60"/>
              <w:jc w:val="center"/>
              <w:rPr>
                <w:rFonts w:ascii="Arial" w:eastAsia="Arial" w:hAnsi="Arial" w:cs="Arial"/>
              </w:rPr>
            </w:pPr>
            <w:r w:rsidRPr="7F78A27A">
              <w:rPr>
                <w:rFonts w:ascii="Arial" w:eastAsia="Arial" w:hAnsi="Arial" w:cs="Arial"/>
              </w:rPr>
              <w:t>Requiring assistance or intervention</w:t>
            </w:r>
          </w:p>
        </w:tc>
      </w:tr>
      <w:tr w:rsidR="7F78A27A" w14:paraId="52576518" w14:textId="77777777" w:rsidTr="7F78A27A">
        <w:trPr>
          <w:trHeight w:val="60"/>
        </w:trPr>
        <w:tc>
          <w:tcPr>
            <w:tcW w:w="7890" w:type="dxa"/>
            <w:tcMar>
              <w:left w:w="105" w:type="dxa"/>
              <w:right w:w="105" w:type="dxa"/>
            </w:tcMar>
          </w:tcPr>
          <w:p w14:paraId="7BC760B4" w14:textId="5C8B73D5" w:rsidR="7F78A27A" w:rsidRDefault="7F78A27A" w:rsidP="7F78A27A">
            <w:pPr>
              <w:spacing w:before="60" w:after="60"/>
              <w:rPr>
                <w:rFonts w:ascii="Arial" w:eastAsia="Arial" w:hAnsi="Arial" w:cs="Arial"/>
              </w:rPr>
            </w:pPr>
            <w:r w:rsidRPr="7F78A27A">
              <w:rPr>
                <w:rFonts w:ascii="Arial" w:eastAsia="Arial" w:hAnsi="Arial" w:cs="Arial"/>
                <w:b/>
                <w:bCs/>
              </w:rPr>
              <w:t>Key Indicator 5.1: Curriculum and Course Design</w:t>
            </w:r>
          </w:p>
          <w:p w14:paraId="29A1CD44" w14:textId="3A3008F6" w:rsidR="7F78A27A" w:rsidRDefault="7F78A27A" w:rsidP="7F78A27A">
            <w:pPr>
              <w:spacing w:before="60" w:after="60"/>
              <w:rPr>
                <w:rFonts w:ascii="Arial" w:eastAsia="Arial" w:hAnsi="Arial" w:cs="Arial"/>
              </w:rPr>
            </w:pPr>
            <w:r w:rsidRPr="7F78A27A">
              <w:rPr>
                <w:rFonts w:ascii="Arial" w:eastAsia="Arial" w:hAnsi="Arial" w:cs="Arial"/>
              </w:rPr>
              <w:t xml:space="preserve">The school’s curriculum is somewhat aligned to statewide curriculum frameworks, but the school continues to review and revise its curriculum and course design to deliver a high-quality academic program. </w:t>
            </w:r>
          </w:p>
        </w:tc>
        <w:tc>
          <w:tcPr>
            <w:tcW w:w="1455" w:type="dxa"/>
            <w:tcMar>
              <w:left w:w="105" w:type="dxa"/>
              <w:right w:w="105" w:type="dxa"/>
            </w:tcMar>
            <w:vAlign w:val="center"/>
          </w:tcPr>
          <w:p w14:paraId="18F0CC90" w14:textId="7F2DF24A" w:rsidR="7F78A27A" w:rsidRDefault="7F78A27A" w:rsidP="7F78A27A">
            <w:pPr>
              <w:spacing w:before="60" w:after="60"/>
              <w:jc w:val="center"/>
              <w:rPr>
                <w:rFonts w:ascii="Arial" w:eastAsia="Arial" w:hAnsi="Arial" w:cs="Arial"/>
              </w:rPr>
            </w:pPr>
            <w:r w:rsidRPr="7F78A27A">
              <w:rPr>
                <w:rFonts w:ascii="Arial" w:eastAsia="Arial" w:hAnsi="Arial" w:cs="Arial"/>
              </w:rPr>
              <w:t>Partially Meets</w:t>
            </w:r>
          </w:p>
        </w:tc>
      </w:tr>
      <w:tr w:rsidR="7F78A27A" w14:paraId="61DCBDFA" w14:textId="77777777" w:rsidTr="7F78A27A">
        <w:trPr>
          <w:trHeight w:val="60"/>
        </w:trPr>
        <w:tc>
          <w:tcPr>
            <w:tcW w:w="7890" w:type="dxa"/>
            <w:tcMar>
              <w:left w:w="105" w:type="dxa"/>
              <w:right w:w="105" w:type="dxa"/>
            </w:tcMar>
          </w:tcPr>
          <w:p w14:paraId="48F038A7" w14:textId="3FB2C231" w:rsidR="7F78A27A" w:rsidRDefault="7F78A27A" w:rsidP="7F78A27A">
            <w:pPr>
              <w:spacing w:before="60" w:after="60"/>
              <w:rPr>
                <w:rFonts w:ascii="Arial" w:eastAsia="Arial" w:hAnsi="Arial" w:cs="Arial"/>
              </w:rPr>
            </w:pPr>
            <w:r w:rsidRPr="7F78A27A">
              <w:rPr>
                <w:rFonts w:ascii="Arial" w:eastAsia="Arial" w:hAnsi="Arial" w:cs="Arial"/>
                <w:b/>
                <w:bCs/>
              </w:rPr>
              <w:t>Key Indicator 5.2: Instruction</w:t>
            </w:r>
          </w:p>
          <w:p w14:paraId="49E9FDAB" w14:textId="21DEB39F" w:rsidR="7F78A27A" w:rsidRDefault="7F78A27A" w:rsidP="7F78A27A">
            <w:pPr>
              <w:spacing w:before="60" w:after="60"/>
              <w:rPr>
                <w:rFonts w:ascii="Arial" w:eastAsia="Arial" w:hAnsi="Arial" w:cs="Arial"/>
              </w:rPr>
            </w:pPr>
            <w:r w:rsidRPr="7F78A27A">
              <w:rPr>
                <w:rFonts w:ascii="Arial" w:eastAsia="Arial" w:hAnsi="Arial" w:cs="Arial"/>
              </w:rPr>
              <w:t xml:space="preserve">The school achieved partial success in implementing high-quality virtual teaching practices. </w:t>
            </w:r>
          </w:p>
        </w:tc>
        <w:tc>
          <w:tcPr>
            <w:tcW w:w="1455" w:type="dxa"/>
            <w:tcMar>
              <w:left w:w="105" w:type="dxa"/>
              <w:right w:w="105" w:type="dxa"/>
            </w:tcMar>
            <w:vAlign w:val="center"/>
          </w:tcPr>
          <w:p w14:paraId="5E2E21FC" w14:textId="07D8DC18" w:rsidR="7F78A27A" w:rsidRDefault="7F78A27A" w:rsidP="7F78A27A">
            <w:pPr>
              <w:spacing w:before="60" w:after="60"/>
              <w:jc w:val="center"/>
              <w:rPr>
                <w:rFonts w:ascii="Arial" w:eastAsia="Arial" w:hAnsi="Arial" w:cs="Arial"/>
              </w:rPr>
            </w:pPr>
            <w:r w:rsidRPr="7F78A27A">
              <w:rPr>
                <w:rFonts w:ascii="Arial" w:eastAsia="Arial" w:hAnsi="Arial" w:cs="Arial"/>
              </w:rPr>
              <w:t>Partially Meets</w:t>
            </w:r>
          </w:p>
        </w:tc>
      </w:tr>
      <w:tr w:rsidR="7F78A27A" w14:paraId="5D223CF4" w14:textId="77777777" w:rsidTr="7F78A27A">
        <w:trPr>
          <w:trHeight w:val="60"/>
        </w:trPr>
        <w:tc>
          <w:tcPr>
            <w:tcW w:w="7890" w:type="dxa"/>
            <w:tcMar>
              <w:left w:w="105" w:type="dxa"/>
              <w:right w:w="105" w:type="dxa"/>
            </w:tcMar>
          </w:tcPr>
          <w:p w14:paraId="07268E98" w14:textId="53E7B423" w:rsidR="7F78A27A" w:rsidRDefault="7F78A27A" w:rsidP="7F78A27A">
            <w:pPr>
              <w:spacing w:before="60" w:after="60"/>
              <w:rPr>
                <w:rFonts w:ascii="Arial" w:eastAsia="Arial" w:hAnsi="Arial" w:cs="Arial"/>
              </w:rPr>
            </w:pPr>
            <w:r w:rsidRPr="7F78A27A">
              <w:rPr>
                <w:rFonts w:ascii="Arial" w:eastAsia="Arial" w:hAnsi="Arial" w:cs="Arial"/>
                <w:b/>
                <w:bCs/>
              </w:rPr>
              <w:t>Key Indicator 5.4: Supports for All Learners</w:t>
            </w:r>
          </w:p>
          <w:p w14:paraId="17339542" w14:textId="3F98A32D" w:rsidR="7F78A27A" w:rsidRDefault="7F78A27A" w:rsidP="7F78A27A">
            <w:pPr>
              <w:spacing w:before="60" w:after="60"/>
              <w:rPr>
                <w:rFonts w:ascii="Arial" w:eastAsia="Arial" w:hAnsi="Arial" w:cs="Arial"/>
              </w:rPr>
            </w:pPr>
            <w:r w:rsidRPr="7F78A27A">
              <w:rPr>
                <w:rFonts w:ascii="Arial" w:eastAsia="Arial" w:hAnsi="Arial" w:cs="Arial"/>
              </w:rPr>
              <w:t xml:space="preserve">The school’s tiered support model is not consistently implemented to deliver a high-quality academic program that meets the academic, behavioral, and social-emotional needs of all students. </w:t>
            </w:r>
          </w:p>
        </w:tc>
        <w:tc>
          <w:tcPr>
            <w:tcW w:w="1455" w:type="dxa"/>
            <w:tcMar>
              <w:left w:w="105" w:type="dxa"/>
              <w:right w:w="105" w:type="dxa"/>
            </w:tcMar>
            <w:vAlign w:val="center"/>
          </w:tcPr>
          <w:p w14:paraId="7623FB26" w14:textId="1A8C158F" w:rsidR="7F78A27A" w:rsidRDefault="7F78A27A" w:rsidP="7F78A27A">
            <w:pPr>
              <w:spacing w:before="60" w:after="60"/>
              <w:jc w:val="center"/>
              <w:rPr>
                <w:rFonts w:ascii="Arial" w:eastAsia="Arial" w:hAnsi="Arial" w:cs="Arial"/>
              </w:rPr>
            </w:pPr>
            <w:r w:rsidRPr="7F78A27A">
              <w:rPr>
                <w:rFonts w:ascii="Arial" w:eastAsia="Arial" w:hAnsi="Arial" w:cs="Arial"/>
              </w:rPr>
              <w:t>Partially Meets</w:t>
            </w:r>
          </w:p>
        </w:tc>
      </w:tr>
      <w:tr w:rsidR="7F78A27A" w14:paraId="59E771BD" w14:textId="77777777" w:rsidTr="7F78A27A">
        <w:trPr>
          <w:trHeight w:val="60"/>
        </w:trPr>
        <w:tc>
          <w:tcPr>
            <w:tcW w:w="7890" w:type="dxa"/>
            <w:tcMar>
              <w:left w:w="105" w:type="dxa"/>
              <w:right w:w="105" w:type="dxa"/>
            </w:tcMar>
          </w:tcPr>
          <w:p w14:paraId="301D23EF" w14:textId="5AFC6270" w:rsidR="7F78A27A" w:rsidRDefault="7F78A27A" w:rsidP="7F78A27A">
            <w:pPr>
              <w:spacing w:before="60" w:after="60"/>
              <w:rPr>
                <w:rFonts w:ascii="Arial" w:eastAsia="Arial" w:hAnsi="Arial" w:cs="Arial"/>
              </w:rPr>
            </w:pPr>
            <w:r w:rsidRPr="7F78A27A">
              <w:rPr>
                <w:rFonts w:ascii="Arial" w:eastAsia="Arial" w:hAnsi="Arial" w:cs="Arial"/>
                <w:b/>
                <w:bCs/>
              </w:rPr>
              <w:t>Criterion 8: Governance</w:t>
            </w:r>
          </w:p>
          <w:p w14:paraId="67168D71" w14:textId="5A07372C" w:rsidR="7F78A27A" w:rsidRDefault="7F78A27A" w:rsidP="7F78A27A">
            <w:pPr>
              <w:spacing w:before="60" w:after="60"/>
              <w:rPr>
                <w:rFonts w:ascii="Arial" w:eastAsia="Arial" w:hAnsi="Arial" w:cs="Arial"/>
              </w:rPr>
            </w:pPr>
            <w:r w:rsidRPr="7F78A27A">
              <w:rPr>
                <w:rFonts w:ascii="Arial" w:eastAsia="Arial" w:hAnsi="Arial" w:cs="Arial"/>
              </w:rPr>
              <w:t>The school’s board members have been active and involved in their roles as public agents, providing competent and appropriate governance and oversight of the school.</w:t>
            </w:r>
          </w:p>
        </w:tc>
        <w:tc>
          <w:tcPr>
            <w:tcW w:w="1455" w:type="dxa"/>
            <w:tcMar>
              <w:left w:w="105" w:type="dxa"/>
              <w:right w:w="105" w:type="dxa"/>
            </w:tcMar>
            <w:vAlign w:val="center"/>
          </w:tcPr>
          <w:p w14:paraId="5C26E414" w14:textId="765D4C17" w:rsidR="7F78A27A" w:rsidRDefault="7F78A27A" w:rsidP="7F78A27A">
            <w:pPr>
              <w:spacing w:before="60" w:after="60"/>
              <w:jc w:val="center"/>
              <w:rPr>
                <w:rFonts w:ascii="Arial" w:eastAsia="Arial" w:hAnsi="Arial" w:cs="Arial"/>
              </w:rPr>
            </w:pPr>
            <w:r w:rsidRPr="7F78A27A">
              <w:rPr>
                <w:rFonts w:ascii="Arial" w:eastAsia="Arial" w:hAnsi="Arial" w:cs="Arial"/>
              </w:rPr>
              <w:t>Meets</w:t>
            </w:r>
          </w:p>
        </w:tc>
      </w:tr>
    </w:tbl>
    <w:p w14:paraId="1690C969" w14:textId="1F86D3F1" w:rsidR="00802713" w:rsidRDefault="00802713" w:rsidP="7F78A27A">
      <w:pPr>
        <w:rPr>
          <w:rFonts w:ascii="Arial" w:eastAsia="Arial" w:hAnsi="Arial" w:cs="Arial"/>
          <w:color w:val="000000" w:themeColor="text1"/>
        </w:rPr>
      </w:pPr>
    </w:p>
    <w:p w14:paraId="4577E578" w14:textId="51834DA4"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Recommendation</w:t>
      </w:r>
    </w:p>
    <w:p w14:paraId="0DF13D5E" w14:textId="6ED1FD64"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Pursuant to the regulations for Commonwealth of Massachusetts Virtual Schools at 603 CMR 52.11 and 52.12(1), I recommend that the Board renew the certificate for GCVS for four years. Given all the evidence, I also recommend that the Board extends the condition related to academic results. The condition is as follows.</w:t>
      </w:r>
    </w:p>
    <w:p w14:paraId="2E7F2D3B" w14:textId="77D17062" w:rsidR="00802713" w:rsidRDefault="66880088" w:rsidP="7F78A27A">
      <w:pPr>
        <w:ind w:left="720"/>
        <w:rPr>
          <w:rFonts w:ascii="Arial" w:eastAsia="Arial" w:hAnsi="Arial" w:cs="Arial"/>
          <w:color w:val="000000" w:themeColor="text1"/>
        </w:rPr>
      </w:pPr>
      <w:r w:rsidRPr="7F78A27A">
        <w:rPr>
          <w:rFonts w:ascii="Arial" w:eastAsia="Arial" w:hAnsi="Arial" w:cs="Arial"/>
          <w:b/>
          <w:bCs/>
          <w:color w:val="000000" w:themeColor="text1"/>
        </w:rPr>
        <w:t xml:space="preserve">Condition: </w:t>
      </w:r>
      <w:r w:rsidRPr="7F78A27A">
        <w:rPr>
          <w:rFonts w:ascii="Arial" w:eastAsia="Arial" w:hAnsi="Arial" w:cs="Arial"/>
          <w:color w:val="000000" w:themeColor="text1"/>
        </w:rPr>
        <w:t xml:space="preserve">By December 31, 2029, the school must demonstrate that it is an academic success by providing evidence that the school has exhibited significant and sustained academic improvement as determined by the Commissioner. Should the school demonstrate significant and sustained academic improvement before 2029, the Commissioner may remove this condition rather than wait until December 31, 2029. </w:t>
      </w:r>
    </w:p>
    <w:p w14:paraId="2771C7A7" w14:textId="7D1E70F9"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 xml:space="preserve">The Department will work with GCVS to ensure the school, including the board of trustees, is addressing additional concerns identified during the renewal process including, but not limited to, the school’s curriculum, virtual teaching practices, and tiered support model; tracking progress made in academic achievement; and actively working to improve student achievement. The Department expects the CMVS board of trustees to direct school leadership to implement changes if no improvement occurs. </w:t>
      </w:r>
    </w:p>
    <w:p w14:paraId="6CFBEBD4" w14:textId="79B913CF" w:rsidR="00802713" w:rsidRDefault="66880088" w:rsidP="7F78A27A">
      <w:pPr>
        <w:pStyle w:val="Heading2"/>
        <w:rPr>
          <w:rFonts w:ascii="Arial" w:eastAsia="Arial" w:hAnsi="Arial" w:cs="Arial"/>
          <w:b/>
          <w:bCs/>
          <w:color w:val="000000" w:themeColor="text1"/>
        </w:rPr>
      </w:pPr>
      <w:r w:rsidRPr="7F78A27A">
        <w:rPr>
          <w:rFonts w:ascii="Arial" w:eastAsia="Arial" w:hAnsi="Arial" w:cs="Arial"/>
          <w:b/>
          <w:bCs/>
          <w:color w:val="000000" w:themeColor="text1"/>
        </w:rPr>
        <w:t>TEC Connections Academy Commonwealth Virtual School</w:t>
      </w:r>
    </w:p>
    <w:p w14:paraId="53F6CE56" w14:textId="397BDAC3" w:rsidR="00802713" w:rsidRDefault="66880088" w:rsidP="7F78A27A">
      <w:pPr>
        <w:rPr>
          <w:rFonts w:ascii="Arial" w:eastAsia="Arial" w:hAnsi="Arial" w:cs="Arial"/>
          <w:color w:val="000000" w:themeColor="text1"/>
        </w:rPr>
      </w:pPr>
      <w:r w:rsidRPr="7F78A27A">
        <w:rPr>
          <w:rFonts w:ascii="Arial" w:eastAsia="Arial" w:hAnsi="Arial" w:cs="Arial"/>
          <w:b/>
          <w:bCs/>
          <w:color w:val="000000" w:themeColor="text1"/>
        </w:rPr>
        <w:t>Mission Statement:</w:t>
      </w:r>
      <w:r w:rsidRPr="7F78A27A">
        <w:rPr>
          <w:rFonts w:ascii="Arial" w:eastAsia="Arial" w:hAnsi="Arial" w:cs="Arial"/>
          <w:color w:val="000000" w:themeColor="text1"/>
        </w:rPr>
        <w:t xml:space="preserve"> “Through a lens of diversity, equity, inclusion, and belonging, TEC Connections Academy will provide students a high quality, innovative, virtual public school experience through access to education that empowers students to demonstrate respect, life skills, growth mindset, critical thinking, communication skills, and application of knowledge to prepare them for the next stage of their life’s journey.”</w:t>
      </w:r>
    </w:p>
    <w:p w14:paraId="7CBB5E26" w14:textId="18FD5FCE"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TECCA School Facts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15"/>
        <w:gridCol w:w="4215"/>
      </w:tblGrid>
      <w:tr w:rsidR="7F78A27A" w14:paraId="7AD52409" w14:textId="77777777" w:rsidTr="7F78A27A">
        <w:trPr>
          <w:trHeight w:val="300"/>
        </w:trPr>
        <w:tc>
          <w:tcPr>
            <w:tcW w:w="5115" w:type="dxa"/>
            <w:shd w:val="clear" w:color="auto" w:fill="BFBFBF" w:themeFill="background1" w:themeFillShade="BF"/>
            <w:tcMar>
              <w:left w:w="105" w:type="dxa"/>
              <w:right w:w="105" w:type="dxa"/>
            </w:tcMar>
          </w:tcPr>
          <w:p w14:paraId="6F1148FB" w14:textId="40CD4AAF" w:rsidR="7F78A27A" w:rsidRDefault="7F78A27A" w:rsidP="7F78A27A">
            <w:pPr>
              <w:pStyle w:val="TableHeading"/>
              <w:rPr>
                <w:rFonts w:ascii="Arial" w:eastAsia="Arial" w:hAnsi="Arial" w:cs="Arial"/>
              </w:rPr>
            </w:pPr>
            <w:r w:rsidRPr="7F78A27A">
              <w:rPr>
                <w:rFonts w:ascii="Arial" w:eastAsia="Arial" w:hAnsi="Arial" w:cs="Arial"/>
              </w:rPr>
              <w:t>School Fact Type</w:t>
            </w:r>
          </w:p>
        </w:tc>
        <w:tc>
          <w:tcPr>
            <w:tcW w:w="4215" w:type="dxa"/>
            <w:shd w:val="clear" w:color="auto" w:fill="BFBFBF" w:themeFill="background1" w:themeFillShade="BF"/>
            <w:tcMar>
              <w:left w:w="105" w:type="dxa"/>
              <w:right w:w="105" w:type="dxa"/>
            </w:tcMar>
          </w:tcPr>
          <w:p w14:paraId="05A0AF3B" w14:textId="5AA9538B" w:rsidR="7F78A27A" w:rsidRDefault="7F78A27A" w:rsidP="7F78A27A">
            <w:pPr>
              <w:pStyle w:val="TableHeading"/>
              <w:rPr>
                <w:rFonts w:ascii="Arial" w:eastAsia="Arial" w:hAnsi="Arial" w:cs="Arial"/>
              </w:rPr>
            </w:pPr>
            <w:r w:rsidRPr="7F78A27A">
              <w:rPr>
                <w:rFonts w:ascii="Arial" w:eastAsia="Arial" w:hAnsi="Arial" w:cs="Arial"/>
              </w:rPr>
              <w:t>School Facts (TECCA)</w:t>
            </w:r>
          </w:p>
        </w:tc>
      </w:tr>
      <w:tr w:rsidR="7F78A27A" w14:paraId="435DA439" w14:textId="77777777" w:rsidTr="7F78A27A">
        <w:trPr>
          <w:trHeight w:val="300"/>
        </w:trPr>
        <w:tc>
          <w:tcPr>
            <w:tcW w:w="5115" w:type="dxa"/>
            <w:shd w:val="clear" w:color="auto" w:fill="F2F2F2" w:themeFill="background1" w:themeFillShade="F2"/>
            <w:tcMar>
              <w:left w:w="105" w:type="dxa"/>
              <w:right w:w="105" w:type="dxa"/>
            </w:tcMar>
          </w:tcPr>
          <w:p w14:paraId="0AA2C09F" w14:textId="6894C86F" w:rsidR="7F78A27A" w:rsidRDefault="7F78A27A" w:rsidP="7F78A27A">
            <w:pPr>
              <w:pStyle w:val="Table"/>
              <w:jc w:val="left"/>
              <w:rPr>
                <w:rFonts w:ascii="Arial" w:eastAsia="Arial" w:hAnsi="Arial" w:cs="Arial"/>
              </w:rPr>
            </w:pPr>
            <w:r w:rsidRPr="7F78A27A">
              <w:rPr>
                <w:rFonts w:ascii="Arial" w:eastAsia="Arial" w:hAnsi="Arial" w:cs="Arial"/>
                <w:b/>
                <w:bCs/>
              </w:rPr>
              <w:t>Type of Commonwealth Virtual School</w:t>
            </w:r>
          </w:p>
        </w:tc>
        <w:tc>
          <w:tcPr>
            <w:tcW w:w="4215" w:type="dxa"/>
            <w:tcMar>
              <w:left w:w="105" w:type="dxa"/>
              <w:right w:w="105" w:type="dxa"/>
            </w:tcMar>
            <w:vAlign w:val="center"/>
          </w:tcPr>
          <w:p w14:paraId="4E842FA7" w14:textId="6C2CB3E7" w:rsidR="7F78A27A" w:rsidRDefault="7F78A27A" w:rsidP="7F78A27A">
            <w:pPr>
              <w:pStyle w:val="Table"/>
              <w:jc w:val="left"/>
              <w:rPr>
                <w:rFonts w:ascii="Arial" w:eastAsia="Arial" w:hAnsi="Arial" w:cs="Arial"/>
              </w:rPr>
            </w:pPr>
            <w:r w:rsidRPr="7F78A27A">
              <w:rPr>
                <w:rFonts w:ascii="Arial" w:eastAsia="Arial" w:hAnsi="Arial" w:cs="Arial"/>
              </w:rPr>
              <w:t>CMVS 1</w:t>
            </w:r>
          </w:p>
        </w:tc>
      </w:tr>
      <w:tr w:rsidR="7F78A27A" w14:paraId="3FF2830E" w14:textId="77777777" w:rsidTr="7F78A27A">
        <w:trPr>
          <w:trHeight w:val="300"/>
        </w:trPr>
        <w:tc>
          <w:tcPr>
            <w:tcW w:w="5115" w:type="dxa"/>
            <w:shd w:val="clear" w:color="auto" w:fill="F2F2F2" w:themeFill="background1" w:themeFillShade="F2"/>
            <w:tcMar>
              <w:left w:w="105" w:type="dxa"/>
              <w:right w:w="105" w:type="dxa"/>
            </w:tcMar>
          </w:tcPr>
          <w:p w14:paraId="01DDA0F9" w14:textId="17FE4224" w:rsidR="7F78A27A" w:rsidRDefault="7F78A27A" w:rsidP="7F78A27A">
            <w:pPr>
              <w:pStyle w:val="Table"/>
              <w:jc w:val="left"/>
              <w:rPr>
                <w:rFonts w:ascii="Arial" w:eastAsia="Arial" w:hAnsi="Arial" w:cs="Arial"/>
              </w:rPr>
            </w:pPr>
            <w:r w:rsidRPr="7F78A27A">
              <w:rPr>
                <w:rFonts w:ascii="Arial" w:eastAsia="Arial" w:hAnsi="Arial" w:cs="Arial"/>
                <w:b/>
                <w:bCs/>
              </w:rPr>
              <w:t>Number of Districts Capped for Enrollment</w:t>
            </w:r>
          </w:p>
        </w:tc>
        <w:tc>
          <w:tcPr>
            <w:tcW w:w="4215" w:type="dxa"/>
            <w:tcMar>
              <w:left w:w="105" w:type="dxa"/>
              <w:right w:w="105" w:type="dxa"/>
            </w:tcMar>
            <w:vAlign w:val="center"/>
          </w:tcPr>
          <w:p w14:paraId="776C436A" w14:textId="785E57EC" w:rsidR="7F78A27A" w:rsidRDefault="7F78A27A" w:rsidP="7F78A27A">
            <w:pPr>
              <w:pStyle w:val="Table"/>
              <w:jc w:val="left"/>
              <w:rPr>
                <w:rFonts w:ascii="Arial" w:eastAsia="Arial" w:hAnsi="Arial" w:cs="Arial"/>
              </w:rPr>
            </w:pPr>
            <w:r w:rsidRPr="7F78A27A">
              <w:rPr>
                <w:rFonts w:ascii="Arial" w:eastAsia="Arial" w:hAnsi="Arial" w:cs="Arial"/>
              </w:rPr>
              <w:t>33</w:t>
            </w:r>
            <w:r w:rsidR="001925B6">
              <w:rPr>
                <w:rStyle w:val="FootnoteReference"/>
                <w:rFonts w:ascii="Arial" w:eastAsia="Arial" w:hAnsi="Arial" w:cs="Arial"/>
              </w:rPr>
              <w:footnoteReference w:id="14"/>
            </w:r>
          </w:p>
        </w:tc>
      </w:tr>
      <w:tr w:rsidR="7F78A27A" w14:paraId="71AA0216" w14:textId="77777777" w:rsidTr="7F78A27A">
        <w:trPr>
          <w:trHeight w:val="300"/>
        </w:trPr>
        <w:tc>
          <w:tcPr>
            <w:tcW w:w="5115" w:type="dxa"/>
            <w:shd w:val="clear" w:color="auto" w:fill="F2F2F2" w:themeFill="background1" w:themeFillShade="F2"/>
            <w:tcMar>
              <w:left w:w="105" w:type="dxa"/>
              <w:right w:w="105" w:type="dxa"/>
            </w:tcMar>
          </w:tcPr>
          <w:p w14:paraId="09B37272" w14:textId="4D3D50C1" w:rsidR="7F78A27A" w:rsidRDefault="7F78A27A" w:rsidP="7F78A27A">
            <w:pPr>
              <w:pStyle w:val="Table"/>
              <w:jc w:val="left"/>
              <w:rPr>
                <w:rFonts w:ascii="Arial" w:eastAsia="Arial" w:hAnsi="Arial" w:cs="Arial"/>
              </w:rPr>
            </w:pPr>
            <w:r w:rsidRPr="7F78A27A">
              <w:rPr>
                <w:rFonts w:ascii="Arial" w:eastAsia="Arial" w:hAnsi="Arial" w:cs="Arial"/>
                <w:b/>
                <w:bCs/>
              </w:rPr>
              <w:t>Year Opened</w:t>
            </w:r>
          </w:p>
        </w:tc>
        <w:tc>
          <w:tcPr>
            <w:tcW w:w="4215" w:type="dxa"/>
            <w:tcMar>
              <w:left w:w="105" w:type="dxa"/>
              <w:right w:w="105" w:type="dxa"/>
            </w:tcMar>
            <w:vAlign w:val="center"/>
          </w:tcPr>
          <w:p w14:paraId="61F3A169" w14:textId="63D49D48" w:rsidR="7F78A27A" w:rsidRDefault="7F78A27A" w:rsidP="7F78A27A">
            <w:pPr>
              <w:pStyle w:val="Table"/>
              <w:jc w:val="left"/>
              <w:rPr>
                <w:rFonts w:ascii="Arial" w:eastAsia="Arial" w:hAnsi="Arial" w:cs="Arial"/>
              </w:rPr>
            </w:pPr>
            <w:r w:rsidRPr="7F78A27A">
              <w:rPr>
                <w:rFonts w:ascii="Arial" w:eastAsia="Arial" w:hAnsi="Arial" w:cs="Arial"/>
              </w:rPr>
              <w:t>2014</w:t>
            </w:r>
          </w:p>
        </w:tc>
      </w:tr>
      <w:tr w:rsidR="7F78A27A" w14:paraId="5DBCF5D8" w14:textId="77777777" w:rsidTr="7F78A27A">
        <w:trPr>
          <w:trHeight w:val="300"/>
        </w:trPr>
        <w:tc>
          <w:tcPr>
            <w:tcW w:w="5115" w:type="dxa"/>
            <w:shd w:val="clear" w:color="auto" w:fill="F2F2F2" w:themeFill="background1" w:themeFillShade="F2"/>
            <w:tcMar>
              <w:left w:w="105" w:type="dxa"/>
              <w:right w:w="105" w:type="dxa"/>
            </w:tcMar>
          </w:tcPr>
          <w:p w14:paraId="6868262C" w14:textId="52474CB9" w:rsidR="7F78A27A" w:rsidRDefault="7F78A27A" w:rsidP="7F78A27A">
            <w:pPr>
              <w:pStyle w:val="Table"/>
              <w:jc w:val="left"/>
              <w:rPr>
                <w:rFonts w:ascii="Arial" w:eastAsia="Arial" w:hAnsi="Arial" w:cs="Arial"/>
              </w:rPr>
            </w:pPr>
            <w:r w:rsidRPr="7F78A27A">
              <w:rPr>
                <w:rFonts w:ascii="Arial" w:eastAsia="Arial" w:hAnsi="Arial" w:cs="Arial"/>
                <w:b/>
                <w:bCs/>
              </w:rPr>
              <w:t>Years Renewed</w:t>
            </w:r>
          </w:p>
        </w:tc>
        <w:tc>
          <w:tcPr>
            <w:tcW w:w="4215" w:type="dxa"/>
            <w:tcMar>
              <w:left w:w="105" w:type="dxa"/>
              <w:right w:w="105" w:type="dxa"/>
            </w:tcMar>
            <w:vAlign w:val="center"/>
          </w:tcPr>
          <w:p w14:paraId="153120CF" w14:textId="12F59489" w:rsidR="7F78A27A" w:rsidRDefault="7F78A27A" w:rsidP="7F78A27A">
            <w:pPr>
              <w:pStyle w:val="Table"/>
              <w:jc w:val="left"/>
              <w:rPr>
                <w:rFonts w:ascii="Arial" w:eastAsia="Arial" w:hAnsi="Arial" w:cs="Arial"/>
              </w:rPr>
            </w:pPr>
            <w:r w:rsidRPr="7F78A27A">
              <w:rPr>
                <w:rFonts w:ascii="Arial" w:eastAsia="Arial" w:hAnsi="Arial" w:cs="Arial"/>
              </w:rPr>
              <w:t>2017, 2022</w:t>
            </w:r>
          </w:p>
        </w:tc>
      </w:tr>
      <w:tr w:rsidR="7F78A27A" w14:paraId="2F5C0976" w14:textId="77777777" w:rsidTr="7F78A27A">
        <w:trPr>
          <w:trHeight w:val="300"/>
        </w:trPr>
        <w:tc>
          <w:tcPr>
            <w:tcW w:w="5115" w:type="dxa"/>
            <w:shd w:val="clear" w:color="auto" w:fill="F2F2F2" w:themeFill="background1" w:themeFillShade="F2"/>
            <w:tcMar>
              <w:left w:w="105" w:type="dxa"/>
              <w:right w:w="105" w:type="dxa"/>
            </w:tcMar>
          </w:tcPr>
          <w:p w14:paraId="23C840A6" w14:textId="79E29BBC" w:rsidR="7F78A27A" w:rsidRDefault="7F78A27A" w:rsidP="7F78A27A">
            <w:pPr>
              <w:pStyle w:val="Table"/>
              <w:jc w:val="left"/>
              <w:rPr>
                <w:rFonts w:ascii="Arial" w:eastAsia="Arial" w:hAnsi="Arial" w:cs="Arial"/>
              </w:rPr>
            </w:pPr>
            <w:r w:rsidRPr="7F78A27A">
              <w:rPr>
                <w:rFonts w:ascii="Arial" w:eastAsia="Arial" w:hAnsi="Arial" w:cs="Arial"/>
                <w:b/>
                <w:bCs/>
              </w:rPr>
              <w:t>Current Age of School</w:t>
            </w:r>
          </w:p>
        </w:tc>
        <w:tc>
          <w:tcPr>
            <w:tcW w:w="4215" w:type="dxa"/>
            <w:tcMar>
              <w:left w:w="105" w:type="dxa"/>
              <w:right w:w="105" w:type="dxa"/>
            </w:tcMar>
            <w:vAlign w:val="center"/>
          </w:tcPr>
          <w:p w14:paraId="1EB3615E" w14:textId="29891EBA" w:rsidR="7F78A27A" w:rsidRDefault="7F78A27A" w:rsidP="7F78A27A">
            <w:pPr>
              <w:pStyle w:val="Table"/>
              <w:jc w:val="left"/>
              <w:rPr>
                <w:rFonts w:ascii="Arial" w:eastAsia="Arial" w:hAnsi="Arial" w:cs="Arial"/>
              </w:rPr>
            </w:pPr>
            <w:r w:rsidRPr="7F78A27A">
              <w:rPr>
                <w:rFonts w:ascii="Arial" w:eastAsia="Arial" w:hAnsi="Arial" w:cs="Arial"/>
              </w:rPr>
              <w:t>12</w:t>
            </w:r>
          </w:p>
        </w:tc>
      </w:tr>
      <w:tr w:rsidR="7F78A27A" w14:paraId="2FDB91C4" w14:textId="77777777" w:rsidTr="7F78A27A">
        <w:trPr>
          <w:trHeight w:val="300"/>
        </w:trPr>
        <w:tc>
          <w:tcPr>
            <w:tcW w:w="5115" w:type="dxa"/>
            <w:shd w:val="clear" w:color="auto" w:fill="F2F2F2" w:themeFill="background1" w:themeFillShade="F2"/>
            <w:tcMar>
              <w:left w:w="105" w:type="dxa"/>
              <w:right w:w="105" w:type="dxa"/>
            </w:tcMar>
          </w:tcPr>
          <w:p w14:paraId="022E1320" w14:textId="2D9A2878" w:rsidR="7F78A27A" w:rsidRDefault="7F78A27A" w:rsidP="7F78A27A">
            <w:pPr>
              <w:pStyle w:val="Table"/>
              <w:jc w:val="left"/>
              <w:rPr>
                <w:rFonts w:ascii="Arial" w:eastAsia="Arial" w:hAnsi="Arial" w:cs="Arial"/>
              </w:rPr>
            </w:pPr>
            <w:r w:rsidRPr="7F78A27A">
              <w:rPr>
                <w:rFonts w:ascii="Arial" w:eastAsia="Arial" w:hAnsi="Arial" w:cs="Arial"/>
                <w:b/>
                <w:bCs/>
              </w:rPr>
              <w:t>Maximum Enrollment</w:t>
            </w:r>
          </w:p>
        </w:tc>
        <w:tc>
          <w:tcPr>
            <w:tcW w:w="4215" w:type="dxa"/>
            <w:tcMar>
              <w:left w:w="105" w:type="dxa"/>
              <w:right w:w="105" w:type="dxa"/>
            </w:tcMar>
            <w:vAlign w:val="center"/>
          </w:tcPr>
          <w:p w14:paraId="682B01C3" w14:textId="0A1E6CB2" w:rsidR="7F78A27A" w:rsidRDefault="7F78A27A" w:rsidP="7F78A27A">
            <w:pPr>
              <w:pStyle w:val="Table"/>
              <w:jc w:val="left"/>
              <w:rPr>
                <w:rFonts w:ascii="Arial" w:eastAsia="Arial" w:hAnsi="Arial" w:cs="Arial"/>
              </w:rPr>
            </w:pPr>
            <w:r w:rsidRPr="7F78A27A">
              <w:rPr>
                <w:rFonts w:ascii="Arial" w:eastAsia="Arial" w:hAnsi="Arial" w:cs="Arial"/>
              </w:rPr>
              <w:t>3,000</w:t>
            </w:r>
          </w:p>
        </w:tc>
      </w:tr>
      <w:tr w:rsidR="7F78A27A" w14:paraId="7B5D9609" w14:textId="77777777" w:rsidTr="7F78A27A">
        <w:trPr>
          <w:trHeight w:val="300"/>
        </w:trPr>
        <w:tc>
          <w:tcPr>
            <w:tcW w:w="5115" w:type="dxa"/>
            <w:shd w:val="clear" w:color="auto" w:fill="F2F2F2" w:themeFill="background1" w:themeFillShade="F2"/>
            <w:tcMar>
              <w:left w:w="105" w:type="dxa"/>
              <w:right w:w="105" w:type="dxa"/>
            </w:tcMar>
          </w:tcPr>
          <w:p w14:paraId="1BA4A795" w14:textId="1316B99D" w:rsidR="7F78A27A" w:rsidRDefault="7F78A27A" w:rsidP="7F78A27A">
            <w:pPr>
              <w:pStyle w:val="Table"/>
              <w:jc w:val="left"/>
              <w:rPr>
                <w:rFonts w:ascii="Arial" w:eastAsia="Arial" w:hAnsi="Arial" w:cs="Arial"/>
              </w:rPr>
            </w:pPr>
            <w:r w:rsidRPr="7F78A27A">
              <w:rPr>
                <w:rFonts w:ascii="Arial" w:eastAsia="Arial" w:hAnsi="Arial" w:cs="Arial"/>
                <w:b/>
                <w:bCs/>
              </w:rPr>
              <w:t>Enrollment (2025-26)</w:t>
            </w:r>
          </w:p>
        </w:tc>
        <w:tc>
          <w:tcPr>
            <w:tcW w:w="4215" w:type="dxa"/>
            <w:tcMar>
              <w:left w:w="105" w:type="dxa"/>
              <w:right w:w="105" w:type="dxa"/>
            </w:tcMar>
            <w:vAlign w:val="center"/>
          </w:tcPr>
          <w:p w14:paraId="618066A8" w14:textId="6D8816FE" w:rsidR="7F78A27A" w:rsidRDefault="7F78A27A" w:rsidP="7F78A27A">
            <w:pPr>
              <w:pStyle w:val="Table"/>
              <w:jc w:val="left"/>
              <w:rPr>
                <w:rFonts w:ascii="Arial" w:eastAsia="Arial" w:hAnsi="Arial" w:cs="Arial"/>
              </w:rPr>
            </w:pPr>
            <w:r w:rsidRPr="7F78A27A">
              <w:rPr>
                <w:rFonts w:ascii="Arial" w:eastAsia="Arial" w:hAnsi="Arial" w:cs="Arial"/>
              </w:rPr>
              <w:t>2,970 (October 2025)</w:t>
            </w:r>
          </w:p>
        </w:tc>
      </w:tr>
      <w:tr w:rsidR="7F78A27A" w14:paraId="56797DD6" w14:textId="77777777" w:rsidTr="7F78A27A">
        <w:trPr>
          <w:trHeight w:val="300"/>
        </w:trPr>
        <w:tc>
          <w:tcPr>
            <w:tcW w:w="5115" w:type="dxa"/>
            <w:shd w:val="clear" w:color="auto" w:fill="F2F2F2" w:themeFill="background1" w:themeFillShade="F2"/>
            <w:tcMar>
              <w:left w:w="105" w:type="dxa"/>
              <w:right w:w="105" w:type="dxa"/>
            </w:tcMar>
          </w:tcPr>
          <w:p w14:paraId="50DDF594" w14:textId="5146BB95" w:rsidR="7F78A27A" w:rsidRDefault="7F78A27A" w:rsidP="7F78A27A">
            <w:pPr>
              <w:pStyle w:val="Table"/>
              <w:jc w:val="left"/>
              <w:rPr>
                <w:rFonts w:ascii="Arial" w:eastAsia="Arial" w:hAnsi="Arial" w:cs="Arial"/>
              </w:rPr>
            </w:pPr>
            <w:r w:rsidRPr="7F78A27A">
              <w:rPr>
                <w:rFonts w:ascii="Arial" w:eastAsia="Arial" w:hAnsi="Arial" w:cs="Arial"/>
                <w:b/>
                <w:bCs/>
              </w:rPr>
              <w:t>Grade Span</w:t>
            </w:r>
          </w:p>
        </w:tc>
        <w:tc>
          <w:tcPr>
            <w:tcW w:w="4215" w:type="dxa"/>
            <w:tcMar>
              <w:left w:w="105" w:type="dxa"/>
              <w:right w:w="105" w:type="dxa"/>
            </w:tcMar>
            <w:vAlign w:val="center"/>
          </w:tcPr>
          <w:p w14:paraId="36B8CB63" w14:textId="56C2E715" w:rsidR="7F78A27A" w:rsidRDefault="7F78A27A" w:rsidP="7F78A27A">
            <w:pPr>
              <w:pStyle w:val="Table"/>
              <w:jc w:val="left"/>
              <w:rPr>
                <w:rFonts w:ascii="Arial" w:eastAsia="Arial" w:hAnsi="Arial" w:cs="Arial"/>
              </w:rPr>
            </w:pPr>
            <w:r w:rsidRPr="7F78A27A">
              <w:rPr>
                <w:rFonts w:ascii="Arial" w:eastAsia="Arial" w:hAnsi="Arial" w:cs="Arial"/>
              </w:rPr>
              <w:t>K-12</w:t>
            </w:r>
          </w:p>
        </w:tc>
      </w:tr>
      <w:tr w:rsidR="7F78A27A" w14:paraId="1B158A80" w14:textId="77777777" w:rsidTr="7F78A27A">
        <w:trPr>
          <w:trHeight w:val="300"/>
        </w:trPr>
        <w:tc>
          <w:tcPr>
            <w:tcW w:w="5115" w:type="dxa"/>
            <w:shd w:val="clear" w:color="auto" w:fill="F2F2F2" w:themeFill="background1" w:themeFillShade="F2"/>
            <w:tcMar>
              <w:left w:w="105" w:type="dxa"/>
              <w:right w:w="105" w:type="dxa"/>
            </w:tcMar>
          </w:tcPr>
          <w:p w14:paraId="197D6034" w14:textId="74F24BF4" w:rsidR="7F78A27A" w:rsidRDefault="7F78A27A" w:rsidP="7F78A27A">
            <w:pPr>
              <w:pStyle w:val="Table"/>
              <w:jc w:val="left"/>
              <w:rPr>
                <w:rFonts w:ascii="Arial" w:eastAsia="Arial" w:hAnsi="Arial" w:cs="Arial"/>
              </w:rPr>
            </w:pPr>
            <w:r w:rsidRPr="7F78A27A">
              <w:rPr>
                <w:rFonts w:ascii="Arial" w:eastAsia="Arial" w:hAnsi="Arial" w:cs="Arial"/>
                <w:b/>
                <w:bCs/>
              </w:rPr>
              <w:t>Students on Waitlist</w:t>
            </w:r>
          </w:p>
        </w:tc>
        <w:tc>
          <w:tcPr>
            <w:tcW w:w="4215" w:type="dxa"/>
            <w:tcMar>
              <w:left w:w="105" w:type="dxa"/>
              <w:right w:w="105" w:type="dxa"/>
            </w:tcMar>
            <w:vAlign w:val="center"/>
          </w:tcPr>
          <w:p w14:paraId="3392DE2E" w14:textId="0C0A673B" w:rsidR="7F78A27A" w:rsidRDefault="7F78A27A" w:rsidP="7F78A27A">
            <w:pPr>
              <w:pStyle w:val="Table"/>
              <w:jc w:val="left"/>
              <w:rPr>
                <w:rFonts w:ascii="Arial" w:eastAsia="Arial" w:hAnsi="Arial" w:cs="Arial"/>
              </w:rPr>
            </w:pPr>
            <w:r w:rsidRPr="7F78A27A">
              <w:rPr>
                <w:rFonts w:ascii="Arial" w:eastAsia="Arial" w:hAnsi="Arial" w:cs="Arial"/>
              </w:rPr>
              <w:t>764 (September 2025)</w:t>
            </w:r>
          </w:p>
        </w:tc>
      </w:tr>
    </w:tbl>
    <w:p w14:paraId="3FA9F04F" w14:textId="672BC194" w:rsidR="00802713" w:rsidRDefault="00802713" w:rsidP="7F78A27A">
      <w:pPr>
        <w:rPr>
          <w:rFonts w:ascii="Arial" w:eastAsia="Arial" w:hAnsi="Arial" w:cs="Arial"/>
          <w:color w:val="000000" w:themeColor="text1"/>
        </w:rPr>
      </w:pPr>
    </w:p>
    <w:p w14:paraId="62483632" w14:textId="34B67F07"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School History</w:t>
      </w:r>
    </w:p>
    <w:p w14:paraId="2B4FEFEB" w14:textId="63DE02D3" w:rsidR="00802713" w:rsidRDefault="66880088" w:rsidP="7F78A27A">
      <w:pPr>
        <w:rPr>
          <w:rFonts w:ascii="Arial" w:eastAsia="Arial" w:hAnsi="Arial" w:cs="Arial"/>
          <w:color w:val="000000" w:themeColor="text1"/>
        </w:rPr>
      </w:pPr>
      <w:r w:rsidRPr="2AF43A37">
        <w:rPr>
          <w:rFonts w:ascii="Arial" w:eastAsia="Arial" w:hAnsi="Arial" w:cs="Arial"/>
          <w:color w:val="000000" w:themeColor="text1"/>
        </w:rPr>
        <w:t>The Education Cooperative (TEC) submitted an application for a virtual certificate to the Department in spring 2013. On February 24, 2013, the Board granted a three-year certificate to TECCA. Since its founding, TECCA has maintained a contractual relationship with Connections Education LLC (</w:t>
      </w:r>
      <w:r w:rsidR="00154D39" w:rsidRPr="2AF43A37">
        <w:rPr>
          <w:rFonts w:ascii="Arial" w:eastAsia="Arial" w:hAnsi="Arial" w:cs="Arial"/>
          <w:color w:val="000000" w:themeColor="text1"/>
        </w:rPr>
        <w:t>Pearson</w:t>
      </w:r>
      <w:r w:rsidRPr="2AF43A37">
        <w:rPr>
          <w:rFonts w:ascii="Arial" w:eastAsia="Arial" w:hAnsi="Arial" w:cs="Arial"/>
          <w:color w:val="000000" w:themeColor="text1"/>
        </w:rPr>
        <w:t xml:space="preserve">) in which </w:t>
      </w:r>
      <w:r w:rsidR="00154D39" w:rsidRPr="2AF43A37">
        <w:rPr>
          <w:rFonts w:ascii="Arial" w:eastAsia="Arial" w:hAnsi="Arial" w:cs="Arial"/>
          <w:color w:val="000000" w:themeColor="text1"/>
        </w:rPr>
        <w:t>Pearson</w:t>
      </w:r>
      <w:r w:rsidRPr="2AF43A37">
        <w:rPr>
          <w:rFonts w:ascii="Arial" w:eastAsia="Arial" w:hAnsi="Arial" w:cs="Arial"/>
          <w:color w:val="000000" w:themeColor="text1"/>
        </w:rPr>
        <w:t xml:space="preserve"> provides curricula for English language arts, mathematics, science, and social studies in grades K through 12 and the school’s learning management system. </w:t>
      </w:r>
    </w:p>
    <w:p w14:paraId="03EA7665" w14:textId="42CB0F6A"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 xml:space="preserve">When the Board renewed the school’s certificate in 2017 for five years, it included conditions related to MCAS participation and serving English learners. In 2022, while the school had met these two conditions, concerns remained about academic outcomes, delivery of its academic program, and repeated findings of significant deficiencies or material weaknesses in its financial audits. In October 2022, the Board renewed the school’s certificate for four years, from July 1, 2022, through June 30, 2026, with three conditions. In March 2025, the Board removed two conditions imposed on TECCA, extended one condition related to academic results, and imposed a new condition related to the school’s financial oversight.  </w:t>
      </w:r>
    </w:p>
    <w:p w14:paraId="32CC8416" w14:textId="7612A58C" w:rsidR="00802713" w:rsidRDefault="00802713" w:rsidP="7F78A27A">
      <w:pPr>
        <w:rPr>
          <w:rFonts w:ascii="Arial" w:eastAsia="Arial" w:hAnsi="Arial" w:cs="Arial"/>
          <w:color w:val="000000" w:themeColor="text1"/>
        </w:rPr>
      </w:pPr>
    </w:p>
    <w:p w14:paraId="32272FCB" w14:textId="4730064E"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Progress Toward Meeting Conditions</w:t>
      </w:r>
    </w:p>
    <w:p w14:paraId="7C8C6E6F" w14:textId="1DB34B3A" w:rsidR="00802713" w:rsidRDefault="66880088" w:rsidP="7F78A27A">
      <w:pPr>
        <w:spacing w:after="240"/>
        <w:rPr>
          <w:rFonts w:ascii="Arial" w:eastAsia="Arial" w:hAnsi="Arial" w:cs="Arial"/>
          <w:color w:val="000000" w:themeColor="text1"/>
        </w:rPr>
      </w:pPr>
      <w:r w:rsidRPr="7F78A27A">
        <w:rPr>
          <w:rFonts w:ascii="Arial" w:eastAsia="Arial" w:hAnsi="Arial" w:cs="Arial"/>
          <w:color w:val="000000" w:themeColor="text1"/>
        </w:rPr>
        <w:t xml:space="preserve">The existing conditions and a summary of key evidence related to each condition follow. </w:t>
      </w:r>
    </w:p>
    <w:p w14:paraId="06F1032A" w14:textId="11DFB4D7" w:rsidR="00802713" w:rsidRDefault="66880088" w:rsidP="7F78A27A">
      <w:pPr>
        <w:rPr>
          <w:rFonts w:ascii="Arial" w:eastAsia="Arial" w:hAnsi="Arial" w:cs="Arial"/>
          <w:color w:val="000000" w:themeColor="text1"/>
        </w:rPr>
      </w:pPr>
      <w:r w:rsidRPr="7F78A27A">
        <w:rPr>
          <w:rFonts w:ascii="Arial" w:eastAsia="Arial" w:hAnsi="Arial" w:cs="Arial"/>
          <w:b/>
          <w:bCs/>
          <w:color w:val="000000" w:themeColor="text1"/>
        </w:rPr>
        <w:t xml:space="preserve">Condition 1: </w:t>
      </w:r>
      <w:r w:rsidRPr="7F78A27A">
        <w:rPr>
          <w:rFonts w:ascii="Arial" w:eastAsia="Arial" w:hAnsi="Arial" w:cs="Arial"/>
          <w:color w:val="000000" w:themeColor="text1"/>
        </w:rPr>
        <w:t xml:space="preserve">By July 1, 2025, the school will provide the Department with sufficient evidence that it has addressed all the commitments articulated in the Corrective Action Plan related to its audit for fiscal year 2024. </w:t>
      </w:r>
    </w:p>
    <w:p w14:paraId="2F6A13A5" w14:textId="306EC6FD" w:rsidR="00802713" w:rsidRDefault="66880088" w:rsidP="7F78A27A">
      <w:pPr>
        <w:rPr>
          <w:rFonts w:ascii="Arial" w:eastAsia="Arial" w:hAnsi="Arial" w:cs="Arial"/>
          <w:color w:val="000000" w:themeColor="text1"/>
        </w:rPr>
      </w:pPr>
      <w:r w:rsidRPr="7F78A27A">
        <w:rPr>
          <w:rFonts w:ascii="Arial" w:eastAsia="Arial" w:hAnsi="Arial" w:cs="Arial"/>
          <w:b/>
          <w:bCs/>
          <w:color w:val="000000" w:themeColor="text1"/>
        </w:rPr>
        <w:t>Status: Met</w:t>
      </w:r>
    </w:p>
    <w:p w14:paraId="142634F2" w14:textId="4D5F3193" w:rsidR="00802713" w:rsidRDefault="66880088" w:rsidP="7F78A27A">
      <w:pPr>
        <w:ind w:left="720"/>
        <w:rPr>
          <w:rFonts w:ascii="Arial" w:eastAsia="Arial" w:hAnsi="Arial" w:cs="Arial"/>
          <w:color w:val="000000" w:themeColor="text1"/>
        </w:rPr>
      </w:pPr>
      <w:r w:rsidRPr="49738255">
        <w:rPr>
          <w:rFonts w:ascii="Arial" w:eastAsia="Arial" w:hAnsi="Arial" w:cs="Arial"/>
          <w:color w:val="000000" w:themeColor="text1"/>
        </w:rPr>
        <w:t>In May 2025, the school submitted evidence to demonstrate that the school met the commitments articulated in the Correct</w:t>
      </w:r>
      <w:r w:rsidR="002B7F91" w:rsidRPr="49738255">
        <w:rPr>
          <w:rFonts w:ascii="Arial" w:eastAsia="Arial" w:hAnsi="Arial" w:cs="Arial"/>
          <w:color w:val="000000" w:themeColor="text1"/>
        </w:rPr>
        <w:t>ive</w:t>
      </w:r>
      <w:r w:rsidRPr="49738255">
        <w:rPr>
          <w:rFonts w:ascii="Arial" w:eastAsia="Arial" w:hAnsi="Arial" w:cs="Arial"/>
          <w:color w:val="000000" w:themeColor="text1"/>
        </w:rPr>
        <w:t xml:space="preserve"> Action Plan (CAP) related to the school’s audit for fiscal year 2024. The Department reviewed the school’s CAP and its supporting documentation and determined the corrective measures taken by the school addressed the finding in the school’s fiscal year 2024 audit. The school’s fiscal year 2025 audit noted that the school resolved all prior findings from its past audits. </w:t>
      </w:r>
    </w:p>
    <w:p w14:paraId="133D6807" w14:textId="5E6995FE" w:rsidR="00802713" w:rsidRDefault="66880088" w:rsidP="7F78A27A">
      <w:pPr>
        <w:rPr>
          <w:rFonts w:ascii="Arial" w:eastAsia="Arial" w:hAnsi="Arial" w:cs="Arial"/>
          <w:color w:val="000000" w:themeColor="text1"/>
        </w:rPr>
      </w:pPr>
      <w:r w:rsidRPr="7F78A27A">
        <w:rPr>
          <w:rFonts w:ascii="Arial" w:eastAsia="Arial" w:hAnsi="Arial" w:cs="Arial"/>
          <w:b/>
          <w:bCs/>
          <w:color w:val="000000" w:themeColor="text1"/>
        </w:rPr>
        <w:t>Condition 2:</w:t>
      </w:r>
      <w:r w:rsidRPr="7F78A27A">
        <w:rPr>
          <w:rFonts w:ascii="Arial" w:eastAsia="Arial" w:hAnsi="Arial" w:cs="Arial"/>
          <w:color w:val="000000" w:themeColor="text1"/>
        </w:rPr>
        <w:t xml:space="preserve"> By December 31, 2025, the school must demonstrate that it is an academic success by providing evidence of significant and sustained academic improvement in mathematics, English language arts, and science for all students and all student subgroups.  </w:t>
      </w:r>
    </w:p>
    <w:p w14:paraId="259C3006" w14:textId="7C01AA78" w:rsidR="00802713" w:rsidRDefault="66880088" w:rsidP="7F78A27A">
      <w:pPr>
        <w:rPr>
          <w:rFonts w:ascii="Arial" w:eastAsia="Arial" w:hAnsi="Arial" w:cs="Arial"/>
          <w:color w:val="000000" w:themeColor="text1"/>
        </w:rPr>
      </w:pPr>
      <w:r w:rsidRPr="7F78A27A">
        <w:rPr>
          <w:rFonts w:ascii="Arial" w:eastAsia="Arial" w:hAnsi="Arial" w:cs="Arial"/>
          <w:b/>
          <w:bCs/>
          <w:color w:val="000000" w:themeColor="text1"/>
        </w:rPr>
        <w:t>Status: Not Met</w:t>
      </w:r>
    </w:p>
    <w:p w14:paraId="6A8DC3EB" w14:textId="544B28E2" w:rsidR="00802713" w:rsidRDefault="66880088" w:rsidP="7F78A27A">
      <w:pPr>
        <w:ind w:left="720"/>
        <w:rPr>
          <w:rFonts w:ascii="Arial" w:eastAsia="Arial" w:hAnsi="Arial" w:cs="Arial"/>
          <w:color w:val="000000" w:themeColor="text1"/>
        </w:rPr>
      </w:pPr>
      <w:r w:rsidRPr="2AF43A37">
        <w:rPr>
          <w:rFonts w:ascii="Arial" w:eastAsia="Arial" w:hAnsi="Arial" w:cs="Arial"/>
          <w:color w:val="000000" w:themeColor="text1"/>
        </w:rPr>
        <w:t xml:space="preserve">During the certificate term, TECCA has not yet shown significant or sustained academic improvement. The school’s accountability percentile was 18 in 2023, 22 in 2024, and 18 in 2025. From 2023 through 2025, the Department classified the school as requiring assistance or intervention due to its low graduation rates and low MCAS participation rates. The school made moderate progress toward </w:t>
      </w:r>
      <w:r w:rsidR="00F93830" w:rsidRPr="2AF43A37">
        <w:rPr>
          <w:rFonts w:ascii="Arial" w:eastAsia="Arial" w:hAnsi="Arial" w:cs="Arial"/>
          <w:color w:val="000000" w:themeColor="text1"/>
        </w:rPr>
        <w:t>improvement</w:t>
      </w:r>
      <w:r w:rsidR="00C23258" w:rsidRPr="2AF43A37">
        <w:rPr>
          <w:rFonts w:ascii="Arial" w:eastAsia="Arial" w:hAnsi="Arial" w:cs="Arial"/>
          <w:color w:val="000000" w:themeColor="text1"/>
        </w:rPr>
        <w:t xml:space="preserve"> </w:t>
      </w:r>
      <w:r w:rsidRPr="2AF43A37">
        <w:rPr>
          <w:rFonts w:ascii="Arial" w:eastAsia="Arial" w:hAnsi="Arial" w:cs="Arial"/>
          <w:color w:val="000000" w:themeColor="text1"/>
        </w:rPr>
        <w:t xml:space="preserve">targets all three years. From 2023 through 2025, school </w:t>
      </w:r>
      <w:r w:rsidR="002D5866" w:rsidRPr="2AF43A37">
        <w:rPr>
          <w:rFonts w:ascii="Arial" w:eastAsia="Arial" w:hAnsi="Arial" w:cs="Arial"/>
          <w:color w:val="000000" w:themeColor="text1"/>
        </w:rPr>
        <w:t xml:space="preserve">academic </w:t>
      </w:r>
      <w:r w:rsidRPr="2AF43A37">
        <w:rPr>
          <w:rFonts w:ascii="Arial" w:eastAsia="Arial" w:hAnsi="Arial" w:cs="Arial"/>
          <w:color w:val="000000" w:themeColor="text1"/>
        </w:rPr>
        <w:t xml:space="preserve">results demonstrate a decline in achievement in English language arts, mathematics, and science for students in non-high school grades and in science for students in grade 10. </w:t>
      </w:r>
    </w:p>
    <w:p w14:paraId="17D82DCE" w14:textId="56C7E5C8" w:rsidR="00802713" w:rsidRDefault="66880088" w:rsidP="7F78A27A">
      <w:pPr>
        <w:ind w:left="720"/>
        <w:rPr>
          <w:rFonts w:ascii="Arial" w:eastAsia="Arial" w:hAnsi="Arial" w:cs="Arial"/>
          <w:color w:val="000000" w:themeColor="text1"/>
        </w:rPr>
      </w:pPr>
      <w:r w:rsidRPr="7F78A27A">
        <w:rPr>
          <w:rFonts w:ascii="Arial" w:eastAsia="Arial" w:hAnsi="Arial" w:cs="Arial"/>
          <w:color w:val="000000" w:themeColor="text1"/>
        </w:rPr>
        <w:t xml:space="preserve">TECCA developed four-year goals in its Accountability Plan related to students either meeting their student growth percentile (SGP) goal or demonstrating grade-level equivalent (GLE) growth. The school met its goals in its Accountability Plan related to academic performance and provided some evidence of positive academic outcomes. The school reported that during the 2024-25 school year, 86 percent of students either met their SGP goal or demonstrated GLE growth in reading and 80 percent of students either met their SGP goal or demonstrated GLE growth in mathematics. </w:t>
      </w:r>
    </w:p>
    <w:p w14:paraId="0CC6AC1D" w14:textId="19D2E1E8" w:rsidR="00802713" w:rsidRDefault="00802713" w:rsidP="7F78A27A">
      <w:pPr>
        <w:rPr>
          <w:rFonts w:ascii="Arial" w:eastAsia="Arial" w:hAnsi="Arial" w:cs="Arial"/>
          <w:color w:val="000000" w:themeColor="text1"/>
        </w:rPr>
      </w:pPr>
    </w:p>
    <w:p w14:paraId="64022CD4" w14:textId="6DDDAAA9"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TECCA Renewal: Summary of Performance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595"/>
        <w:gridCol w:w="1749"/>
      </w:tblGrid>
      <w:tr w:rsidR="7F78A27A" w14:paraId="50220CAD" w14:textId="77777777" w:rsidTr="7F78A27A">
        <w:trPr>
          <w:trHeight w:val="300"/>
        </w:trPr>
        <w:tc>
          <w:tcPr>
            <w:tcW w:w="7695" w:type="dxa"/>
            <w:shd w:val="clear" w:color="auto" w:fill="BFBFBF" w:themeFill="background1" w:themeFillShade="BF"/>
            <w:tcMar>
              <w:left w:w="105" w:type="dxa"/>
              <w:right w:w="105" w:type="dxa"/>
            </w:tcMar>
          </w:tcPr>
          <w:p w14:paraId="4A254CDC" w14:textId="6A0C1772" w:rsidR="7F78A27A" w:rsidRDefault="7F78A27A" w:rsidP="7F78A27A">
            <w:pPr>
              <w:spacing w:before="60" w:after="60"/>
              <w:rPr>
                <w:rFonts w:ascii="Arial" w:eastAsia="Arial" w:hAnsi="Arial" w:cs="Arial"/>
              </w:rPr>
            </w:pPr>
            <w:r w:rsidRPr="7F78A27A">
              <w:rPr>
                <w:rFonts w:ascii="Arial" w:eastAsia="Arial" w:hAnsi="Arial" w:cs="Arial"/>
                <w:b/>
                <w:bCs/>
              </w:rPr>
              <w:t>Criteria</w:t>
            </w:r>
          </w:p>
        </w:tc>
        <w:tc>
          <w:tcPr>
            <w:tcW w:w="1755" w:type="dxa"/>
            <w:shd w:val="clear" w:color="auto" w:fill="BFBFBF" w:themeFill="background1" w:themeFillShade="BF"/>
            <w:tcMar>
              <w:left w:w="105" w:type="dxa"/>
              <w:right w:w="105" w:type="dxa"/>
            </w:tcMar>
          </w:tcPr>
          <w:p w14:paraId="0E954219" w14:textId="144F3EAC" w:rsidR="7F78A27A" w:rsidRDefault="7F78A27A" w:rsidP="7F78A27A">
            <w:pPr>
              <w:spacing w:before="60" w:after="60"/>
              <w:jc w:val="center"/>
              <w:rPr>
                <w:rFonts w:ascii="Arial" w:eastAsia="Arial" w:hAnsi="Arial" w:cs="Arial"/>
              </w:rPr>
            </w:pPr>
            <w:r w:rsidRPr="7F78A27A">
              <w:rPr>
                <w:rFonts w:ascii="Arial" w:eastAsia="Arial" w:hAnsi="Arial" w:cs="Arial"/>
                <w:b/>
                <w:bCs/>
              </w:rPr>
              <w:t>Rating</w:t>
            </w:r>
          </w:p>
        </w:tc>
      </w:tr>
      <w:tr w:rsidR="7F78A27A" w14:paraId="6590B6F9" w14:textId="77777777" w:rsidTr="7F78A27A">
        <w:trPr>
          <w:trHeight w:val="300"/>
        </w:trPr>
        <w:tc>
          <w:tcPr>
            <w:tcW w:w="7695" w:type="dxa"/>
            <w:tcMar>
              <w:left w:w="105" w:type="dxa"/>
              <w:right w:w="105" w:type="dxa"/>
            </w:tcMar>
          </w:tcPr>
          <w:p w14:paraId="48906D83" w14:textId="05F4648A" w:rsidR="7F78A27A" w:rsidRDefault="7F78A27A" w:rsidP="7F78A27A">
            <w:pPr>
              <w:spacing w:before="60" w:after="60"/>
              <w:rPr>
                <w:rFonts w:ascii="Arial" w:eastAsia="Arial" w:hAnsi="Arial" w:cs="Arial"/>
              </w:rPr>
            </w:pPr>
            <w:r w:rsidRPr="7F78A27A">
              <w:rPr>
                <w:rFonts w:ascii="Arial" w:eastAsia="Arial" w:hAnsi="Arial" w:cs="Arial"/>
                <w:b/>
                <w:bCs/>
              </w:rPr>
              <w:t>Criterion 1: Mission and Terms of the Certificate</w:t>
            </w:r>
          </w:p>
          <w:p w14:paraId="425BFCFE" w14:textId="642D8861" w:rsidR="7F78A27A" w:rsidRDefault="7F78A27A" w:rsidP="7F78A27A">
            <w:pPr>
              <w:spacing w:before="60" w:after="60"/>
              <w:rPr>
                <w:rFonts w:ascii="Arial" w:eastAsia="Arial" w:hAnsi="Arial" w:cs="Arial"/>
              </w:rPr>
            </w:pPr>
            <w:r w:rsidRPr="7F78A27A">
              <w:rPr>
                <w:rFonts w:ascii="Arial" w:eastAsia="Arial" w:hAnsi="Arial" w:cs="Arial"/>
              </w:rPr>
              <w:t xml:space="preserve">Throughout the certificate term, TECCA achieved partial success in accomplishing the school’s mission and is mostly implementing the school’s educational program, instructional methodology, and services for students articulated in the certificate. </w:t>
            </w:r>
          </w:p>
        </w:tc>
        <w:tc>
          <w:tcPr>
            <w:tcW w:w="1755" w:type="dxa"/>
            <w:tcMar>
              <w:left w:w="105" w:type="dxa"/>
              <w:right w:w="105" w:type="dxa"/>
            </w:tcMar>
            <w:vAlign w:val="center"/>
          </w:tcPr>
          <w:p w14:paraId="7C93FFB0" w14:textId="432CD44A" w:rsidR="7F78A27A" w:rsidRDefault="7F78A27A" w:rsidP="7F78A27A">
            <w:pPr>
              <w:spacing w:before="60" w:after="60"/>
              <w:jc w:val="center"/>
              <w:rPr>
                <w:rFonts w:ascii="Arial" w:eastAsia="Arial" w:hAnsi="Arial" w:cs="Arial"/>
              </w:rPr>
            </w:pPr>
            <w:r w:rsidRPr="7F78A27A">
              <w:rPr>
                <w:rFonts w:ascii="Arial" w:eastAsia="Arial" w:hAnsi="Arial" w:cs="Arial"/>
              </w:rPr>
              <w:t>Partially Meets</w:t>
            </w:r>
          </w:p>
        </w:tc>
      </w:tr>
      <w:tr w:rsidR="7F78A27A" w14:paraId="57A7D3E5" w14:textId="77777777" w:rsidTr="7F78A27A">
        <w:trPr>
          <w:trHeight w:val="300"/>
        </w:trPr>
        <w:tc>
          <w:tcPr>
            <w:tcW w:w="7695" w:type="dxa"/>
            <w:tcMar>
              <w:left w:w="105" w:type="dxa"/>
              <w:right w:w="105" w:type="dxa"/>
            </w:tcMar>
          </w:tcPr>
          <w:p w14:paraId="78D8EBF2" w14:textId="029EA152" w:rsidR="7F78A27A" w:rsidRDefault="7F78A27A" w:rsidP="7F78A27A">
            <w:pPr>
              <w:spacing w:before="60" w:after="60"/>
              <w:rPr>
                <w:rFonts w:ascii="Arial" w:eastAsia="Arial" w:hAnsi="Arial" w:cs="Arial"/>
              </w:rPr>
            </w:pPr>
            <w:r w:rsidRPr="7F78A27A">
              <w:rPr>
                <w:rFonts w:ascii="Arial" w:eastAsia="Arial" w:hAnsi="Arial" w:cs="Arial"/>
                <w:b/>
                <w:bCs/>
              </w:rPr>
              <w:t>Criterion 2: Access and Equity</w:t>
            </w:r>
          </w:p>
          <w:p w14:paraId="72C20A03" w14:textId="6B60993A" w:rsidR="7F78A27A" w:rsidRDefault="7F78A27A" w:rsidP="7F78A27A">
            <w:pPr>
              <w:spacing w:before="60" w:after="60"/>
              <w:rPr>
                <w:rFonts w:ascii="Arial" w:eastAsia="Arial" w:hAnsi="Arial" w:cs="Arial"/>
              </w:rPr>
            </w:pPr>
            <w:r w:rsidRPr="7F78A27A">
              <w:rPr>
                <w:rFonts w:ascii="Arial" w:eastAsia="Arial" w:hAnsi="Arial" w:cs="Arial"/>
              </w:rPr>
              <w:t>The school ensures access and equity for all students who attend and who are eligible to attend. The school defined attendance requirements and developed a process to monitor student attendance. The school uses active strategies from its Recruitment and Retention Plan to successfully enroll and retain students from all target populations specified in the certificate.</w:t>
            </w:r>
          </w:p>
        </w:tc>
        <w:tc>
          <w:tcPr>
            <w:tcW w:w="1755" w:type="dxa"/>
            <w:tcMar>
              <w:left w:w="105" w:type="dxa"/>
              <w:right w:w="105" w:type="dxa"/>
            </w:tcMar>
            <w:vAlign w:val="center"/>
          </w:tcPr>
          <w:p w14:paraId="136BD62E" w14:textId="3CF39E2B" w:rsidR="7F78A27A" w:rsidRDefault="7F78A27A" w:rsidP="7F78A27A">
            <w:pPr>
              <w:spacing w:before="60" w:after="60"/>
              <w:jc w:val="center"/>
              <w:rPr>
                <w:rFonts w:ascii="Arial" w:eastAsia="Arial" w:hAnsi="Arial" w:cs="Arial"/>
              </w:rPr>
            </w:pPr>
            <w:r w:rsidRPr="7F78A27A">
              <w:rPr>
                <w:rFonts w:ascii="Arial" w:eastAsia="Arial" w:hAnsi="Arial" w:cs="Arial"/>
              </w:rPr>
              <w:t>Meets</w:t>
            </w:r>
          </w:p>
        </w:tc>
      </w:tr>
      <w:tr w:rsidR="7F78A27A" w14:paraId="071B4CD2" w14:textId="77777777" w:rsidTr="7F78A27A">
        <w:trPr>
          <w:trHeight w:val="300"/>
        </w:trPr>
        <w:tc>
          <w:tcPr>
            <w:tcW w:w="7695" w:type="dxa"/>
            <w:tcMar>
              <w:left w:w="105" w:type="dxa"/>
              <w:right w:w="105" w:type="dxa"/>
            </w:tcMar>
          </w:tcPr>
          <w:p w14:paraId="6B8B2315" w14:textId="4849C7AC" w:rsidR="7F78A27A" w:rsidRDefault="7F78A27A" w:rsidP="7F78A27A">
            <w:pPr>
              <w:spacing w:before="60" w:after="60"/>
              <w:rPr>
                <w:rFonts w:ascii="Arial" w:eastAsia="Arial" w:hAnsi="Arial" w:cs="Arial"/>
              </w:rPr>
            </w:pPr>
            <w:r w:rsidRPr="7F78A27A">
              <w:rPr>
                <w:rFonts w:ascii="Arial" w:eastAsia="Arial" w:hAnsi="Arial" w:cs="Arial"/>
                <w:b/>
                <w:bCs/>
              </w:rPr>
              <w:t>Criterion 3: Compliance</w:t>
            </w:r>
          </w:p>
          <w:p w14:paraId="1CB8B0BA" w14:textId="52850667" w:rsidR="7F78A27A" w:rsidRDefault="7F78A27A" w:rsidP="7F78A27A">
            <w:pPr>
              <w:spacing w:before="60" w:after="60"/>
              <w:rPr>
                <w:rFonts w:ascii="Arial" w:eastAsia="Arial" w:hAnsi="Arial" w:cs="Arial"/>
              </w:rPr>
            </w:pPr>
            <w:r w:rsidRPr="7F78A27A">
              <w:rPr>
                <w:rFonts w:ascii="Arial" w:eastAsia="Arial" w:hAnsi="Arial" w:cs="Arial"/>
              </w:rPr>
              <w:t xml:space="preserve">The school is in compliance with program requirements as determined by monitoring reviews. The Department’s Special Education Planning and Policy (SEPP) Office determined the school met the requirements for special education during most years of its certificate. The board of trustees operates in a manner that is not fully in compliance with Open Meeting Law (OML). </w:t>
            </w:r>
          </w:p>
        </w:tc>
        <w:tc>
          <w:tcPr>
            <w:tcW w:w="1755" w:type="dxa"/>
            <w:tcMar>
              <w:left w:w="105" w:type="dxa"/>
              <w:right w:w="105" w:type="dxa"/>
            </w:tcMar>
            <w:vAlign w:val="center"/>
          </w:tcPr>
          <w:p w14:paraId="441608ED" w14:textId="67346803" w:rsidR="7F78A27A" w:rsidRDefault="7F78A27A" w:rsidP="7F78A27A">
            <w:pPr>
              <w:spacing w:before="60" w:after="60"/>
              <w:jc w:val="center"/>
              <w:rPr>
                <w:rFonts w:ascii="Arial" w:eastAsia="Arial" w:hAnsi="Arial" w:cs="Arial"/>
              </w:rPr>
            </w:pPr>
            <w:r w:rsidRPr="7F78A27A">
              <w:rPr>
                <w:rFonts w:ascii="Arial" w:eastAsia="Arial" w:hAnsi="Arial" w:cs="Arial"/>
              </w:rPr>
              <w:t>Not Rated</w:t>
            </w:r>
            <w:r w:rsidR="00F33D5C">
              <w:rPr>
                <w:rStyle w:val="FootnoteReference"/>
                <w:rFonts w:ascii="Arial" w:eastAsia="Arial" w:hAnsi="Arial" w:cs="Arial"/>
              </w:rPr>
              <w:footnoteReference w:id="15"/>
            </w:r>
          </w:p>
        </w:tc>
      </w:tr>
      <w:tr w:rsidR="7F78A27A" w14:paraId="1A2B8E9F" w14:textId="77777777" w:rsidTr="7F78A27A">
        <w:trPr>
          <w:trHeight w:val="300"/>
        </w:trPr>
        <w:tc>
          <w:tcPr>
            <w:tcW w:w="7695" w:type="dxa"/>
            <w:tcMar>
              <w:left w:w="105" w:type="dxa"/>
              <w:right w:w="105" w:type="dxa"/>
            </w:tcMar>
          </w:tcPr>
          <w:p w14:paraId="6FB51DEB" w14:textId="0721E93B" w:rsidR="7F78A27A" w:rsidRDefault="7F78A27A" w:rsidP="7F78A27A">
            <w:pPr>
              <w:spacing w:before="60" w:after="60"/>
              <w:rPr>
                <w:rFonts w:ascii="Arial" w:eastAsia="Arial" w:hAnsi="Arial" w:cs="Arial"/>
              </w:rPr>
            </w:pPr>
            <w:r w:rsidRPr="7F78A27A">
              <w:rPr>
                <w:rFonts w:ascii="Arial" w:eastAsia="Arial" w:hAnsi="Arial" w:cs="Arial"/>
                <w:b/>
                <w:bCs/>
              </w:rPr>
              <w:t>Criterion 4: Student Performance</w:t>
            </w:r>
          </w:p>
          <w:p w14:paraId="2A2B1CBB" w14:textId="696AF9DC" w:rsidR="7F78A27A" w:rsidRDefault="7F78A27A" w:rsidP="7F78A27A">
            <w:pPr>
              <w:pStyle w:val="ListParagraph"/>
              <w:numPr>
                <w:ilvl w:val="0"/>
                <w:numId w:val="1"/>
              </w:numPr>
              <w:spacing w:before="60" w:after="60"/>
              <w:rPr>
                <w:rFonts w:ascii="Arial" w:eastAsia="Arial" w:hAnsi="Arial" w:cs="Arial"/>
              </w:rPr>
            </w:pPr>
            <w:r w:rsidRPr="7F78A27A">
              <w:rPr>
                <w:rFonts w:ascii="Arial" w:eastAsia="Arial" w:hAnsi="Arial" w:cs="Arial"/>
                <w:b/>
                <w:bCs/>
              </w:rPr>
              <w:t>Progress Toward Improvement Targets:</w:t>
            </w:r>
            <w:r w:rsidRPr="7F78A27A">
              <w:rPr>
                <w:rFonts w:ascii="Arial" w:eastAsia="Arial" w:hAnsi="Arial" w:cs="Arial"/>
              </w:rPr>
              <w:t xml:space="preserve"> 30% - Moderate progress toward targets</w:t>
            </w:r>
          </w:p>
          <w:p w14:paraId="2F54AE91" w14:textId="5FD5EE61" w:rsidR="7F78A27A" w:rsidRDefault="7F78A27A" w:rsidP="7F78A27A">
            <w:pPr>
              <w:pStyle w:val="ListParagraph"/>
              <w:numPr>
                <w:ilvl w:val="0"/>
                <w:numId w:val="1"/>
              </w:numPr>
              <w:spacing w:before="60" w:after="60"/>
              <w:rPr>
                <w:rFonts w:ascii="Arial" w:eastAsia="Arial" w:hAnsi="Arial" w:cs="Arial"/>
              </w:rPr>
            </w:pPr>
            <w:r w:rsidRPr="7F78A27A">
              <w:rPr>
                <w:rFonts w:ascii="Arial" w:eastAsia="Arial" w:hAnsi="Arial" w:cs="Arial"/>
                <w:b/>
                <w:bCs/>
              </w:rPr>
              <w:t>2025 Accountability Percentile:</w:t>
            </w:r>
            <w:r w:rsidRPr="7F78A27A">
              <w:rPr>
                <w:rFonts w:ascii="Arial" w:eastAsia="Arial" w:hAnsi="Arial" w:cs="Arial"/>
              </w:rPr>
              <w:t xml:space="preserve"> 18</w:t>
            </w:r>
          </w:p>
        </w:tc>
        <w:tc>
          <w:tcPr>
            <w:tcW w:w="1755" w:type="dxa"/>
            <w:tcMar>
              <w:left w:w="105" w:type="dxa"/>
              <w:right w:w="105" w:type="dxa"/>
            </w:tcMar>
            <w:vAlign w:val="center"/>
          </w:tcPr>
          <w:p w14:paraId="394266AB" w14:textId="59B42090" w:rsidR="7F78A27A" w:rsidRDefault="7F78A27A" w:rsidP="7F78A27A">
            <w:pPr>
              <w:spacing w:before="60" w:after="60"/>
              <w:jc w:val="center"/>
              <w:rPr>
                <w:rFonts w:ascii="Arial" w:eastAsia="Arial" w:hAnsi="Arial" w:cs="Arial"/>
              </w:rPr>
            </w:pPr>
            <w:r w:rsidRPr="7F78A27A">
              <w:rPr>
                <w:rFonts w:ascii="Arial" w:eastAsia="Arial" w:hAnsi="Arial" w:cs="Arial"/>
              </w:rPr>
              <w:t>Requiring assistance or intervention</w:t>
            </w:r>
          </w:p>
        </w:tc>
      </w:tr>
      <w:tr w:rsidR="7F78A27A" w14:paraId="66A2BE99" w14:textId="77777777" w:rsidTr="7F78A27A">
        <w:trPr>
          <w:trHeight w:val="60"/>
        </w:trPr>
        <w:tc>
          <w:tcPr>
            <w:tcW w:w="7695" w:type="dxa"/>
            <w:tcMar>
              <w:left w:w="105" w:type="dxa"/>
              <w:right w:w="105" w:type="dxa"/>
            </w:tcMar>
          </w:tcPr>
          <w:p w14:paraId="3DE6DE33" w14:textId="75B3953A" w:rsidR="7F78A27A" w:rsidRDefault="7F78A27A" w:rsidP="7F78A27A">
            <w:pPr>
              <w:spacing w:before="60" w:after="60"/>
              <w:rPr>
                <w:rFonts w:ascii="Arial" w:eastAsia="Arial" w:hAnsi="Arial" w:cs="Arial"/>
              </w:rPr>
            </w:pPr>
            <w:r w:rsidRPr="7F78A27A">
              <w:rPr>
                <w:rFonts w:ascii="Arial" w:eastAsia="Arial" w:hAnsi="Arial" w:cs="Arial"/>
                <w:b/>
                <w:bCs/>
              </w:rPr>
              <w:t>Key Indicator 5.1: Curriculum and Course Design</w:t>
            </w:r>
          </w:p>
          <w:p w14:paraId="4FE52CB4" w14:textId="403D78F4" w:rsidR="7F78A27A" w:rsidRDefault="7F78A27A" w:rsidP="7F78A27A">
            <w:pPr>
              <w:spacing w:before="60" w:after="60"/>
              <w:rPr>
                <w:rFonts w:ascii="Arial" w:eastAsia="Arial" w:hAnsi="Arial" w:cs="Arial"/>
              </w:rPr>
            </w:pPr>
            <w:r w:rsidRPr="7F78A27A">
              <w:rPr>
                <w:rFonts w:ascii="Arial" w:eastAsia="Arial" w:hAnsi="Arial" w:cs="Arial"/>
              </w:rPr>
              <w:t xml:space="preserve">The school’s curriculum is aligned to statewide curriculum frameworks, but TECCA’s courses partially integrate materials and technology that appropriately support opportunities for students to master skills and concepts. </w:t>
            </w:r>
          </w:p>
        </w:tc>
        <w:tc>
          <w:tcPr>
            <w:tcW w:w="1755" w:type="dxa"/>
            <w:tcMar>
              <w:left w:w="105" w:type="dxa"/>
              <w:right w:w="105" w:type="dxa"/>
            </w:tcMar>
            <w:vAlign w:val="center"/>
          </w:tcPr>
          <w:p w14:paraId="4F326D53" w14:textId="7DEE2561" w:rsidR="7F78A27A" w:rsidRDefault="7F78A27A" w:rsidP="7F78A27A">
            <w:pPr>
              <w:spacing w:before="60" w:after="60"/>
              <w:jc w:val="center"/>
              <w:rPr>
                <w:rFonts w:ascii="Arial" w:eastAsia="Arial" w:hAnsi="Arial" w:cs="Arial"/>
              </w:rPr>
            </w:pPr>
            <w:r w:rsidRPr="7F78A27A">
              <w:rPr>
                <w:rFonts w:ascii="Arial" w:eastAsia="Arial" w:hAnsi="Arial" w:cs="Arial"/>
              </w:rPr>
              <w:t>Partially Meets</w:t>
            </w:r>
          </w:p>
        </w:tc>
      </w:tr>
      <w:tr w:rsidR="7F78A27A" w14:paraId="5F615245" w14:textId="77777777" w:rsidTr="7F78A27A">
        <w:trPr>
          <w:trHeight w:val="60"/>
        </w:trPr>
        <w:tc>
          <w:tcPr>
            <w:tcW w:w="7695" w:type="dxa"/>
            <w:tcMar>
              <w:left w:w="105" w:type="dxa"/>
              <w:right w:w="105" w:type="dxa"/>
            </w:tcMar>
          </w:tcPr>
          <w:p w14:paraId="20682229" w14:textId="3BA9B700" w:rsidR="7F78A27A" w:rsidRDefault="7F78A27A" w:rsidP="7F78A27A">
            <w:pPr>
              <w:spacing w:before="60" w:after="60"/>
              <w:rPr>
                <w:rFonts w:ascii="Arial" w:eastAsia="Arial" w:hAnsi="Arial" w:cs="Arial"/>
              </w:rPr>
            </w:pPr>
            <w:r w:rsidRPr="7F78A27A">
              <w:rPr>
                <w:rFonts w:ascii="Arial" w:eastAsia="Arial" w:hAnsi="Arial" w:cs="Arial"/>
                <w:b/>
                <w:bCs/>
              </w:rPr>
              <w:t>Key Indicator 5.2: Instruction</w:t>
            </w:r>
          </w:p>
          <w:p w14:paraId="7E264D02" w14:textId="2C6BD491" w:rsidR="7F78A27A" w:rsidRDefault="7F78A27A" w:rsidP="7F78A27A">
            <w:pPr>
              <w:spacing w:before="60" w:after="60"/>
              <w:rPr>
                <w:rFonts w:ascii="Arial" w:eastAsia="Arial" w:hAnsi="Arial" w:cs="Arial"/>
              </w:rPr>
            </w:pPr>
            <w:r w:rsidRPr="7F78A27A">
              <w:rPr>
                <w:rFonts w:ascii="Arial" w:eastAsia="Arial" w:hAnsi="Arial" w:cs="Arial"/>
              </w:rPr>
              <w:t xml:space="preserve">The school achieved partial success in implementing high-quality virtual teaching practices. </w:t>
            </w:r>
          </w:p>
        </w:tc>
        <w:tc>
          <w:tcPr>
            <w:tcW w:w="1755" w:type="dxa"/>
            <w:tcMar>
              <w:left w:w="105" w:type="dxa"/>
              <w:right w:w="105" w:type="dxa"/>
            </w:tcMar>
            <w:vAlign w:val="center"/>
          </w:tcPr>
          <w:p w14:paraId="0482CF73" w14:textId="208E07E2" w:rsidR="7F78A27A" w:rsidRDefault="7F78A27A" w:rsidP="7F78A27A">
            <w:pPr>
              <w:spacing w:before="60" w:after="60"/>
              <w:jc w:val="center"/>
              <w:rPr>
                <w:rFonts w:ascii="Arial" w:eastAsia="Arial" w:hAnsi="Arial" w:cs="Arial"/>
              </w:rPr>
            </w:pPr>
            <w:r w:rsidRPr="7F78A27A">
              <w:rPr>
                <w:rFonts w:ascii="Arial" w:eastAsia="Arial" w:hAnsi="Arial" w:cs="Arial"/>
              </w:rPr>
              <w:t>Partially Meets</w:t>
            </w:r>
          </w:p>
        </w:tc>
      </w:tr>
      <w:tr w:rsidR="7F78A27A" w14:paraId="16C5F444" w14:textId="77777777" w:rsidTr="7F78A27A">
        <w:trPr>
          <w:trHeight w:val="60"/>
        </w:trPr>
        <w:tc>
          <w:tcPr>
            <w:tcW w:w="7695" w:type="dxa"/>
            <w:tcMar>
              <w:left w:w="105" w:type="dxa"/>
              <w:right w:w="105" w:type="dxa"/>
            </w:tcMar>
          </w:tcPr>
          <w:p w14:paraId="255D8F7A" w14:textId="00CF36CF" w:rsidR="7F78A27A" w:rsidRDefault="7F78A27A" w:rsidP="7F78A27A">
            <w:pPr>
              <w:spacing w:before="60" w:after="60"/>
              <w:rPr>
                <w:rFonts w:ascii="Arial" w:eastAsia="Arial" w:hAnsi="Arial" w:cs="Arial"/>
              </w:rPr>
            </w:pPr>
            <w:r w:rsidRPr="7F78A27A">
              <w:rPr>
                <w:rFonts w:ascii="Arial" w:eastAsia="Arial" w:hAnsi="Arial" w:cs="Arial"/>
                <w:b/>
                <w:bCs/>
              </w:rPr>
              <w:t>Key Indicator 5.4: Supports for All Learners</w:t>
            </w:r>
          </w:p>
          <w:p w14:paraId="1E3EE101" w14:textId="4CCECE7D" w:rsidR="7F78A27A" w:rsidRDefault="7F78A27A" w:rsidP="7F78A27A">
            <w:pPr>
              <w:spacing w:before="60" w:after="60"/>
              <w:rPr>
                <w:rFonts w:ascii="Arial" w:eastAsia="Arial" w:hAnsi="Arial" w:cs="Arial"/>
              </w:rPr>
            </w:pPr>
            <w:r w:rsidRPr="7F78A27A">
              <w:rPr>
                <w:rFonts w:ascii="Arial" w:eastAsia="Arial" w:hAnsi="Arial" w:cs="Arial"/>
              </w:rPr>
              <w:t xml:space="preserve">The school’s tiered support model meets the academic, behavioral, and social-emotional needs of all students. </w:t>
            </w:r>
          </w:p>
        </w:tc>
        <w:tc>
          <w:tcPr>
            <w:tcW w:w="1755" w:type="dxa"/>
            <w:tcMar>
              <w:left w:w="105" w:type="dxa"/>
              <w:right w:w="105" w:type="dxa"/>
            </w:tcMar>
            <w:vAlign w:val="center"/>
          </w:tcPr>
          <w:p w14:paraId="34A8EDC0" w14:textId="42AB4C08" w:rsidR="7F78A27A" w:rsidRDefault="7F78A27A" w:rsidP="7F78A27A">
            <w:pPr>
              <w:spacing w:before="60" w:after="60"/>
              <w:jc w:val="center"/>
              <w:rPr>
                <w:rFonts w:ascii="Arial" w:eastAsia="Arial" w:hAnsi="Arial" w:cs="Arial"/>
              </w:rPr>
            </w:pPr>
            <w:r w:rsidRPr="7F78A27A">
              <w:rPr>
                <w:rFonts w:ascii="Arial" w:eastAsia="Arial" w:hAnsi="Arial" w:cs="Arial"/>
              </w:rPr>
              <w:t>Meets</w:t>
            </w:r>
          </w:p>
        </w:tc>
      </w:tr>
      <w:tr w:rsidR="7F78A27A" w14:paraId="435BFB08" w14:textId="77777777" w:rsidTr="7F78A27A">
        <w:trPr>
          <w:trHeight w:val="60"/>
        </w:trPr>
        <w:tc>
          <w:tcPr>
            <w:tcW w:w="7695" w:type="dxa"/>
            <w:tcMar>
              <w:left w:w="105" w:type="dxa"/>
              <w:right w:w="105" w:type="dxa"/>
            </w:tcMar>
          </w:tcPr>
          <w:p w14:paraId="51E24DE3" w14:textId="3040F9E4" w:rsidR="7F78A27A" w:rsidRDefault="7F78A27A" w:rsidP="7F78A27A">
            <w:pPr>
              <w:spacing w:before="60" w:after="60"/>
              <w:rPr>
                <w:rFonts w:ascii="Arial" w:eastAsia="Arial" w:hAnsi="Arial" w:cs="Arial"/>
              </w:rPr>
            </w:pPr>
            <w:r w:rsidRPr="7F78A27A">
              <w:rPr>
                <w:rFonts w:ascii="Arial" w:eastAsia="Arial" w:hAnsi="Arial" w:cs="Arial"/>
                <w:b/>
                <w:bCs/>
              </w:rPr>
              <w:t>Key Indicator 7.3: Contractual Relationships</w:t>
            </w:r>
          </w:p>
          <w:p w14:paraId="0F172E8B" w14:textId="4A4BF4F8" w:rsidR="7F78A27A" w:rsidRDefault="7F78A27A" w:rsidP="7F78A27A">
            <w:pPr>
              <w:spacing w:before="60" w:after="60"/>
              <w:rPr>
                <w:rFonts w:ascii="Arial" w:eastAsia="Arial" w:hAnsi="Arial" w:cs="Arial"/>
              </w:rPr>
            </w:pPr>
            <w:r w:rsidRPr="7F78A27A">
              <w:rPr>
                <w:rFonts w:ascii="Arial" w:eastAsia="Arial" w:hAnsi="Arial" w:cs="Arial"/>
              </w:rPr>
              <w:t>Throughout the certificate term, TECCA’s board of trustees and school leadership have established an effective working relationship with the contracted organization, Pearson.</w:t>
            </w:r>
          </w:p>
        </w:tc>
        <w:tc>
          <w:tcPr>
            <w:tcW w:w="1755" w:type="dxa"/>
            <w:tcMar>
              <w:left w:w="105" w:type="dxa"/>
              <w:right w:w="105" w:type="dxa"/>
            </w:tcMar>
            <w:vAlign w:val="center"/>
          </w:tcPr>
          <w:p w14:paraId="6D318A36" w14:textId="4265A4AE" w:rsidR="7F78A27A" w:rsidRDefault="7F78A27A" w:rsidP="7F78A27A">
            <w:pPr>
              <w:spacing w:before="60" w:after="60"/>
              <w:jc w:val="center"/>
              <w:rPr>
                <w:rFonts w:ascii="Arial" w:eastAsia="Arial" w:hAnsi="Arial" w:cs="Arial"/>
              </w:rPr>
            </w:pPr>
            <w:r w:rsidRPr="7F78A27A">
              <w:rPr>
                <w:rFonts w:ascii="Arial" w:eastAsia="Arial" w:hAnsi="Arial" w:cs="Arial"/>
              </w:rPr>
              <w:t>Meets</w:t>
            </w:r>
          </w:p>
        </w:tc>
      </w:tr>
      <w:tr w:rsidR="7F78A27A" w14:paraId="07E2C337" w14:textId="77777777" w:rsidTr="7F78A27A">
        <w:trPr>
          <w:trHeight w:val="60"/>
        </w:trPr>
        <w:tc>
          <w:tcPr>
            <w:tcW w:w="7695" w:type="dxa"/>
            <w:tcMar>
              <w:left w:w="105" w:type="dxa"/>
              <w:right w:w="105" w:type="dxa"/>
            </w:tcMar>
          </w:tcPr>
          <w:p w14:paraId="4BBE7733" w14:textId="38DB6206" w:rsidR="7F78A27A" w:rsidRDefault="7F78A27A" w:rsidP="7F78A27A">
            <w:pPr>
              <w:spacing w:before="60" w:after="60"/>
              <w:rPr>
                <w:rFonts w:ascii="Arial" w:eastAsia="Arial" w:hAnsi="Arial" w:cs="Arial"/>
              </w:rPr>
            </w:pPr>
            <w:r w:rsidRPr="7F78A27A">
              <w:rPr>
                <w:rFonts w:ascii="Arial" w:eastAsia="Arial" w:hAnsi="Arial" w:cs="Arial"/>
                <w:b/>
                <w:bCs/>
              </w:rPr>
              <w:t>Criterion 8: Governance</w:t>
            </w:r>
          </w:p>
          <w:p w14:paraId="2BE58024" w14:textId="19B10182" w:rsidR="7F78A27A" w:rsidRDefault="7F78A27A" w:rsidP="7F78A27A">
            <w:pPr>
              <w:spacing w:before="60" w:after="60"/>
              <w:rPr>
                <w:rFonts w:ascii="Arial" w:eastAsia="Arial" w:hAnsi="Arial" w:cs="Arial"/>
              </w:rPr>
            </w:pPr>
            <w:r w:rsidRPr="7F78A27A">
              <w:rPr>
                <w:rFonts w:ascii="Arial" w:eastAsia="Arial" w:hAnsi="Arial" w:cs="Arial"/>
              </w:rPr>
              <w:t>The school’s board members have been active and involved in their roles as public agents, providing competent and appropriate governance and oversight of the school.</w:t>
            </w:r>
          </w:p>
        </w:tc>
        <w:tc>
          <w:tcPr>
            <w:tcW w:w="1755" w:type="dxa"/>
            <w:tcMar>
              <w:left w:w="105" w:type="dxa"/>
              <w:right w:w="105" w:type="dxa"/>
            </w:tcMar>
            <w:vAlign w:val="center"/>
          </w:tcPr>
          <w:p w14:paraId="79B0EA53" w14:textId="06D7D351" w:rsidR="7F78A27A" w:rsidRDefault="7F78A27A" w:rsidP="7F78A27A">
            <w:pPr>
              <w:spacing w:before="60" w:after="60"/>
              <w:jc w:val="center"/>
              <w:rPr>
                <w:rFonts w:ascii="Arial" w:eastAsia="Arial" w:hAnsi="Arial" w:cs="Arial"/>
              </w:rPr>
            </w:pPr>
            <w:r w:rsidRPr="7F78A27A">
              <w:rPr>
                <w:rFonts w:ascii="Arial" w:eastAsia="Arial" w:hAnsi="Arial" w:cs="Arial"/>
              </w:rPr>
              <w:t>Meets</w:t>
            </w:r>
          </w:p>
        </w:tc>
      </w:tr>
    </w:tbl>
    <w:p w14:paraId="51D66972" w14:textId="41304D65" w:rsidR="00802713" w:rsidRDefault="00802713" w:rsidP="7F78A27A">
      <w:pPr>
        <w:rPr>
          <w:rFonts w:ascii="Arial" w:eastAsia="Arial" w:hAnsi="Arial" w:cs="Arial"/>
          <w:color w:val="000000" w:themeColor="text1"/>
        </w:rPr>
      </w:pPr>
    </w:p>
    <w:p w14:paraId="24981848" w14:textId="0743B02D" w:rsidR="00802713" w:rsidRDefault="66880088" w:rsidP="7F78A27A">
      <w:pPr>
        <w:pStyle w:val="Heading3"/>
        <w:rPr>
          <w:rFonts w:ascii="Arial" w:eastAsia="Arial" w:hAnsi="Arial" w:cs="Arial"/>
          <w:b/>
          <w:bCs/>
          <w:color w:val="000000" w:themeColor="text1"/>
          <w:sz w:val="30"/>
          <w:szCs w:val="30"/>
        </w:rPr>
      </w:pPr>
      <w:r w:rsidRPr="7F78A27A">
        <w:rPr>
          <w:rFonts w:ascii="Arial" w:eastAsia="Arial" w:hAnsi="Arial" w:cs="Arial"/>
          <w:b/>
          <w:bCs/>
          <w:color w:val="000000" w:themeColor="text1"/>
          <w:sz w:val="30"/>
          <w:szCs w:val="30"/>
        </w:rPr>
        <w:t>Recommendation</w:t>
      </w:r>
    </w:p>
    <w:p w14:paraId="119F4788" w14:textId="4AE9B822"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Pursuant to the regulations for Commonwealth of Massachusetts Virtual Schools at 603 CMR 52.11 and 52.12(1), I recommend that the Board renew the certificate for TECCA for four years. Given all the evidence, I also recommend that the Board removes the condition related to the school’s financial oversight and extends the condition related to academic results. The condition is as follows.</w:t>
      </w:r>
    </w:p>
    <w:p w14:paraId="40CB3C41" w14:textId="55707284" w:rsidR="00802713" w:rsidRDefault="66880088" w:rsidP="7F78A27A">
      <w:pPr>
        <w:ind w:left="720"/>
        <w:rPr>
          <w:rFonts w:ascii="Arial" w:eastAsia="Arial" w:hAnsi="Arial" w:cs="Arial"/>
          <w:color w:val="000000" w:themeColor="text1"/>
        </w:rPr>
      </w:pPr>
      <w:r w:rsidRPr="7F78A27A">
        <w:rPr>
          <w:rFonts w:ascii="Arial" w:eastAsia="Arial" w:hAnsi="Arial" w:cs="Arial"/>
          <w:b/>
          <w:bCs/>
          <w:color w:val="000000" w:themeColor="text1"/>
        </w:rPr>
        <w:t xml:space="preserve">Condition: </w:t>
      </w:r>
      <w:r w:rsidRPr="7F78A27A">
        <w:rPr>
          <w:rFonts w:ascii="Arial" w:eastAsia="Arial" w:hAnsi="Arial" w:cs="Arial"/>
          <w:color w:val="000000" w:themeColor="text1"/>
        </w:rPr>
        <w:t xml:space="preserve">By December 31, 2029, the school must demonstrate that it is an academic success by providing evidence that the school has exhibited significant and sustained academic improvement as determined by the Commissioner. Should the school demonstrate significant and sustained academic improvement before 2029, the Commissioner may remove this condition rather than wait until December 31, 2029. </w:t>
      </w:r>
    </w:p>
    <w:p w14:paraId="5CF0BF50" w14:textId="3B78CFCD"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The Department will work with TECCA to ensure the school, including the board of trustees, is addressing additional concerns identified during the renewal process including, but not limited to, the school’s virtual teaching practices, tracking progress made in academic achievement, and actively working to improve student achievement. The Department expects the CMVS board of trustees to direct school leadership to implement changes if no improvement occurs.</w:t>
      </w:r>
    </w:p>
    <w:p w14:paraId="0136DE8F" w14:textId="04D90691" w:rsidR="00802713" w:rsidRDefault="00802713" w:rsidP="7F78A27A">
      <w:pPr>
        <w:rPr>
          <w:rFonts w:ascii="Arial" w:eastAsia="Arial" w:hAnsi="Arial" w:cs="Arial"/>
          <w:color w:val="000000" w:themeColor="text1"/>
        </w:rPr>
      </w:pPr>
    </w:p>
    <w:p w14:paraId="58F95F54" w14:textId="6140D640" w:rsidR="00802713" w:rsidRDefault="66880088" w:rsidP="7F78A27A">
      <w:pPr>
        <w:pStyle w:val="Heading2"/>
        <w:rPr>
          <w:rFonts w:ascii="Arial" w:eastAsia="Arial" w:hAnsi="Arial" w:cs="Arial"/>
          <w:b/>
          <w:bCs/>
          <w:color w:val="000000" w:themeColor="text1"/>
        </w:rPr>
      </w:pPr>
      <w:r w:rsidRPr="7F78A27A">
        <w:rPr>
          <w:rFonts w:ascii="Arial" w:eastAsia="Arial" w:hAnsi="Arial" w:cs="Arial"/>
          <w:b/>
          <w:bCs/>
          <w:color w:val="000000" w:themeColor="text1"/>
        </w:rPr>
        <w:t>Conclusion</w:t>
      </w:r>
    </w:p>
    <w:p w14:paraId="0277AA02" w14:textId="4E49AD8C" w:rsidR="000162E5" w:rsidRDefault="670D7B85" w:rsidP="7F78A27A">
      <w:pPr>
        <w:rPr>
          <w:rFonts w:ascii="Arial" w:eastAsia="Arial" w:hAnsi="Arial" w:cs="Arial"/>
          <w:color w:val="000000" w:themeColor="text1"/>
        </w:rPr>
      </w:pPr>
      <w:r w:rsidRPr="55FCF45B">
        <w:rPr>
          <w:rFonts w:ascii="Arial" w:eastAsia="Arial" w:hAnsi="Arial" w:cs="Arial"/>
          <w:color w:val="000000" w:themeColor="text1"/>
        </w:rPr>
        <w:t>Two motions are attached to this memo</w:t>
      </w:r>
      <w:r w:rsidR="11606869" w:rsidRPr="55FCF45B">
        <w:rPr>
          <w:rFonts w:ascii="Arial" w:eastAsia="Arial" w:hAnsi="Arial" w:cs="Arial"/>
          <w:color w:val="000000" w:themeColor="text1"/>
        </w:rPr>
        <w:t>randum</w:t>
      </w:r>
      <w:r w:rsidRPr="55FCF45B">
        <w:rPr>
          <w:rFonts w:ascii="Arial" w:eastAsia="Arial" w:hAnsi="Arial" w:cs="Arial"/>
          <w:color w:val="000000" w:themeColor="text1"/>
        </w:rPr>
        <w:t xml:space="preserve"> w</w:t>
      </w:r>
      <w:r w:rsidR="26C7D945" w:rsidRPr="55FCF45B">
        <w:rPr>
          <w:rFonts w:ascii="Arial" w:eastAsia="Arial" w:hAnsi="Arial" w:cs="Arial"/>
          <w:color w:val="000000" w:themeColor="text1"/>
        </w:rPr>
        <w:t xml:space="preserve">hich support my recommendations. Each </w:t>
      </w:r>
      <w:r w:rsidR="11606869" w:rsidRPr="55FCF45B">
        <w:rPr>
          <w:rFonts w:ascii="Arial" w:eastAsia="Arial" w:hAnsi="Arial" w:cs="Arial"/>
          <w:color w:val="000000" w:themeColor="text1"/>
        </w:rPr>
        <w:t>motion</w:t>
      </w:r>
      <w:r w:rsidR="26C7D945" w:rsidRPr="55FCF45B">
        <w:rPr>
          <w:rFonts w:ascii="Arial" w:eastAsia="Arial" w:hAnsi="Arial" w:cs="Arial"/>
          <w:color w:val="000000" w:themeColor="text1"/>
        </w:rPr>
        <w:t xml:space="preserve"> renews the certificate of the CMVS</w:t>
      </w:r>
      <w:r w:rsidR="01B49C63" w:rsidRPr="55FCF45B">
        <w:rPr>
          <w:rFonts w:ascii="Arial" w:eastAsia="Arial" w:hAnsi="Arial" w:cs="Arial"/>
          <w:color w:val="000000" w:themeColor="text1"/>
        </w:rPr>
        <w:t>;</w:t>
      </w:r>
      <w:r w:rsidR="26C7D945" w:rsidRPr="55FCF45B">
        <w:rPr>
          <w:rFonts w:ascii="Arial" w:eastAsia="Arial" w:hAnsi="Arial" w:cs="Arial"/>
          <w:color w:val="000000" w:themeColor="text1"/>
        </w:rPr>
        <w:t xml:space="preserve"> imposes a condition related to academic </w:t>
      </w:r>
      <w:r w:rsidR="1B6B4F93" w:rsidRPr="55FCF45B">
        <w:rPr>
          <w:rFonts w:ascii="Arial" w:eastAsia="Arial" w:hAnsi="Arial" w:cs="Arial"/>
          <w:color w:val="000000" w:themeColor="text1"/>
        </w:rPr>
        <w:t>improvement</w:t>
      </w:r>
      <w:r w:rsidR="01B49C63" w:rsidRPr="55FCF45B">
        <w:rPr>
          <w:rFonts w:ascii="Arial" w:eastAsia="Arial" w:hAnsi="Arial" w:cs="Arial"/>
          <w:color w:val="000000" w:themeColor="text1"/>
        </w:rPr>
        <w:t>;</w:t>
      </w:r>
      <w:r w:rsidR="1B6B4F93" w:rsidRPr="55FCF45B">
        <w:rPr>
          <w:rFonts w:ascii="Arial" w:eastAsia="Arial" w:hAnsi="Arial" w:cs="Arial"/>
          <w:color w:val="000000" w:themeColor="text1"/>
        </w:rPr>
        <w:t xml:space="preserve"> and</w:t>
      </w:r>
      <w:r w:rsidR="01B49C63" w:rsidRPr="55FCF45B">
        <w:rPr>
          <w:rFonts w:ascii="Arial" w:eastAsia="Arial" w:hAnsi="Arial" w:cs="Arial"/>
          <w:color w:val="000000" w:themeColor="text1"/>
        </w:rPr>
        <w:t xml:space="preserve">, aligned </w:t>
      </w:r>
      <w:r w:rsidR="1B03C998" w:rsidRPr="55FCF45B">
        <w:rPr>
          <w:rFonts w:ascii="Arial" w:eastAsia="Arial" w:hAnsi="Arial" w:cs="Arial"/>
          <w:color w:val="000000" w:themeColor="text1"/>
        </w:rPr>
        <w:t>with</w:t>
      </w:r>
      <w:r w:rsidR="01B49C63" w:rsidRPr="55FCF45B">
        <w:rPr>
          <w:rFonts w:ascii="Arial" w:eastAsia="Arial" w:hAnsi="Arial" w:cs="Arial"/>
          <w:color w:val="000000" w:themeColor="text1"/>
        </w:rPr>
        <w:t xml:space="preserve"> past practice, </w:t>
      </w:r>
      <w:r w:rsidR="1B6B4F93" w:rsidRPr="55FCF45B">
        <w:rPr>
          <w:rFonts w:ascii="Arial" w:eastAsia="Arial" w:hAnsi="Arial" w:cs="Arial"/>
          <w:color w:val="000000" w:themeColor="text1"/>
        </w:rPr>
        <w:t xml:space="preserve">authorizes me to </w:t>
      </w:r>
      <w:r w:rsidR="53156F98" w:rsidRPr="55FCF45B">
        <w:rPr>
          <w:rFonts w:ascii="Arial" w:eastAsia="Arial" w:hAnsi="Arial" w:cs="Arial"/>
          <w:color w:val="000000" w:themeColor="text1"/>
        </w:rPr>
        <w:t>annually adjust each CMVS’</w:t>
      </w:r>
      <w:r w:rsidR="078C0934" w:rsidRPr="55FCF45B">
        <w:rPr>
          <w:rFonts w:ascii="Arial" w:eastAsia="Arial" w:hAnsi="Arial" w:cs="Arial"/>
          <w:color w:val="000000" w:themeColor="text1"/>
        </w:rPr>
        <w:t>s</w:t>
      </w:r>
      <w:r w:rsidR="53156F98" w:rsidRPr="55FCF45B">
        <w:rPr>
          <w:rFonts w:ascii="Arial" w:eastAsia="Arial" w:hAnsi="Arial" w:cs="Arial"/>
          <w:color w:val="000000" w:themeColor="text1"/>
        </w:rPr>
        <w:t xml:space="preserve"> per pupil tuition rate</w:t>
      </w:r>
      <w:r w:rsidR="2374C014" w:rsidRPr="55FCF45B">
        <w:rPr>
          <w:rFonts w:ascii="Arial" w:eastAsia="Arial" w:hAnsi="Arial" w:cs="Arial"/>
          <w:color w:val="000000" w:themeColor="text1"/>
        </w:rPr>
        <w:t>,</w:t>
      </w:r>
      <w:r w:rsidR="6E5BA290" w:rsidRPr="55FCF45B">
        <w:rPr>
          <w:rFonts w:ascii="Arial" w:eastAsia="Arial" w:hAnsi="Arial" w:cs="Arial"/>
          <w:color w:val="000000" w:themeColor="text1"/>
        </w:rPr>
        <w:t xml:space="preserve"> </w:t>
      </w:r>
      <w:r w:rsidR="01B49C63" w:rsidRPr="55FCF45B">
        <w:rPr>
          <w:rFonts w:ascii="Arial" w:eastAsia="Arial" w:hAnsi="Arial" w:cs="Arial"/>
          <w:color w:val="000000" w:themeColor="text1"/>
        </w:rPr>
        <w:t xml:space="preserve">as </w:t>
      </w:r>
      <w:r w:rsidR="6E5BA290" w:rsidRPr="55FCF45B">
        <w:rPr>
          <w:rFonts w:ascii="Arial" w:eastAsia="Arial" w:hAnsi="Arial" w:cs="Arial"/>
          <w:color w:val="000000" w:themeColor="text1"/>
        </w:rPr>
        <w:t>established by the Board in 2024</w:t>
      </w:r>
      <w:r w:rsidR="2374C014" w:rsidRPr="55FCF45B">
        <w:rPr>
          <w:rFonts w:ascii="Arial" w:eastAsia="Arial" w:hAnsi="Arial" w:cs="Arial"/>
          <w:color w:val="000000" w:themeColor="text1"/>
        </w:rPr>
        <w:t>,</w:t>
      </w:r>
      <w:r w:rsidR="6E5BA290" w:rsidRPr="55FCF45B">
        <w:rPr>
          <w:rFonts w:ascii="Arial" w:eastAsia="Arial" w:hAnsi="Arial" w:cs="Arial"/>
          <w:color w:val="000000" w:themeColor="text1"/>
        </w:rPr>
        <w:t xml:space="preserve"> to reflect the Chapter 70 inflationary increase</w:t>
      </w:r>
      <w:r w:rsidR="11606869" w:rsidRPr="55FCF45B">
        <w:rPr>
          <w:rFonts w:ascii="Arial" w:eastAsia="Arial" w:hAnsi="Arial" w:cs="Arial"/>
          <w:color w:val="000000" w:themeColor="text1"/>
        </w:rPr>
        <w:t xml:space="preserve">s during the </w:t>
      </w:r>
      <w:r w:rsidR="2374C014" w:rsidRPr="55FCF45B">
        <w:rPr>
          <w:rFonts w:ascii="Arial" w:eastAsia="Arial" w:hAnsi="Arial" w:cs="Arial"/>
          <w:color w:val="000000" w:themeColor="text1"/>
        </w:rPr>
        <w:t xml:space="preserve">certificate </w:t>
      </w:r>
      <w:r w:rsidR="11606869" w:rsidRPr="55FCF45B">
        <w:rPr>
          <w:rFonts w:ascii="Arial" w:eastAsia="Arial" w:hAnsi="Arial" w:cs="Arial"/>
          <w:color w:val="000000" w:themeColor="text1"/>
        </w:rPr>
        <w:t xml:space="preserve">term. </w:t>
      </w:r>
      <w:r w:rsidR="3AA99EC2" w:rsidRPr="55FCF45B">
        <w:rPr>
          <w:rFonts w:ascii="Arial" w:eastAsia="Arial" w:hAnsi="Arial" w:cs="Arial"/>
          <w:color w:val="000000" w:themeColor="text1"/>
        </w:rPr>
        <w:t>The motion for TECCA also removes a previous condition related to</w:t>
      </w:r>
      <w:r w:rsidR="52F002B4" w:rsidRPr="55FCF45B">
        <w:rPr>
          <w:rFonts w:ascii="Arial" w:eastAsia="Arial" w:hAnsi="Arial" w:cs="Arial"/>
          <w:color w:val="000000" w:themeColor="text1"/>
        </w:rPr>
        <w:t xml:space="preserve"> financial oversight. </w:t>
      </w:r>
    </w:p>
    <w:p w14:paraId="606D200C" w14:textId="104D59B8" w:rsidR="00802713" w:rsidRDefault="66880088" w:rsidP="7F78A27A">
      <w:pPr>
        <w:rPr>
          <w:rFonts w:ascii="Arial" w:eastAsia="Arial" w:hAnsi="Arial" w:cs="Arial"/>
          <w:color w:val="000000" w:themeColor="text1"/>
        </w:rPr>
      </w:pPr>
      <w:r w:rsidRPr="7F78A27A">
        <w:rPr>
          <w:rFonts w:ascii="Arial" w:eastAsia="Arial" w:hAnsi="Arial" w:cs="Arial"/>
          <w:color w:val="000000" w:themeColor="text1"/>
        </w:rPr>
        <w:t xml:space="preserve">If you have any questions regarding my recommendations, require additional information, or would like any Summaries of Review, please contact Lauren Secatore, Chief of Staff, at </w:t>
      </w:r>
      <w:hyperlink r:id="rId16">
        <w:r w:rsidRPr="7F78A27A">
          <w:rPr>
            <w:rStyle w:val="Hyperlink"/>
            <w:rFonts w:ascii="Arial" w:eastAsia="Arial" w:hAnsi="Arial" w:cs="Arial"/>
          </w:rPr>
          <w:t>Lauren.Secatore@mass.gov</w:t>
        </w:r>
      </w:hyperlink>
      <w:r w:rsidRPr="7F78A27A">
        <w:rPr>
          <w:rFonts w:ascii="Arial" w:eastAsia="Arial" w:hAnsi="Arial" w:cs="Arial"/>
          <w:color w:val="000000" w:themeColor="text1"/>
        </w:rPr>
        <w:t xml:space="preserve">, or me. </w:t>
      </w:r>
    </w:p>
    <w:p w14:paraId="5C55A4AB" w14:textId="6BE4251C" w:rsidR="00802713" w:rsidRDefault="00802713" w:rsidP="7F78A27A">
      <w:pPr>
        <w:rPr>
          <w:rFonts w:ascii="Arial" w:eastAsia="Arial" w:hAnsi="Arial" w:cs="Arial"/>
          <w:color w:val="000000" w:themeColor="text1"/>
        </w:rPr>
      </w:pPr>
    </w:p>
    <w:p w14:paraId="7351A804" w14:textId="011638BC" w:rsidR="00802713" w:rsidRDefault="66880088" w:rsidP="7F78A27A">
      <w:pPr>
        <w:pStyle w:val="Heading2"/>
        <w:rPr>
          <w:rFonts w:ascii="Arial" w:eastAsia="Arial" w:hAnsi="Arial" w:cs="Arial"/>
          <w:b/>
          <w:bCs/>
          <w:color w:val="000000" w:themeColor="text1"/>
        </w:rPr>
      </w:pPr>
      <w:r w:rsidRPr="7F78A27A">
        <w:rPr>
          <w:rFonts w:ascii="Arial" w:eastAsia="Arial" w:hAnsi="Arial" w:cs="Arial"/>
          <w:b/>
          <w:bCs/>
          <w:color w:val="000000" w:themeColor="text1"/>
        </w:rPr>
        <w:t>Attachments</w:t>
      </w:r>
    </w:p>
    <w:p w14:paraId="35FD8E25" w14:textId="1AFBB16A" w:rsidR="00802713" w:rsidRDefault="611AA60A" w:rsidP="7F78A27A">
      <w:pPr>
        <w:rPr>
          <w:rFonts w:ascii="Arial" w:eastAsia="Arial" w:hAnsi="Arial" w:cs="Arial"/>
          <w:color w:val="000000" w:themeColor="text1"/>
        </w:rPr>
      </w:pPr>
      <w:r w:rsidRPr="55FCF45B">
        <w:rPr>
          <w:rFonts w:ascii="Arial" w:eastAsia="Arial" w:hAnsi="Arial" w:cs="Arial"/>
          <w:color w:val="000000" w:themeColor="text1"/>
        </w:rPr>
        <w:t>Tab A: GCVS Term of Certificate</w:t>
      </w:r>
    </w:p>
    <w:p w14:paraId="4B743BC8" w14:textId="706FD247" w:rsidR="00802713" w:rsidRDefault="611AA60A" w:rsidP="7F78A27A">
      <w:pPr>
        <w:rPr>
          <w:rFonts w:ascii="Arial" w:eastAsia="Arial" w:hAnsi="Arial" w:cs="Arial"/>
          <w:color w:val="000000" w:themeColor="text1"/>
        </w:rPr>
      </w:pPr>
      <w:r w:rsidRPr="55FCF45B">
        <w:rPr>
          <w:rFonts w:ascii="Arial" w:eastAsia="Arial" w:hAnsi="Arial" w:cs="Arial"/>
          <w:color w:val="000000" w:themeColor="text1"/>
        </w:rPr>
        <w:t>Tab B: TECCA Term of Certificate</w:t>
      </w:r>
    </w:p>
    <w:p w14:paraId="24BFB6B5" w14:textId="3AC42194" w:rsidR="6D217D08" w:rsidRDefault="6D217D08" w:rsidP="167D91BE">
      <w:pPr>
        <w:rPr>
          <w:rFonts w:ascii="Arial" w:eastAsia="Arial" w:hAnsi="Arial" w:cs="Arial"/>
          <w:color w:val="000000" w:themeColor="text1"/>
        </w:rPr>
      </w:pPr>
      <w:r w:rsidRPr="167D91BE">
        <w:rPr>
          <w:rFonts w:ascii="Arial" w:eastAsia="Arial" w:hAnsi="Arial" w:cs="Arial"/>
          <w:color w:val="000000" w:themeColor="text1"/>
        </w:rPr>
        <w:t>Motions</w:t>
      </w:r>
    </w:p>
    <w:p w14:paraId="4C2D1269" w14:textId="3EE6C6E9" w:rsidR="167D91BE" w:rsidRDefault="167D91BE" w:rsidP="167D91BE">
      <w:pPr>
        <w:rPr>
          <w:rFonts w:ascii="Arial" w:eastAsia="Arial" w:hAnsi="Arial" w:cs="Arial"/>
          <w:color w:val="000000" w:themeColor="text1"/>
        </w:rPr>
      </w:pPr>
    </w:p>
    <w:p w14:paraId="4117F0B5" w14:textId="7C2F28C6" w:rsidR="00802713" w:rsidRDefault="00802713" w:rsidP="1D0A62D0">
      <w:pPr>
        <w:rPr>
          <w:rFonts w:ascii="Arial" w:hAnsi="Arial" w:cs="Arial"/>
        </w:rPr>
      </w:pPr>
    </w:p>
    <w:p w14:paraId="218C6B25" w14:textId="475BDB0D" w:rsidR="5CA80888" w:rsidRDefault="5CA80888" w:rsidP="5CA80888">
      <w:pPr>
        <w:rPr>
          <w:rFonts w:ascii="Arial" w:hAnsi="Arial" w:cs="Arial"/>
        </w:rPr>
        <w:sectPr w:rsidR="5CA80888" w:rsidSect="00725BB6">
          <w:footerReference w:type="default" r:id="rId17"/>
          <w:type w:val="continuous"/>
          <w:pgSz w:w="12240" w:h="15840"/>
          <w:pgMar w:top="1440" w:right="1440" w:bottom="1440" w:left="1440" w:header="720" w:footer="720" w:gutter="0"/>
          <w:cols w:space="720"/>
          <w:docGrid w:linePitch="360"/>
        </w:sectPr>
      </w:pPr>
    </w:p>
    <w:p w14:paraId="57BC6F0A" w14:textId="77777777" w:rsidR="004426A0" w:rsidRDefault="004426A0" w:rsidP="6CE81110">
      <w:pPr>
        <w:rPr>
          <w:rFonts w:ascii="Arial" w:hAnsi="Arial" w:cs="Arial"/>
        </w:rPr>
      </w:pPr>
    </w:p>
    <w:sectPr w:rsidR="004426A0"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D732" w14:textId="77777777" w:rsidR="00D44746" w:rsidRDefault="00D44746" w:rsidP="00C84EE3">
      <w:pPr>
        <w:spacing w:after="0" w:line="240" w:lineRule="auto"/>
      </w:pPr>
      <w:r>
        <w:separator/>
      </w:r>
    </w:p>
  </w:endnote>
  <w:endnote w:type="continuationSeparator" w:id="0">
    <w:p w14:paraId="781B1D4B" w14:textId="77777777" w:rsidR="00D44746" w:rsidRDefault="00D44746"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7EA221F">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1F2FCD0A">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00DC" w14:textId="77777777" w:rsidR="00D44746" w:rsidRDefault="00D44746" w:rsidP="00C84EE3">
      <w:pPr>
        <w:spacing w:after="0" w:line="240" w:lineRule="auto"/>
      </w:pPr>
      <w:r>
        <w:separator/>
      </w:r>
    </w:p>
  </w:footnote>
  <w:footnote w:type="continuationSeparator" w:id="0">
    <w:p w14:paraId="02D26C7C" w14:textId="77777777" w:rsidR="00D44746" w:rsidRDefault="00D44746" w:rsidP="00C84EE3">
      <w:pPr>
        <w:spacing w:after="0" w:line="240" w:lineRule="auto"/>
      </w:pPr>
      <w:r>
        <w:continuationSeparator/>
      </w:r>
    </w:p>
  </w:footnote>
  <w:footnote w:id="1">
    <w:p w14:paraId="0BF47F15" w14:textId="487EC08D" w:rsidR="001C2B60" w:rsidRDefault="001C2B60">
      <w:pPr>
        <w:pStyle w:val="FootnoteText"/>
      </w:pPr>
      <w:r w:rsidRPr="004D468A">
        <w:rPr>
          <w:rStyle w:val="FootnoteReference"/>
          <w:rFonts w:ascii="Arial" w:hAnsi="Arial" w:cs="Arial"/>
        </w:rPr>
        <w:footnoteRef/>
      </w:r>
      <w:r w:rsidRPr="004D468A">
        <w:rPr>
          <w:rFonts w:ascii="Arial" w:hAnsi="Arial" w:cs="Arial"/>
        </w:rPr>
        <w:t xml:space="preserve"> </w:t>
      </w:r>
      <w:r w:rsidR="00230038" w:rsidRPr="004D468A">
        <w:rPr>
          <w:rFonts w:ascii="Arial" w:hAnsi="Arial" w:cs="Arial"/>
        </w:rPr>
        <w:t>Under the statute, the Board may grant up to ten certificates to operate such schools, provided that not</w:t>
      </w:r>
      <w:r w:rsidR="00230038" w:rsidRPr="00230038">
        <w:t xml:space="preserve"> </w:t>
      </w:r>
      <w:r w:rsidR="00230038" w:rsidRPr="004D468A">
        <w:rPr>
          <w:rFonts w:ascii="Arial" w:hAnsi="Arial" w:cs="Arial"/>
        </w:rPr>
        <w:t>more than two percent of students statewide attend a CMVS. The virtual school statute, at G.L. c. 71, § 94(k), funds a CMVS based upon the funding for school choice under G.L. c. 76, § 12B: the sending district is charged a set tuition, and the Department transfers the funds from the district to the CMVS.</w:t>
      </w:r>
    </w:p>
  </w:footnote>
  <w:footnote w:id="2">
    <w:p w14:paraId="12BE6132" w14:textId="002B73D5" w:rsidR="00A01BD5" w:rsidRPr="004D468A" w:rsidRDefault="00A01BD5">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A50BCF" w:rsidRPr="004D468A">
        <w:rPr>
          <w:rFonts w:ascii="Arial" w:hAnsi="Arial" w:cs="Arial"/>
        </w:rPr>
        <w:t>Pursuant to G.L. c.71, § 94(j), “a certificate to operate a commonwealth virtual school granted by the board shall be for not less than 3 years and not more than 5 years, as determined by the board. When deciding on certificate renewal, the board shall consider progress made in student academic achievement and whether the school has met its obligations and commitments under the certificate.”</w:t>
      </w:r>
    </w:p>
  </w:footnote>
  <w:footnote w:id="3">
    <w:p w14:paraId="512CE2F4" w14:textId="50B55A88" w:rsidR="0032168B" w:rsidRPr="004D468A" w:rsidRDefault="0032168B">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Pursuant to 603 CMR 52.12(2), the “Board may place a Commonwealth of Massachusetts virtual school on probation if in its judgment the imposition of a condition alone would be insufficient to remediate the problem.”</w:t>
      </w:r>
    </w:p>
  </w:footnote>
  <w:footnote w:id="4">
    <w:p w14:paraId="222DA31E" w14:textId="074B8230" w:rsidR="0032168B" w:rsidRPr="004D468A" w:rsidRDefault="0032168B">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226442" w:rsidRPr="004D468A">
        <w:rPr>
          <w:rFonts w:ascii="Arial" w:hAnsi="Arial" w:cs="Arial"/>
        </w:rPr>
        <w:t>Pursuant to 603 CMR 52.12(1), the “Board or Commissioner may impose conditions on a virtual school's certificate for violations of law, failure to improve student achievement, failure to comply with the terms of the virtual school's certificate, or failure to remain viable.”</w:t>
      </w:r>
    </w:p>
  </w:footnote>
  <w:footnote w:id="5">
    <w:p w14:paraId="46686E65" w14:textId="272DE46B" w:rsidR="00226442" w:rsidRPr="004D468A" w:rsidRDefault="00226442">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694F0D">
        <w:rPr>
          <w:rFonts w:ascii="Arial" w:hAnsi="Arial" w:cs="Arial"/>
        </w:rPr>
        <w:t xml:space="preserve">The Summaries of Review are available upon request. </w:t>
      </w:r>
    </w:p>
  </w:footnote>
  <w:footnote w:id="6">
    <w:p w14:paraId="20200283" w14:textId="48F86E37" w:rsidR="005534C4" w:rsidRPr="004D468A" w:rsidRDefault="00694F0D">
      <w:pPr>
        <w:pStyle w:val="FootnoteText"/>
        <w:rPr>
          <w:rFonts w:ascii="Arial" w:hAnsi="Arial" w:cs="Arial"/>
        </w:rPr>
      </w:pPr>
      <w:r w:rsidRPr="004D468A">
        <w:rPr>
          <w:rStyle w:val="FootnoteReference"/>
          <w:rFonts w:ascii="Arial" w:hAnsi="Arial" w:cs="Arial"/>
        </w:rPr>
        <w:footnoteRef/>
      </w:r>
      <w:r w:rsidR="007E7D54">
        <w:t xml:space="preserve"> </w:t>
      </w:r>
      <w:r w:rsidR="005534C4" w:rsidRPr="004D468A">
        <w:rPr>
          <w:rFonts w:ascii="Arial" w:hAnsi="Arial" w:cs="Arial"/>
        </w:rPr>
        <w:t xml:space="preserve">“Virtual schools in the U.S. 2023” from the National Education Policy Center can be found at </w:t>
      </w:r>
      <w:hyperlink r:id="rId1" w:history="1">
        <w:r w:rsidR="005534C4" w:rsidRPr="004D468A">
          <w:rPr>
            <w:rStyle w:val="Hyperlink"/>
            <w:rFonts w:ascii="Arial" w:hAnsi="Arial" w:cs="Arial"/>
          </w:rPr>
          <w:t>https://nepc.colorado.edu/publication/virtual-schools-annual-2023</w:t>
        </w:r>
      </w:hyperlink>
      <w:r w:rsidR="005534C4">
        <w:rPr>
          <w:rFonts w:ascii="Arial" w:hAnsi="Arial" w:cs="Arial"/>
        </w:rPr>
        <w:t xml:space="preserve"> </w:t>
      </w:r>
    </w:p>
  </w:footnote>
  <w:footnote w:id="7">
    <w:p w14:paraId="6362A32C" w14:textId="18AB2256" w:rsidR="005534C4" w:rsidRPr="004D468A" w:rsidRDefault="005534C4">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F40357" w:rsidRPr="004D468A">
        <w:rPr>
          <w:rFonts w:ascii="Arial" w:hAnsi="Arial" w:cs="Arial"/>
        </w:rPr>
        <w:t>In 2024, both schools piloted virtual administration of the MCAS for grades 5 and 8 science. In 2025, both schools remotely administered the MCAS for students in grades 3 through 8 for all subjects.</w:t>
      </w:r>
    </w:p>
  </w:footnote>
  <w:footnote w:id="8">
    <w:p w14:paraId="7DD4FDA4" w14:textId="59CB2829" w:rsidR="00F8559E" w:rsidRPr="004D468A" w:rsidRDefault="00F8559E">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EA469B" w:rsidRPr="004D468A">
        <w:rPr>
          <w:rFonts w:ascii="Arial" w:hAnsi="Arial" w:cs="Arial"/>
        </w:rPr>
        <w:t xml:space="preserve">As specified in G.L. c. 71, § 94(c) and (d), </w:t>
      </w:r>
      <w:r w:rsidR="002A135D">
        <w:rPr>
          <w:rFonts w:ascii="Arial" w:hAnsi="Arial" w:cs="Arial"/>
        </w:rPr>
        <w:t xml:space="preserve">a </w:t>
      </w:r>
      <w:r w:rsidR="00EA469B" w:rsidRPr="004D468A">
        <w:rPr>
          <w:rFonts w:ascii="Arial" w:hAnsi="Arial" w:cs="Arial"/>
        </w:rPr>
        <w:t>CMVS 1 may enroll students who live anywhere in Massachusetts or may limit enrollment to students who live in certain districts in Massachusetts. A CMVS 2 is formed by a single school district, under an agreement entered into by more than one school district or by an education collaborative. A CMVS 2 may enroll only students who live in the school district that formed the CMVS, in the school districts that signed the agreement, or in the school districts that are members of the education collaborative that formed the CMVS.</w:t>
      </w:r>
    </w:p>
  </w:footnote>
  <w:footnote w:id="9">
    <w:p w14:paraId="5E5B1BC7" w14:textId="46A6174C" w:rsidR="00FA341F" w:rsidRPr="004D468A" w:rsidRDefault="00FA341F">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As of December 2025, 33 districts have voted to cap the total enrollment of its students in CMVSs. The districts that have voted to cap their total enrollment in CMVSs include Athol-Royalston Regional (Athol and Royalston), Belchertown, Brimfield, Chicopee, East Longmeadow, Erving, Fall River, Gardner, Gateway Regional (Blandford, Chester, Huntington, Middlefield, Montgomery, and Russell), Holland, Lee, Ludlow, Mashpee, Monson, North Adams, Orange, Palmer, Pittsfield, Somerset Berkley Regional (Somerset and Berkley), Southbridge, Spencer East Brookfield Regional (East Brookfield and Spencer), Springfield, Sunderland, Ralph C. Mahar Regional (New Salem, Orange, Petersham, and Wendell), Richmond, Tantasqua Regional (Brimfield, Brookfield, Holland, Sturbridge, and Wales), Truro, Quabbin Regional (Barre, New Braintree, and Oakham), Wales, Ware, Wareham, Webster, Winchendon. (Source: December 2025 CMVS Regulatory Notification of Sending Districts 1% Vote At-Cap)</w:t>
      </w:r>
    </w:p>
  </w:footnote>
  <w:footnote w:id="10">
    <w:p w14:paraId="11AAC7CF" w14:textId="6B388D6F" w:rsidR="002505BD" w:rsidRPr="004D468A" w:rsidRDefault="002505BD">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9A1757" w:rsidRPr="004D468A">
        <w:rPr>
          <w:rFonts w:ascii="Arial" w:hAnsi="Arial" w:cs="Arial"/>
        </w:rPr>
        <w:t>These terms were described in the Commissioner memorandum to the Board dated June 18, 2013.</w:t>
      </w:r>
    </w:p>
  </w:footnote>
  <w:footnote w:id="11">
    <w:p w14:paraId="4E5460A4" w14:textId="43CD5C31" w:rsidR="009A1757" w:rsidRPr="004D468A" w:rsidRDefault="009A1757">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467604" w:rsidRPr="004D468A">
        <w:rPr>
          <w:rFonts w:ascii="Arial" w:hAnsi="Arial" w:cs="Arial"/>
        </w:rPr>
        <w:t>During the school’s first certificate term, in October 2014, the Board placed GCVS on probation with conditions due to concerns regarding governance, the academic program, and academic results. In February 2016, the Board renewed the school’s certificate for a three-year period from July 1, 2016, through June 30, 2019; extended the school’s probation; and imposed conditions related to governance, enrollment, MCAS participation rates, and academic results. In March 2018, the Board extended the school’s probationary status, maintained the prior four probationary conditions, and added a new condition related to the provision of services for English learners. In March 2019, due to GCVS’s progress in meeting probationary conditions, the Board removed probation from the school’s certificate; renewed the school’s certificate for a three-year period from July 1, 2019, through June 30, 2022; and imposed six conditions related to governance, enrollment, the academic program, and academic results.</w:t>
      </w:r>
    </w:p>
  </w:footnote>
  <w:footnote w:id="12">
    <w:p w14:paraId="531813CD" w14:textId="77777777" w:rsidR="00111168" w:rsidRPr="004D468A" w:rsidRDefault="008368E6" w:rsidP="00111168">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111168" w:rsidRPr="004D468A">
        <w:rPr>
          <w:rFonts w:ascii="Arial" w:hAnsi="Arial" w:cs="Arial"/>
        </w:rPr>
        <w:t xml:space="preserve">Rating Key: </w:t>
      </w:r>
    </w:p>
    <w:p w14:paraId="5DBC8141" w14:textId="77777777" w:rsidR="00111168" w:rsidRPr="004D468A" w:rsidRDefault="00111168" w:rsidP="00111168">
      <w:pPr>
        <w:pStyle w:val="FootnoteText"/>
        <w:rPr>
          <w:rFonts w:ascii="Arial" w:hAnsi="Arial" w:cs="Arial"/>
        </w:rPr>
      </w:pPr>
      <w:r w:rsidRPr="004D468A">
        <w:rPr>
          <w:rFonts w:ascii="Arial" w:hAnsi="Arial" w:cs="Arial"/>
        </w:rPr>
        <w:t>Exceeds: The school fully and consistently meets the criterion and is a potential exemplar in this area.</w:t>
      </w:r>
    </w:p>
    <w:p w14:paraId="23B77607" w14:textId="77777777" w:rsidR="00111168" w:rsidRPr="004D468A" w:rsidRDefault="00111168" w:rsidP="00111168">
      <w:pPr>
        <w:pStyle w:val="FootnoteText"/>
        <w:rPr>
          <w:rFonts w:ascii="Arial" w:hAnsi="Arial" w:cs="Arial"/>
        </w:rPr>
      </w:pPr>
      <w:r w:rsidRPr="004D468A">
        <w:rPr>
          <w:rFonts w:ascii="Arial" w:hAnsi="Arial" w:cs="Arial"/>
        </w:rPr>
        <w:t>Meets: The school generally meets the criterion and/or minor concern(s) are noted.</w:t>
      </w:r>
    </w:p>
    <w:p w14:paraId="5037B519" w14:textId="77777777" w:rsidR="00111168" w:rsidRPr="004D468A" w:rsidRDefault="00111168" w:rsidP="00111168">
      <w:pPr>
        <w:pStyle w:val="FootnoteText"/>
        <w:rPr>
          <w:rFonts w:ascii="Arial" w:hAnsi="Arial" w:cs="Arial"/>
        </w:rPr>
      </w:pPr>
      <w:r w:rsidRPr="004D468A">
        <w:rPr>
          <w:rFonts w:ascii="Arial" w:hAnsi="Arial" w:cs="Arial"/>
        </w:rPr>
        <w:t>Partially Meets: The school meets some aspects of the criterion but not others and/or moderate concern(s) are noted.</w:t>
      </w:r>
    </w:p>
    <w:p w14:paraId="1EF04392" w14:textId="042B4FA9" w:rsidR="008368E6" w:rsidRDefault="00111168" w:rsidP="00111168">
      <w:pPr>
        <w:pStyle w:val="FootnoteText"/>
      </w:pPr>
      <w:r w:rsidRPr="004D468A">
        <w:rPr>
          <w:rFonts w:ascii="Arial" w:hAnsi="Arial" w:cs="Arial"/>
        </w:rPr>
        <w:t>Falls Far Below: The school falls far below the criterion and/or significant concerns are noted.</w:t>
      </w:r>
    </w:p>
  </w:footnote>
  <w:footnote w:id="13">
    <w:p w14:paraId="091B7209" w14:textId="033A956F" w:rsidR="00A56878" w:rsidRPr="004D468A" w:rsidRDefault="00A56878">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1925B6" w:rsidRPr="004D468A">
        <w:rPr>
          <w:rFonts w:ascii="Arial" w:hAnsi="Arial" w:cs="Arial"/>
        </w:rPr>
        <w:t>Due to the number of items required for a public school and virtual school to be in compliance with state and federal regulations and guidance, the Department does not rate this criterion.</w:t>
      </w:r>
    </w:p>
  </w:footnote>
  <w:footnote w:id="14">
    <w:p w14:paraId="50065D4E" w14:textId="073C8CB7" w:rsidR="001925B6" w:rsidRPr="004D468A" w:rsidRDefault="001925B6">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685E29" w:rsidRPr="004D468A">
        <w:rPr>
          <w:rFonts w:ascii="Arial" w:hAnsi="Arial" w:cs="Arial"/>
        </w:rPr>
        <w:t>As of December 2025, 33 districts have voted to cap the total enrollment of its students in CMVSs. The districts that have voted to cap their total enrollment in CMVSs include Athol-Royalston Regional (Athol and Royalston), Belchertown, Brimfield, Chicopee, East Longmeadow, Erving, Fall River, Gardner, Gateway Regional (Blandford, Chester, Huntington, Middlefield, Montgomery, and Russell), Holland, Lee, Ludlow, Mashpee, Monson, North Adams, Orange, Palmer, Pittsfield, Somerset Berkley Regional (Somerset and Berkley), Southbridge, Spencer East Brookfield Regional (East Brookfield and Spencer), Springfield, Sunderland, Ralph C. Mahar Regional (New Salem, Orange, Petersham, and Wendell), Richmond, Tantasqua Regional (Brimfield, Brookfield, Holland, Sturbridge, and Wales), Truro, Quabbin Regional (Barre, New Braintree, and Oakham), Wales, Ware, Wareham, Webster, Winchendon. (Source: December 2025 CMVS Regulatory Notification of Sending Districts 1% Vote At-Cap)</w:t>
      </w:r>
    </w:p>
  </w:footnote>
  <w:footnote w:id="15">
    <w:p w14:paraId="7E3005C0" w14:textId="2A3ED4F8" w:rsidR="00F33D5C" w:rsidRPr="004D468A" w:rsidRDefault="00F33D5C">
      <w:pPr>
        <w:pStyle w:val="FootnoteText"/>
        <w:rPr>
          <w:rFonts w:ascii="Arial" w:hAnsi="Arial" w:cs="Arial"/>
        </w:rPr>
      </w:pPr>
      <w:r w:rsidRPr="004D468A">
        <w:rPr>
          <w:rStyle w:val="FootnoteReference"/>
          <w:rFonts w:ascii="Arial" w:hAnsi="Arial" w:cs="Arial"/>
        </w:rPr>
        <w:footnoteRef/>
      </w:r>
      <w:r w:rsidRPr="004D468A">
        <w:rPr>
          <w:rFonts w:ascii="Arial" w:hAnsi="Arial" w:cs="Arial"/>
        </w:rPr>
        <w:t xml:space="preserve"> </w:t>
      </w:r>
      <w:r w:rsidR="00015C8B" w:rsidRPr="004D468A">
        <w:rPr>
          <w:rFonts w:ascii="Arial" w:hAnsi="Arial" w:cs="Arial"/>
        </w:rPr>
        <w:t>Due to the number of items required for a public school and virtual school to be in compliance with state and federal regulations and guidance, the Department does not rate this criterion.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338710D">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569"/>
    <w:multiLevelType w:val="multilevel"/>
    <w:tmpl w:val="3E908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456194"/>
    <w:multiLevelType w:val="multilevel"/>
    <w:tmpl w:val="56BCD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B77A4"/>
    <w:multiLevelType w:val="hybridMultilevel"/>
    <w:tmpl w:val="05828D48"/>
    <w:lvl w:ilvl="0" w:tplc="9CF014C0">
      <w:start w:val="1"/>
      <w:numFmt w:val="bullet"/>
      <w:lvlText w:val=""/>
      <w:lvlJc w:val="left"/>
      <w:pPr>
        <w:ind w:left="720" w:hanging="360"/>
      </w:pPr>
      <w:rPr>
        <w:rFonts w:ascii="Symbol" w:hAnsi="Symbol" w:hint="default"/>
      </w:rPr>
    </w:lvl>
    <w:lvl w:ilvl="1" w:tplc="543E62E4">
      <w:start w:val="1"/>
      <w:numFmt w:val="bullet"/>
      <w:lvlText w:val="o"/>
      <w:lvlJc w:val="left"/>
      <w:pPr>
        <w:ind w:left="1440" w:hanging="360"/>
      </w:pPr>
      <w:rPr>
        <w:rFonts w:ascii="Courier New" w:hAnsi="Courier New" w:hint="default"/>
      </w:rPr>
    </w:lvl>
    <w:lvl w:ilvl="2" w:tplc="1932EB96">
      <w:start w:val="1"/>
      <w:numFmt w:val="bullet"/>
      <w:lvlText w:val=""/>
      <w:lvlJc w:val="left"/>
      <w:pPr>
        <w:ind w:left="2160" w:hanging="360"/>
      </w:pPr>
      <w:rPr>
        <w:rFonts w:ascii="Wingdings" w:hAnsi="Wingdings" w:hint="default"/>
      </w:rPr>
    </w:lvl>
    <w:lvl w:ilvl="3" w:tplc="9C5AC086">
      <w:start w:val="1"/>
      <w:numFmt w:val="bullet"/>
      <w:lvlText w:val=""/>
      <w:lvlJc w:val="left"/>
      <w:pPr>
        <w:ind w:left="2880" w:hanging="360"/>
      </w:pPr>
      <w:rPr>
        <w:rFonts w:ascii="Symbol" w:hAnsi="Symbol" w:hint="default"/>
      </w:rPr>
    </w:lvl>
    <w:lvl w:ilvl="4" w:tplc="76B816E6">
      <w:start w:val="1"/>
      <w:numFmt w:val="bullet"/>
      <w:lvlText w:val="o"/>
      <w:lvlJc w:val="left"/>
      <w:pPr>
        <w:ind w:left="3600" w:hanging="360"/>
      </w:pPr>
      <w:rPr>
        <w:rFonts w:ascii="Courier New" w:hAnsi="Courier New" w:hint="default"/>
      </w:rPr>
    </w:lvl>
    <w:lvl w:ilvl="5" w:tplc="B4B64B54">
      <w:start w:val="1"/>
      <w:numFmt w:val="bullet"/>
      <w:lvlText w:val=""/>
      <w:lvlJc w:val="left"/>
      <w:pPr>
        <w:ind w:left="4320" w:hanging="360"/>
      </w:pPr>
      <w:rPr>
        <w:rFonts w:ascii="Wingdings" w:hAnsi="Wingdings" w:hint="default"/>
      </w:rPr>
    </w:lvl>
    <w:lvl w:ilvl="6" w:tplc="50A41FD2">
      <w:start w:val="1"/>
      <w:numFmt w:val="bullet"/>
      <w:lvlText w:val=""/>
      <w:lvlJc w:val="left"/>
      <w:pPr>
        <w:ind w:left="5040" w:hanging="360"/>
      </w:pPr>
      <w:rPr>
        <w:rFonts w:ascii="Symbol" w:hAnsi="Symbol" w:hint="default"/>
      </w:rPr>
    </w:lvl>
    <w:lvl w:ilvl="7" w:tplc="2A44C374">
      <w:start w:val="1"/>
      <w:numFmt w:val="bullet"/>
      <w:lvlText w:val="o"/>
      <w:lvlJc w:val="left"/>
      <w:pPr>
        <w:ind w:left="5760" w:hanging="360"/>
      </w:pPr>
      <w:rPr>
        <w:rFonts w:ascii="Courier New" w:hAnsi="Courier New" w:hint="default"/>
      </w:rPr>
    </w:lvl>
    <w:lvl w:ilvl="8" w:tplc="DA0EFB28">
      <w:start w:val="1"/>
      <w:numFmt w:val="bullet"/>
      <w:lvlText w:val=""/>
      <w:lvlJc w:val="left"/>
      <w:pPr>
        <w:ind w:left="6480" w:hanging="360"/>
      </w:pPr>
      <w:rPr>
        <w:rFonts w:ascii="Wingdings" w:hAnsi="Wingdings" w:hint="default"/>
      </w:rPr>
    </w:lvl>
  </w:abstractNum>
  <w:abstractNum w:abstractNumId="3" w15:restartNumberingAfterBreak="0">
    <w:nsid w:val="3A7F6142"/>
    <w:multiLevelType w:val="multilevel"/>
    <w:tmpl w:val="D758D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6DF0C1B"/>
    <w:multiLevelType w:val="multilevel"/>
    <w:tmpl w:val="46B64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BBB5AC0"/>
    <w:multiLevelType w:val="multilevel"/>
    <w:tmpl w:val="8696B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E5352A5"/>
    <w:multiLevelType w:val="hybridMultilevel"/>
    <w:tmpl w:val="2A60303E"/>
    <w:lvl w:ilvl="0" w:tplc="12B892D8">
      <w:start w:val="1"/>
      <w:numFmt w:val="bullet"/>
      <w:lvlText w:val=""/>
      <w:lvlJc w:val="left"/>
      <w:pPr>
        <w:ind w:left="360" w:hanging="360"/>
      </w:pPr>
      <w:rPr>
        <w:rFonts w:ascii="Symbol" w:hAnsi="Symbol" w:hint="default"/>
      </w:rPr>
    </w:lvl>
    <w:lvl w:ilvl="1" w:tplc="EFA4F2DA">
      <w:start w:val="1"/>
      <w:numFmt w:val="bullet"/>
      <w:lvlText w:val="o"/>
      <w:lvlJc w:val="left"/>
      <w:pPr>
        <w:ind w:left="1440" w:hanging="360"/>
      </w:pPr>
      <w:rPr>
        <w:rFonts w:ascii="Courier New" w:hAnsi="Courier New" w:hint="default"/>
      </w:rPr>
    </w:lvl>
    <w:lvl w:ilvl="2" w:tplc="5CBE4A24">
      <w:start w:val="1"/>
      <w:numFmt w:val="bullet"/>
      <w:lvlText w:val=""/>
      <w:lvlJc w:val="left"/>
      <w:pPr>
        <w:ind w:left="2160" w:hanging="360"/>
      </w:pPr>
      <w:rPr>
        <w:rFonts w:ascii="Wingdings" w:hAnsi="Wingdings" w:hint="default"/>
      </w:rPr>
    </w:lvl>
    <w:lvl w:ilvl="3" w:tplc="D948486A">
      <w:start w:val="1"/>
      <w:numFmt w:val="bullet"/>
      <w:lvlText w:val=""/>
      <w:lvlJc w:val="left"/>
      <w:pPr>
        <w:ind w:left="2880" w:hanging="360"/>
      </w:pPr>
      <w:rPr>
        <w:rFonts w:ascii="Symbol" w:hAnsi="Symbol" w:hint="default"/>
      </w:rPr>
    </w:lvl>
    <w:lvl w:ilvl="4" w:tplc="84C60892">
      <w:start w:val="1"/>
      <w:numFmt w:val="bullet"/>
      <w:lvlText w:val="o"/>
      <w:lvlJc w:val="left"/>
      <w:pPr>
        <w:ind w:left="3600" w:hanging="360"/>
      </w:pPr>
      <w:rPr>
        <w:rFonts w:ascii="Courier New" w:hAnsi="Courier New" w:hint="default"/>
      </w:rPr>
    </w:lvl>
    <w:lvl w:ilvl="5" w:tplc="1F1E0F62">
      <w:start w:val="1"/>
      <w:numFmt w:val="bullet"/>
      <w:lvlText w:val=""/>
      <w:lvlJc w:val="left"/>
      <w:pPr>
        <w:ind w:left="4320" w:hanging="360"/>
      </w:pPr>
      <w:rPr>
        <w:rFonts w:ascii="Wingdings" w:hAnsi="Wingdings" w:hint="default"/>
      </w:rPr>
    </w:lvl>
    <w:lvl w:ilvl="6" w:tplc="85CECB24">
      <w:start w:val="1"/>
      <w:numFmt w:val="bullet"/>
      <w:lvlText w:val=""/>
      <w:lvlJc w:val="left"/>
      <w:pPr>
        <w:ind w:left="5040" w:hanging="360"/>
      </w:pPr>
      <w:rPr>
        <w:rFonts w:ascii="Symbol" w:hAnsi="Symbol" w:hint="default"/>
      </w:rPr>
    </w:lvl>
    <w:lvl w:ilvl="7" w:tplc="A06494CA">
      <w:start w:val="1"/>
      <w:numFmt w:val="bullet"/>
      <w:lvlText w:val="o"/>
      <w:lvlJc w:val="left"/>
      <w:pPr>
        <w:ind w:left="5760" w:hanging="360"/>
      </w:pPr>
      <w:rPr>
        <w:rFonts w:ascii="Courier New" w:hAnsi="Courier New" w:hint="default"/>
      </w:rPr>
    </w:lvl>
    <w:lvl w:ilvl="8" w:tplc="93E08D3A">
      <w:start w:val="1"/>
      <w:numFmt w:val="bullet"/>
      <w:lvlText w:val=""/>
      <w:lvlJc w:val="left"/>
      <w:pPr>
        <w:ind w:left="6480" w:hanging="360"/>
      </w:pPr>
      <w:rPr>
        <w:rFonts w:ascii="Wingdings" w:hAnsi="Wingdings" w:hint="default"/>
      </w:rPr>
    </w:lvl>
  </w:abstractNum>
  <w:num w:numId="1" w16cid:durableId="2105569599">
    <w:abstractNumId w:val="6"/>
  </w:num>
  <w:num w:numId="2" w16cid:durableId="1352875762">
    <w:abstractNumId w:val="2"/>
  </w:num>
  <w:num w:numId="3" w16cid:durableId="604045969">
    <w:abstractNumId w:val="1"/>
  </w:num>
  <w:num w:numId="4" w16cid:durableId="6370022">
    <w:abstractNumId w:val="4"/>
  </w:num>
  <w:num w:numId="5" w16cid:durableId="580915761">
    <w:abstractNumId w:val="5"/>
  </w:num>
  <w:num w:numId="6" w16cid:durableId="1434402621">
    <w:abstractNumId w:val="0"/>
  </w:num>
  <w:num w:numId="7" w16cid:durableId="2062483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3D8"/>
    <w:rsid w:val="00000ED3"/>
    <w:rsid w:val="00010DE0"/>
    <w:rsid w:val="00014310"/>
    <w:rsid w:val="00015387"/>
    <w:rsid w:val="00015C8B"/>
    <w:rsid w:val="000162E5"/>
    <w:rsid w:val="000206BF"/>
    <w:rsid w:val="00023AA1"/>
    <w:rsid w:val="00032C6B"/>
    <w:rsid w:val="00035B82"/>
    <w:rsid w:val="00040F70"/>
    <w:rsid w:val="000432B0"/>
    <w:rsid w:val="000474C7"/>
    <w:rsid w:val="00067457"/>
    <w:rsid w:val="00081599"/>
    <w:rsid w:val="000834E3"/>
    <w:rsid w:val="0008350C"/>
    <w:rsid w:val="00084E79"/>
    <w:rsid w:val="00084FA3"/>
    <w:rsid w:val="000853ED"/>
    <w:rsid w:val="000C0008"/>
    <w:rsid w:val="000C1EF6"/>
    <w:rsid w:val="000C3DB0"/>
    <w:rsid w:val="000C4D4E"/>
    <w:rsid w:val="000C7F3A"/>
    <w:rsid w:val="000C7FC1"/>
    <w:rsid w:val="000D65BB"/>
    <w:rsid w:val="000E0D84"/>
    <w:rsid w:val="000E55DE"/>
    <w:rsid w:val="000E64C7"/>
    <w:rsid w:val="000F11A7"/>
    <w:rsid w:val="000F512B"/>
    <w:rsid w:val="000F71C7"/>
    <w:rsid w:val="00104D41"/>
    <w:rsid w:val="00111168"/>
    <w:rsid w:val="001112D5"/>
    <w:rsid w:val="00121E4E"/>
    <w:rsid w:val="001335FD"/>
    <w:rsid w:val="00150FB4"/>
    <w:rsid w:val="00154D39"/>
    <w:rsid w:val="00163312"/>
    <w:rsid w:val="00165B08"/>
    <w:rsid w:val="001715AB"/>
    <w:rsid w:val="00171A21"/>
    <w:rsid w:val="0018049B"/>
    <w:rsid w:val="001820B9"/>
    <w:rsid w:val="00184A6E"/>
    <w:rsid w:val="00187799"/>
    <w:rsid w:val="00187C81"/>
    <w:rsid w:val="001925B6"/>
    <w:rsid w:val="00192EE8"/>
    <w:rsid w:val="00196206"/>
    <w:rsid w:val="00197C43"/>
    <w:rsid w:val="001A1493"/>
    <w:rsid w:val="001A5D4D"/>
    <w:rsid w:val="001B32AD"/>
    <w:rsid w:val="001B3D3D"/>
    <w:rsid w:val="001B52E9"/>
    <w:rsid w:val="001C2B60"/>
    <w:rsid w:val="001C2E03"/>
    <w:rsid w:val="001D3592"/>
    <w:rsid w:val="001D6377"/>
    <w:rsid w:val="001E01B9"/>
    <w:rsid w:val="001E0598"/>
    <w:rsid w:val="001E3F81"/>
    <w:rsid w:val="001F4785"/>
    <w:rsid w:val="001F4E3C"/>
    <w:rsid w:val="001F78A4"/>
    <w:rsid w:val="00200ACE"/>
    <w:rsid w:val="002053CA"/>
    <w:rsid w:val="00214B94"/>
    <w:rsid w:val="00221E50"/>
    <w:rsid w:val="002240CF"/>
    <w:rsid w:val="0022441F"/>
    <w:rsid w:val="00225FD5"/>
    <w:rsid w:val="00226442"/>
    <w:rsid w:val="00226E66"/>
    <w:rsid w:val="00227554"/>
    <w:rsid w:val="00230038"/>
    <w:rsid w:val="0023664B"/>
    <w:rsid w:val="0024566B"/>
    <w:rsid w:val="00247E0F"/>
    <w:rsid w:val="002505BD"/>
    <w:rsid w:val="0025124B"/>
    <w:rsid w:val="00254238"/>
    <w:rsid w:val="002600EF"/>
    <w:rsid w:val="002611DB"/>
    <w:rsid w:val="00265787"/>
    <w:rsid w:val="00272D6E"/>
    <w:rsid w:val="00274F36"/>
    <w:rsid w:val="00276564"/>
    <w:rsid w:val="002779B2"/>
    <w:rsid w:val="00285772"/>
    <w:rsid w:val="00286D3C"/>
    <w:rsid w:val="00296065"/>
    <w:rsid w:val="00296836"/>
    <w:rsid w:val="00297A8D"/>
    <w:rsid w:val="00297B05"/>
    <w:rsid w:val="002A135D"/>
    <w:rsid w:val="002A1B74"/>
    <w:rsid w:val="002A3A71"/>
    <w:rsid w:val="002A79F8"/>
    <w:rsid w:val="002ADD96"/>
    <w:rsid w:val="002B7BD7"/>
    <w:rsid w:val="002B7E3D"/>
    <w:rsid w:val="002B7F91"/>
    <w:rsid w:val="002C1EBF"/>
    <w:rsid w:val="002C220D"/>
    <w:rsid w:val="002C2948"/>
    <w:rsid w:val="002C6C02"/>
    <w:rsid w:val="002D3862"/>
    <w:rsid w:val="002D5866"/>
    <w:rsid w:val="002D68B6"/>
    <w:rsid w:val="002D7B14"/>
    <w:rsid w:val="002E25A6"/>
    <w:rsid w:val="002E33E1"/>
    <w:rsid w:val="002E4BDE"/>
    <w:rsid w:val="002E696D"/>
    <w:rsid w:val="002F415D"/>
    <w:rsid w:val="002F44C2"/>
    <w:rsid w:val="002F57B7"/>
    <w:rsid w:val="00302E00"/>
    <w:rsid w:val="003045E0"/>
    <w:rsid w:val="0031446D"/>
    <w:rsid w:val="0032168B"/>
    <w:rsid w:val="00321B43"/>
    <w:rsid w:val="00321C56"/>
    <w:rsid w:val="0033088E"/>
    <w:rsid w:val="00331EBF"/>
    <w:rsid w:val="00332832"/>
    <w:rsid w:val="003447C4"/>
    <w:rsid w:val="00346124"/>
    <w:rsid w:val="0035402E"/>
    <w:rsid w:val="00355B95"/>
    <w:rsid w:val="00356073"/>
    <w:rsid w:val="00356597"/>
    <w:rsid w:val="00356B4D"/>
    <w:rsid w:val="00361CDF"/>
    <w:rsid w:val="003634BA"/>
    <w:rsid w:val="003757C2"/>
    <w:rsid w:val="00376746"/>
    <w:rsid w:val="00386AD4"/>
    <w:rsid w:val="00394EA8"/>
    <w:rsid w:val="003C1672"/>
    <w:rsid w:val="003E2FDF"/>
    <w:rsid w:val="003E33D4"/>
    <w:rsid w:val="003E4B73"/>
    <w:rsid w:val="003E4C9A"/>
    <w:rsid w:val="003E7485"/>
    <w:rsid w:val="003EEC02"/>
    <w:rsid w:val="003F2FF1"/>
    <w:rsid w:val="003F4E99"/>
    <w:rsid w:val="003F65BF"/>
    <w:rsid w:val="00400E89"/>
    <w:rsid w:val="00403864"/>
    <w:rsid w:val="00410BE3"/>
    <w:rsid w:val="00420346"/>
    <w:rsid w:val="0042221B"/>
    <w:rsid w:val="00422EC0"/>
    <w:rsid w:val="0042465D"/>
    <w:rsid w:val="004252FC"/>
    <w:rsid w:val="0042715C"/>
    <w:rsid w:val="00430D65"/>
    <w:rsid w:val="00431627"/>
    <w:rsid w:val="00435F98"/>
    <w:rsid w:val="004426A0"/>
    <w:rsid w:val="00444878"/>
    <w:rsid w:val="0045373B"/>
    <w:rsid w:val="00455966"/>
    <w:rsid w:val="00457B94"/>
    <w:rsid w:val="0045A88F"/>
    <w:rsid w:val="00462496"/>
    <w:rsid w:val="00465238"/>
    <w:rsid w:val="00467044"/>
    <w:rsid w:val="00467604"/>
    <w:rsid w:val="004702FF"/>
    <w:rsid w:val="00474016"/>
    <w:rsid w:val="004767FA"/>
    <w:rsid w:val="00482879"/>
    <w:rsid w:val="00482BA2"/>
    <w:rsid w:val="004833B9"/>
    <w:rsid w:val="0048529D"/>
    <w:rsid w:val="00487045"/>
    <w:rsid w:val="00490D13"/>
    <w:rsid w:val="004929C2"/>
    <w:rsid w:val="00492DA2"/>
    <w:rsid w:val="004931D8"/>
    <w:rsid w:val="00493C1C"/>
    <w:rsid w:val="004A0E9C"/>
    <w:rsid w:val="004A50CD"/>
    <w:rsid w:val="004A7E8F"/>
    <w:rsid w:val="004B101E"/>
    <w:rsid w:val="004B3AB2"/>
    <w:rsid w:val="004B6DD3"/>
    <w:rsid w:val="004C3C63"/>
    <w:rsid w:val="004C46FB"/>
    <w:rsid w:val="004C5233"/>
    <w:rsid w:val="004D468A"/>
    <w:rsid w:val="004D714E"/>
    <w:rsid w:val="004E4A86"/>
    <w:rsid w:val="004F01CC"/>
    <w:rsid w:val="004F0D74"/>
    <w:rsid w:val="004F4A8B"/>
    <w:rsid w:val="004F4B90"/>
    <w:rsid w:val="00500E22"/>
    <w:rsid w:val="005017B8"/>
    <w:rsid w:val="00504DC5"/>
    <w:rsid w:val="00511688"/>
    <w:rsid w:val="00511816"/>
    <w:rsid w:val="00515C54"/>
    <w:rsid w:val="00515DCA"/>
    <w:rsid w:val="00521CDE"/>
    <w:rsid w:val="00523891"/>
    <w:rsid w:val="0053506E"/>
    <w:rsid w:val="0054180C"/>
    <w:rsid w:val="005534C4"/>
    <w:rsid w:val="00553722"/>
    <w:rsid w:val="00554202"/>
    <w:rsid w:val="00560D69"/>
    <w:rsid w:val="005635E1"/>
    <w:rsid w:val="00563C34"/>
    <w:rsid w:val="005736B1"/>
    <w:rsid w:val="00577198"/>
    <w:rsid w:val="00577C81"/>
    <w:rsid w:val="00580D13"/>
    <w:rsid w:val="005831B5"/>
    <w:rsid w:val="00583BC8"/>
    <w:rsid w:val="00587349"/>
    <w:rsid w:val="00591605"/>
    <w:rsid w:val="00595AA3"/>
    <w:rsid w:val="00595DA6"/>
    <w:rsid w:val="005963EE"/>
    <w:rsid w:val="00596AC6"/>
    <w:rsid w:val="005A09B0"/>
    <w:rsid w:val="005A15D2"/>
    <w:rsid w:val="005A176A"/>
    <w:rsid w:val="005A26AB"/>
    <w:rsid w:val="005B46CD"/>
    <w:rsid w:val="005C280A"/>
    <w:rsid w:val="005C62A4"/>
    <w:rsid w:val="005C6656"/>
    <w:rsid w:val="005C7091"/>
    <w:rsid w:val="005D06AD"/>
    <w:rsid w:val="005E4EA7"/>
    <w:rsid w:val="005E585D"/>
    <w:rsid w:val="005F2770"/>
    <w:rsid w:val="0060031A"/>
    <w:rsid w:val="0060149A"/>
    <w:rsid w:val="00601F6F"/>
    <w:rsid w:val="006069A1"/>
    <w:rsid w:val="00611D47"/>
    <w:rsid w:val="006219FB"/>
    <w:rsid w:val="00622F11"/>
    <w:rsid w:val="00624A78"/>
    <w:rsid w:val="006274B9"/>
    <w:rsid w:val="006331C1"/>
    <w:rsid w:val="00635276"/>
    <w:rsid w:val="00645FFA"/>
    <w:rsid w:val="00647EB7"/>
    <w:rsid w:val="00652973"/>
    <w:rsid w:val="00653915"/>
    <w:rsid w:val="00653BFD"/>
    <w:rsid w:val="006667D8"/>
    <w:rsid w:val="00666F8C"/>
    <w:rsid w:val="0067356B"/>
    <w:rsid w:val="00677778"/>
    <w:rsid w:val="00677856"/>
    <w:rsid w:val="00681E6E"/>
    <w:rsid w:val="00682B1A"/>
    <w:rsid w:val="006836AE"/>
    <w:rsid w:val="006837F3"/>
    <w:rsid w:val="00685E29"/>
    <w:rsid w:val="00694F0D"/>
    <w:rsid w:val="006955E8"/>
    <w:rsid w:val="00697A35"/>
    <w:rsid w:val="006A0191"/>
    <w:rsid w:val="006A1022"/>
    <w:rsid w:val="006A3992"/>
    <w:rsid w:val="006A409F"/>
    <w:rsid w:val="006A62F9"/>
    <w:rsid w:val="006C385F"/>
    <w:rsid w:val="006D38BD"/>
    <w:rsid w:val="006E7319"/>
    <w:rsid w:val="006F25B7"/>
    <w:rsid w:val="006F3441"/>
    <w:rsid w:val="006F42A9"/>
    <w:rsid w:val="006F5D31"/>
    <w:rsid w:val="006F659C"/>
    <w:rsid w:val="006F7727"/>
    <w:rsid w:val="00701472"/>
    <w:rsid w:val="00705382"/>
    <w:rsid w:val="00706ACF"/>
    <w:rsid w:val="00707BB0"/>
    <w:rsid w:val="0072022C"/>
    <w:rsid w:val="00723C3D"/>
    <w:rsid w:val="00725BB6"/>
    <w:rsid w:val="00725F27"/>
    <w:rsid w:val="00730A8E"/>
    <w:rsid w:val="007350C9"/>
    <w:rsid w:val="007415A4"/>
    <w:rsid w:val="007441A2"/>
    <w:rsid w:val="00746A1F"/>
    <w:rsid w:val="00751360"/>
    <w:rsid w:val="00755682"/>
    <w:rsid w:val="00757EE6"/>
    <w:rsid w:val="00761321"/>
    <w:rsid w:val="0076380B"/>
    <w:rsid w:val="007647E2"/>
    <w:rsid w:val="00767D60"/>
    <w:rsid w:val="00783F6C"/>
    <w:rsid w:val="007912D0"/>
    <w:rsid w:val="007940EA"/>
    <w:rsid w:val="007B46EA"/>
    <w:rsid w:val="007B73EC"/>
    <w:rsid w:val="007C0F4B"/>
    <w:rsid w:val="007C5FFD"/>
    <w:rsid w:val="007C7D07"/>
    <w:rsid w:val="007D6771"/>
    <w:rsid w:val="007E044E"/>
    <w:rsid w:val="007E68D1"/>
    <w:rsid w:val="007E7D54"/>
    <w:rsid w:val="007F233E"/>
    <w:rsid w:val="007F3426"/>
    <w:rsid w:val="00802713"/>
    <w:rsid w:val="0080487A"/>
    <w:rsid w:val="008053A3"/>
    <w:rsid w:val="008109D0"/>
    <w:rsid w:val="008123A2"/>
    <w:rsid w:val="008140B2"/>
    <w:rsid w:val="00820FC4"/>
    <w:rsid w:val="008353DD"/>
    <w:rsid w:val="00835EC8"/>
    <w:rsid w:val="008368E6"/>
    <w:rsid w:val="00837E08"/>
    <w:rsid w:val="00844C1B"/>
    <w:rsid w:val="00845BF7"/>
    <w:rsid w:val="0084669E"/>
    <w:rsid w:val="00851E6F"/>
    <w:rsid w:val="00853225"/>
    <w:rsid w:val="00861668"/>
    <w:rsid w:val="00886A56"/>
    <w:rsid w:val="00886CA6"/>
    <w:rsid w:val="0088741A"/>
    <w:rsid w:val="00893589"/>
    <w:rsid w:val="00894C03"/>
    <w:rsid w:val="008958E2"/>
    <w:rsid w:val="008964F8"/>
    <w:rsid w:val="00896F57"/>
    <w:rsid w:val="008A5E84"/>
    <w:rsid w:val="008A65F6"/>
    <w:rsid w:val="008A78DD"/>
    <w:rsid w:val="008B3601"/>
    <w:rsid w:val="008B3F8D"/>
    <w:rsid w:val="008C0911"/>
    <w:rsid w:val="008C1099"/>
    <w:rsid w:val="008C1C16"/>
    <w:rsid w:val="008E6F17"/>
    <w:rsid w:val="008F1225"/>
    <w:rsid w:val="008F6BA8"/>
    <w:rsid w:val="008F73B9"/>
    <w:rsid w:val="00900C9A"/>
    <w:rsid w:val="009020E4"/>
    <w:rsid w:val="00905EAC"/>
    <w:rsid w:val="00907EFE"/>
    <w:rsid w:val="009100F4"/>
    <w:rsid w:val="00911501"/>
    <w:rsid w:val="00911514"/>
    <w:rsid w:val="00913AE6"/>
    <w:rsid w:val="00922FD3"/>
    <w:rsid w:val="0092546E"/>
    <w:rsid w:val="00934338"/>
    <w:rsid w:val="00937E44"/>
    <w:rsid w:val="009411E7"/>
    <w:rsid w:val="00941A92"/>
    <w:rsid w:val="0094254A"/>
    <w:rsid w:val="00943C76"/>
    <w:rsid w:val="00945666"/>
    <w:rsid w:val="009564BD"/>
    <w:rsid w:val="009609E4"/>
    <w:rsid w:val="00966F9A"/>
    <w:rsid w:val="00967F86"/>
    <w:rsid w:val="00990E48"/>
    <w:rsid w:val="00993C5F"/>
    <w:rsid w:val="009A1757"/>
    <w:rsid w:val="009A28ED"/>
    <w:rsid w:val="009A4865"/>
    <w:rsid w:val="009A587B"/>
    <w:rsid w:val="009A6397"/>
    <w:rsid w:val="009C563C"/>
    <w:rsid w:val="009E0626"/>
    <w:rsid w:val="009E0C11"/>
    <w:rsid w:val="009E3EDB"/>
    <w:rsid w:val="009E7CA1"/>
    <w:rsid w:val="00A00E14"/>
    <w:rsid w:val="00A01BD5"/>
    <w:rsid w:val="00A11639"/>
    <w:rsid w:val="00A12AAC"/>
    <w:rsid w:val="00A137E0"/>
    <w:rsid w:val="00A17BC1"/>
    <w:rsid w:val="00A22A3A"/>
    <w:rsid w:val="00A23EF5"/>
    <w:rsid w:val="00A37A19"/>
    <w:rsid w:val="00A4146D"/>
    <w:rsid w:val="00A42B22"/>
    <w:rsid w:val="00A4649C"/>
    <w:rsid w:val="00A47614"/>
    <w:rsid w:val="00A50BCF"/>
    <w:rsid w:val="00A51198"/>
    <w:rsid w:val="00A5281C"/>
    <w:rsid w:val="00A55DC9"/>
    <w:rsid w:val="00A56878"/>
    <w:rsid w:val="00A56DF5"/>
    <w:rsid w:val="00A60B6C"/>
    <w:rsid w:val="00A63463"/>
    <w:rsid w:val="00A642C8"/>
    <w:rsid w:val="00A7022C"/>
    <w:rsid w:val="00A75AE4"/>
    <w:rsid w:val="00A80CC7"/>
    <w:rsid w:val="00A810C5"/>
    <w:rsid w:val="00A81548"/>
    <w:rsid w:val="00A85C12"/>
    <w:rsid w:val="00A85D75"/>
    <w:rsid w:val="00A87261"/>
    <w:rsid w:val="00A91A46"/>
    <w:rsid w:val="00A962C7"/>
    <w:rsid w:val="00AA2D1A"/>
    <w:rsid w:val="00AA5170"/>
    <w:rsid w:val="00AA6D09"/>
    <w:rsid w:val="00AA7E7F"/>
    <w:rsid w:val="00AB3E0E"/>
    <w:rsid w:val="00AB547A"/>
    <w:rsid w:val="00AC2373"/>
    <w:rsid w:val="00AC2A7B"/>
    <w:rsid w:val="00AC4E11"/>
    <w:rsid w:val="00AC5F31"/>
    <w:rsid w:val="00AC6021"/>
    <w:rsid w:val="00AD715F"/>
    <w:rsid w:val="00AE14C3"/>
    <w:rsid w:val="00AE3411"/>
    <w:rsid w:val="00AE3971"/>
    <w:rsid w:val="00AE590A"/>
    <w:rsid w:val="00AE59C9"/>
    <w:rsid w:val="00AE73A8"/>
    <w:rsid w:val="00AF7826"/>
    <w:rsid w:val="00B015E0"/>
    <w:rsid w:val="00B11FC8"/>
    <w:rsid w:val="00B12B83"/>
    <w:rsid w:val="00B150A1"/>
    <w:rsid w:val="00B207DA"/>
    <w:rsid w:val="00B23FA0"/>
    <w:rsid w:val="00B4044D"/>
    <w:rsid w:val="00B419C6"/>
    <w:rsid w:val="00B42233"/>
    <w:rsid w:val="00B4383C"/>
    <w:rsid w:val="00B45F03"/>
    <w:rsid w:val="00B53570"/>
    <w:rsid w:val="00B542DB"/>
    <w:rsid w:val="00B606C6"/>
    <w:rsid w:val="00B62B1C"/>
    <w:rsid w:val="00B64582"/>
    <w:rsid w:val="00B65A83"/>
    <w:rsid w:val="00B752CF"/>
    <w:rsid w:val="00B762F2"/>
    <w:rsid w:val="00B800C4"/>
    <w:rsid w:val="00B83EBB"/>
    <w:rsid w:val="00B9032B"/>
    <w:rsid w:val="00B9313F"/>
    <w:rsid w:val="00B9747C"/>
    <w:rsid w:val="00BB14BC"/>
    <w:rsid w:val="00BB1BC1"/>
    <w:rsid w:val="00BC0CB6"/>
    <w:rsid w:val="00BC2AA4"/>
    <w:rsid w:val="00BC2BEB"/>
    <w:rsid w:val="00BC3944"/>
    <w:rsid w:val="00BC64F5"/>
    <w:rsid w:val="00BD1718"/>
    <w:rsid w:val="00BD2AE2"/>
    <w:rsid w:val="00BD318E"/>
    <w:rsid w:val="00BD31F2"/>
    <w:rsid w:val="00BD41C6"/>
    <w:rsid w:val="00BD4897"/>
    <w:rsid w:val="00BD5A23"/>
    <w:rsid w:val="00BE0EFA"/>
    <w:rsid w:val="00BE5695"/>
    <w:rsid w:val="00BE5876"/>
    <w:rsid w:val="00BF01A0"/>
    <w:rsid w:val="00BF0339"/>
    <w:rsid w:val="00BF0C78"/>
    <w:rsid w:val="00BF1B13"/>
    <w:rsid w:val="00BF3E69"/>
    <w:rsid w:val="00BF6038"/>
    <w:rsid w:val="00C01161"/>
    <w:rsid w:val="00C01D0A"/>
    <w:rsid w:val="00C106E1"/>
    <w:rsid w:val="00C111DA"/>
    <w:rsid w:val="00C13081"/>
    <w:rsid w:val="00C20201"/>
    <w:rsid w:val="00C22D10"/>
    <w:rsid w:val="00C23258"/>
    <w:rsid w:val="00C25F59"/>
    <w:rsid w:val="00C3049F"/>
    <w:rsid w:val="00C3665B"/>
    <w:rsid w:val="00C41605"/>
    <w:rsid w:val="00C45FD4"/>
    <w:rsid w:val="00C464AB"/>
    <w:rsid w:val="00C46B27"/>
    <w:rsid w:val="00C51B35"/>
    <w:rsid w:val="00C52F07"/>
    <w:rsid w:val="00C54063"/>
    <w:rsid w:val="00C54F48"/>
    <w:rsid w:val="00C62B17"/>
    <w:rsid w:val="00C62C7B"/>
    <w:rsid w:val="00C71B9E"/>
    <w:rsid w:val="00C824D2"/>
    <w:rsid w:val="00C828C3"/>
    <w:rsid w:val="00C84EE3"/>
    <w:rsid w:val="00C862F1"/>
    <w:rsid w:val="00CA13EA"/>
    <w:rsid w:val="00CA29FF"/>
    <w:rsid w:val="00CA620A"/>
    <w:rsid w:val="00CB24A3"/>
    <w:rsid w:val="00CB490F"/>
    <w:rsid w:val="00CB5044"/>
    <w:rsid w:val="00CC058D"/>
    <w:rsid w:val="00CC1A61"/>
    <w:rsid w:val="00CC2606"/>
    <w:rsid w:val="00CD2E0A"/>
    <w:rsid w:val="00CD4DDE"/>
    <w:rsid w:val="00CD5E9E"/>
    <w:rsid w:val="00CE022D"/>
    <w:rsid w:val="00CE3439"/>
    <w:rsid w:val="00CE5085"/>
    <w:rsid w:val="00CF20F0"/>
    <w:rsid w:val="00CF456C"/>
    <w:rsid w:val="00D134AA"/>
    <w:rsid w:val="00D16237"/>
    <w:rsid w:val="00D21CF6"/>
    <w:rsid w:val="00D2696E"/>
    <w:rsid w:val="00D27E05"/>
    <w:rsid w:val="00D321E5"/>
    <w:rsid w:val="00D44222"/>
    <w:rsid w:val="00D4466E"/>
    <w:rsid w:val="00D44746"/>
    <w:rsid w:val="00D47EF5"/>
    <w:rsid w:val="00D5228B"/>
    <w:rsid w:val="00D52A82"/>
    <w:rsid w:val="00D56EAC"/>
    <w:rsid w:val="00D63569"/>
    <w:rsid w:val="00D64FA2"/>
    <w:rsid w:val="00D65B6C"/>
    <w:rsid w:val="00D72EC0"/>
    <w:rsid w:val="00D73710"/>
    <w:rsid w:val="00D73EAD"/>
    <w:rsid w:val="00D74AE5"/>
    <w:rsid w:val="00D8570D"/>
    <w:rsid w:val="00D863F6"/>
    <w:rsid w:val="00D877AC"/>
    <w:rsid w:val="00D95DBE"/>
    <w:rsid w:val="00D97375"/>
    <w:rsid w:val="00DA2538"/>
    <w:rsid w:val="00DA33A6"/>
    <w:rsid w:val="00DC0896"/>
    <w:rsid w:val="00DC2A5B"/>
    <w:rsid w:val="00DC397C"/>
    <w:rsid w:val="00DD0D76"/>
    <w:rsid w:val="00DD211C"/>
    <w:rsid w:val="00DD6C66"/>
    <w:rsid w:val="00DF2D16"/>
    <w:rsid w:val="00DF4D53"/>
    <w:rsid w:val="00DF66D1"/>
    <w:rsid w:val="00E01B95"/>
    <w:rsid w:val="00E0707D"/>
    <w:rsid w:val="00E12F73"/>
    <w:rsid w:val="00E25386"/>
    <w:rsid w:val="00E300B3"/>
    <w:rsid w:val="00E32BDB"/>
    <w:rsid w:val="00E3575D"/>
    <w:rsid w:val="00E36462"/>
    <w:rsid w:val="00E364B7"/>
    <w:rsid w:val="00E40C96"/>
    <w:rsid w:val="00E42014"/>
    <w:rsid w:val="00E448E5"/>
    <w:rsid w:val="00E450E8"/>
    <w:rsid w:val="00E47D53"/>
    <w:rsid w:val="00E52260"/>
    <w:rsid w:val="00E531E7"/>
    <w:rsid w:val="00E5696B"/>
    <w:rsid w:val="00E62AEC"/>
    <w:rsid w:val="00E63E19"/>
    <w:rsid w:val="00E6513B"/>
    <w:rsid w:val="00E65DB5"/>
    <w:rsid w:val="00E66C89"/>
    <w:rsid w:val="00E66D0B"/>
    <w:rsid w:val="00E677AB"/>
    <w:rsid w:val="00E67E86"/>
    <w:rsid w:val="00E70C5A"/>
    <w:rsid w:val="00E7146F"/>
    <w:rsid w:val="00E8173B"/>
    <w:rsid w:val="00E82A95"/>
    <w:rsid w:val="00E86A5A"/>
    <w:rsid w:val="00E874FB"/>
    <w:rsid w:val="00E9088E"/>
    <w:rsid w:val="00E915AA"/>
    <w:rsid w:val="00E927E5"/>
    <w:rsid w:val="00E9392A"/>
    <w:rsid w:val="00EA0DA3"/>
    <w:rsid w:val="00EA2F0C"/>
    <w:rsid w:val="00EA34AF"/>
    <w:rsid w:val="00EA469B"/>
    <w:rsid w:val="00EA5B5C"/>
    <w:rsid w:val="00EC033C"/>
    <w:rsid w:val="00EC0DFA"/>
    <w:rsid w:val="00EC3886"/>
    <w:rsid w:val="00EC68B2"/>
    <w:rsid w:val="00EC6D34"/>
    <w:rsid w:val="00ED0518"/>
    <w:rsid w:val="00ED05DE"/>
    <w:rsid w:val="00ED1DBE"/>
    <w:rsid w:val="00ED6547"/>
    <w:rsid w:val="00ED6C5C"/>
    <w:rsid w:val="00ED7910"/>
    <w:rsid w:val="00EE1003"/>
    <w:rsid w:val="00EE73EC"/>
    <w:rsid w:val="00EF05A1"/>
    <w:rsid w:val="00F00022"/>
    <w:rsid w:val="00F00FAA"/>
    <w:rsid w:val="00F05A3E"/>
    <w:rsid w:val="00F1785D"/>
    <w:rsid w:val="00F232D3"/>
    <w:rsid w:val="00F24E91"/>
    <w:rsid w:val="00F33D5C"/>
    <w:rsid w:val="00F40357"/>
    <w:rsid w:val="00F44411"/>
    <w:rsid w:val="00F53E82"/>
    <w:rsid w:val="00F610B1"/>
    <w:rsid w:val="00F61FBA"/>
    <w:rsid w:val="00F628D2"/>
    <w:rsid w:val="00F8559E"/>
    <w:rsid w:val="00F9206B"/>
    <w:rsid w:val="00F932B1"/>
    <w:rsid w:val="00F93830"/>
    <w:rsid w:val="00F95146"/>
    <w:rsid w:val="00F9649F"/>
    <w:rsid w:val="00FA0A25"/>
    <w:rsid w:val="00FA0EE1"/>
    <w:rsid w:val="00FA341F"/>
    <w:rsid w:val="00FB776E"/>
    <w:rsid w:val="00FD069B"/>
    <w:rsid w:val="00FD571D"/>
    <w:rsid w:val="00FD6CB0"/>
    <w:rsid w:val="00FE03F2"/>
    <w:rsid w:val="00FE1DA8"/>
    <w:rsid w:val="00FE4FBF"/>
    <w:rsid w:val="00FE5AC9"/>
    <w:rsid w:val="00FF0BC6"/>
    <w:rsid w:val="00FF61A1"/>
    <w:rsid w:val="0157323C"/>
    <w:rsid w:val="01B49C63"/>
    <w:rsid w:val="021BCBAA"/>
    <w:rsid w:val="0235FA62"/>
    <w:rsid w:val="0268E4A3"/>
    <w:rsid w:val="02DF84B5"/>
    <w:rsid w:val="02F67EBB"/>
    <w:rsid w:val="056F6D1B"/>
    <w:rsid w:val="059EA9E6"/>
    <w:rsid w:val="0661BF64"/>
    <w:rsid w:val="06BAF6E0"/>
    <w:rsid w:val="0740F782"/>
    <w:rsid w:val="076D213D"/>
    <w:rsid w:val="078C0934"/>
    <w:rsid w:val="079DADA8"/>
    <w:rsid w:val="084BF2F2"/>
    <w:rsid w:val="085F7CA6"/>
    <w:rsid w:val="08B68E96"/>
    <w:rsid w:val="09231825"/>
    <w:rsid w:val="09265A6F"/>
    <w:rsid w:val="0A41290B"/>
    <w:rsid w:val="0B23F0C0"/>
    <w:rsid w:val="0B46B215"/>
    <w:rsid w:val="0B7587BC"/>
    <w:rsid w:val="0CA3472A"/>
    <w:rsid w:val="0D7C0C67"/>
    <w:rsid w:val="0EAC1DAC"/>
    <w:rsid w:val="0EDE0692"/>
    <w:rsid w:val="0EE69FCA"/>
    <w:rsid w:val="0EF63256"/>
    <w:rsid w:val="10CB212A"/>
    <w:rsid w:val="10DA6D52"/>
    <w:rsid w:val="10EF9A73"/>
    <w:rsid w:val="1146DF5F"/>
    <w:rsid w:val="115930CF"/>
    <w:rsid w:val="115CCD8B"/>
    <w:rsid w:val="11606869"/>
    <w:rsid w:val="1176C435"/>
    <w:rsid w:val="127A14B9"/>
    <w:rsid w:val="12C37EB2"/>
    <w:rsid w:val="12F96727"/>
    <w:rsid w:val="1350B724"/>
    <w:rsid w:val="138FD034"/>
    <w:rsid w:val="13B5CC16"/>
    <w:rsid w:val="141D4A69"/>
    <w:rsid w:val="1455153B"/>
    <w:rsid w:val="150F0A6E"/>
    <w:rsid w:val="1546987B"/>
    <w:rsid w:val="15F62EC7"/>
    <w:rsid w:val="1627F678"/>
    <w:rsid w:val="167D91BE"/>
    <w:rsid w:val="16814215"/>
    <w:rsid w:val="16AC93E1"/>
    <w:rsid w:val="16F65D3E"/>
    <w:rsid w:val="1725C9D4"/>
    <w:rsid w:val="17BD8EE0"/>
    <w:rsid w:val="17E8EB6E"/>
    <w:rsid w:val="180252CF"/>
    <w:rsid w:val="18596D57"/>
    <w:rsid w:val="19113837"/>
    <w:rsid w:val="196406FF"/>
    <w:rsid w:val="19A77D31"/>
    <w:rsid w:val="19C7F810"/>
    <w:rsid w:val="1A188459"/>
    <w:rsid w:val="1A706C4C"/>
    <w:rsid w:val="1B03C998"/>
    <w:rsid w:val="1B6B4F93"/>
    <w:rsid w:val="1BF8B3B2"/>
    <w:rsid w:val="1CE7C485"/>
    <w:rsid w:val="1D0A62D0"/>
    <w:rsid w:val="1D303823"/>
    <w:rsid w:val="1D802407"/>
    <w:rsid w:val="1D9B21DA"/>
    <w:rsid w:val="1DB47B2A"/>
    <w:rsid w:val="1DB55B5F"/>
    <w:rsid w:val="1DBBD215"/>
    <w:rsid w:val="1DE732F6"/>
    <w:rsid w:val="1DF0BCED"/>
    <w:rsid w:val="20076472"/>
    <w:rsid w:val="202C0E6B"/>
    <w:rsid w:val="20551977"/>
    <w:rsid w:val="223137DC"/>
    <w:rsid w:val="2271C7AF"/>
    <w:rsid w:val="2288F1D6"/>
    <w:rsid w:val="23240999"/>
    <w:rsid w:val="2374C014"/>
    <w:rsid w:val="2382B385"/>
    <w:rsid w:val="23B0134D"/>
    <w:rsid w:val="23C2BED1"/>
    <w:rsid w:val="23C6150E"/>
    <w:rsid w:val="24B595F5"/>
    <w:rsid w:val="2551A810"/>
    <w:rsid w:val="25DF9DE0"/>
    <w:rsid w:val="25E3181C"/>
    <w:rsid w:val="262029E4"/>
    <w:rsid w:val="26C7D945"/>
    <w:rsid w:val="27130582"/>
    <w:rsid w:val="27C317B4"/>
    <w:rsid w:val="27CE4E62"/>
    <w:rsid w:val="27CF2DF0"/>
    <w:rsid w:val="27D84204"/>
    <w:rsid w:val="27D9A961"/>
    <w:rsid w:val="2837657A"/>
    <w:rsid w:val="28C52CF2"/>
    <w:rsid w:val="28ECC89B"/>
    <w:rsid w:val="28F7469F"/>
    <w:rsid w:val="28F7971B"/>
    <w:rsid w:val="2943FA91"/>
    <w:rsid w:val="29610792"/>
    <w:rsid w:val="29BE405E"/>
    <w:rsid w:val="29FEC1AD"/>
    <w:rsid w:val="2A90F77E"/>
    <w:rsid w:val="2AF43A37"/>
    <w:rsid w:val="2B41A6F4"/>
    <w:rsid w:val="2B7AAEF5"/>
    <w:rsid w:val="2B99FD76"/>
    <w:rsid w:val="2BEB5B13"/>
    <w:rsid w:val="2BF98C17"/>
    <w:rsid w:val="2E6EB01A"/>
    <w:rsid w:val="2ECB7D90"/>
    <w:rsid w:val="2FB36DA5"/>
    <w:rsid w:val="2FCDB1D8"/>
    <w:rsid w:val="316648E8"/>
    <w:rsid w:val="31F64904"/>
    <w:rsid w:val="32A8B23E"/>
    <w:rsid w:val="345AF62F"/>
    <w:rsid w:val="34FEA667"/>
    <w:rsid w:val="358B1E25"/>
    <w:rsid w:val="35AC1508"/>
    <w:rsid w:val="3676DBAE"/>
    <w:rsid w:val="3685CF3F"/>
    <w:rsid w:val="36D94995"/>
    <w:rsid w:val="37A059A0"/>
    <w:rsid w:val="37AD76C1"/>
    <w:rsid w:val="380677D8"/>
    <w:rsid w:val="383E4AE9"/>
    <w:rsid w:val="38A1F398"/>
    <w:rsid w:val="38BA548D"/>
    <w:rsid w:val="3935186B"/>
    <w:rsid w:val="39691267"/>
    <w:rsid w:val="39B64275"/>
    <w:rsid w:val="39BBCF06"/>
    <w:rsid w:val="39E59E57"/>
    <w:rsid w:val="39F4D590"/>
    <w:rsid w:val="3AA99EC2"/>
    <w:rsid w:val="3B298275"/>
    <w:rsid w:val="3C153584"/>
    <w:rsid w:val="3CC7C0DE"/>
    <w:rsid w:val="3D059065"/>
    <w:rsid w:val="3D23FEF5"/>
    <w:rsid w:val="3D2FC9B1"/>
    <w:rsid w:val="3DA652A1"/>
    <w:rsid w:val="3DE0CD8A"/>
    <w:rsid w:val="3DF29079"/>
    <w:rsid w:val="3E0A74B1"/>
    <w:rsid w:val="3E0B0334"/>
    <w:rsid w:val="3EAAD8E2"/>
    <w:rsid w:val="3F6ED91F"/>
    <w:rsid w:val="416C0A79"/>
    <w:rsid w:val="41F81AA1"/>
    <w:rsid w:val="4204CB30"/>
    <w:rsid w:val="424034E3"/>
    <w:rsid w:val="42AA5248"/>
    <w:rsid w:val="43011B53"/>
    <w:rsid w:val="433A35A1"/>
    <w:rsid w:val="436B80E6"/>
    <w:rsid w:val="437B4E80"/>
    <w:rsid w:val="4401232A"/>
    <w:rsid w:val="441B024A"/>
    <w:rsid w:val="44DD8FBC"/>
    <w:rsid w:val="4536815F"/>
    <w:rsid w:val="4546B2D9"/>
    <w:rsid w:val="45A980F8"/>
    <w:rsid w:val="46041C63"/>
    <w:rsid w:val="46A8C622"/>
    <w:rsid w:val="46FF7AF3"/>
    <w:rsid w:val="470796F5"/>
    <w:rsid w:val="473D48D8"/>
    <w:rsid w:val="485E8AE9"/>
    <w:rsid w:val="487229A8"/>
    <w:rsid w:val="48FD52A7"/>
    <w:rsid w:val="49738255"/>
    <w:rsid w:val="498EC936"/>
    <w:rsid w:val="4A2BCCB2"/>
    <w:rsid w:val="4AAC60D5"/>
    <w:rsid w:val="4B591B9A"/>
    <w:rsid w:val="4C4A300C"/>
    <w:rsid w:val="4D0E81A9"/>
    <w:rsid w:val="4D5BE221"/>
    <w:rsid w:val="4D5F7E85"/>
    <w:rsid w:val="4E7A98BC"/>
    <w:rsid w:val="4EAEE358"/>
    <w:rsid w:val="4FA4913A"/>
    <w:rsid w:val="51A8C548"/>
    <w:rsid w:val="52291F23"/>
    <w:rsid w:val="5271076D"/>
    <w:rsid w:val="52F002B4"/>
    <w:rsid w:val="53156F98"/>
    <w:rsid w:val="538B2F77"/>
    <w:rsid w:val="53CF82D1"/>
    <w:rsid w:val="540DAF33"/>
    <w:rsid w:val="54354DC6"/>
    <w:rsid w:val="54537A78"/>
    <w:rsid w:val="5483BCA9"/>
    <w:rsid w:val="55B73D35"/>
    <w:rsid w:val="55FCF45B"/>
    <w:rsid w:val="561C0AF2"/>
    <w:rsid w:val="56817352"/>
    <w:rsid w:val="576581F6"/>
    <w:rsid w:val="57952F2C"/>
    <w:rsid w:val="57F3586A"/>
    <w:rsid w:val="5828EE80"/>
    <w:rsid w:val="58386B5E"/>
    <w:rsid w:val="5853598C"/>
    <w:rsid w:val="58796D8E"/>
    <w:rsid w:val="5885A292"/>
    <w:rsid w:val="58D36C7D"/>
    <w:rsid w:val="5B69D71A"/>
    <w:rsid w:val="5B78E13D"/>
    <w:rsid w:val="5BB7CF1E"/>
    <w:rsid w:val="5BD5C63F"/>
    <w:rsid w:val="5BEF9C21"/>
    <w:rsid w:val="5CA43148"/>
    <w:rsid w:val="5CA80888"/>
    <w:rsid w:val="5D1074AC"/>
    <w:rsid w:val="5D7F914B"/>
    <w:rsid w:val="5E86A155"/>
    <w:rsid w:val="5EF95DC7"/>
    <w:rsid w:val="5F14275C"/>
    <w:rsid w:val="6037EFE7"/>
    <w:rsid w:val="60C497F7"/>
    <w:rsid w:val="60C8D12C"/>
    <w:rsid w:val="611AA60A"/>
    <w:rsid w:val="613CA958"/>
    <w:rsid w:val="6183B026"/>
    <w:rsid w:val="62C17662"/>
    <w:rsid w:val="636A8FF7"/>
    <w:rsid w:val="63CD36C4"/>
    <w:rsid w:val="63D326F4"/>
    <w:rsid w:val="641B1591"/>
    <w:rsid w:val="64330B4C"/>
    <w:rsid w:val="6592F6DF"/>
    <w:rsid w:val="65B2D29D"/>
    <w:rsid w:val="665BA397"/>
    <w:rsid w:val="66880088"/>
    <w:rsid w:val="66A6BCC1"/>
    <w:rsid w:val="670D7B85"/>
    <w:rsid w:val="67663A58"/>
    <w:rsid w:val="67848DDF"/>
    <w:rsid w:val="67B3384B"/>
    <w:rsid w:val="67CDAD16"/>
    <w:rsid w:val="68040384"/>
    <w:rsid w:val="68EFB996"/>
    <w:rsid w:val="691D8017"/>
    <w:rsid w:val="69C5E5B9"/>
    <w:rsid w:val="69F41534"/>
    <w:rsid w:val="6A33934E"/>
    <w:rsid w:val="6B1151AC"/>
    <w:rsid w:val="6BCA648E"/>
    <w:rsid w:val="6C0515A5"/>
    <w:rsid w:val="6C7F4CC6"/>
    <w:rsid w:val="6CE81110"/>
    <w:rsid w:val="6D03B6C0"/>
    <w:rsid w:val="6D217D08"/>
    <w:rsid w:val="6D3CACB1"/>
    <w:rsid w:val="6D5365ED"/>
    <w:rsid w:val="6D563C9A"/>
    <w:rsid w:val="6D79C2F3"/>
    <w:rsid w:val="6D7C16F8"/>
    <w:rsid w:val="6D9654AC"/>
    <w:rsid w:val="6E5BA290"/>
    <w:rsid w:val="6FA13BB6"/>
    <w:rsid w:val="6FE18908"/>
    <w:rsid w:val="6FFE8B91"/>
    <w:rsid w:val="70AC221D"/>
    <w:rsid w:val="70B3692C"/>
    <w:rsid w:val="71465F85"/>
    <w:rsid w:val="71812548"/>
    <w:rsid w:val="718C6942"/>
    <w:rsid w:val="71E19ED2"/>
    <w:rsid w:val="723C618B"/>
    <w:rsid w:val="725B7BCC"/>
    <w:rsid w:val="7298845B"/>
    <w:rsid w:val="7490E63A"/>
    <w:rsid w:val="7598E8E2"/>
    <w:rsid w:val="76275B8E"/>
    <w:rsid w:val="765BC955"/>
    <w:rsid w:val="7682699F"/>
    <w:rsid w:val="7697AED8"/>
    <w:rsid w:val="76A211EA"/>
    <w:rsid w:val="7724E4C3"/>
    <w:rsid w:val="7795C25D"/>
    <w:rsid w:val="77D75D9C"/>
    <w:rsid w:val="77D9DD77"/>
    <w:rsid w:val="77F8B312"/>
    <w:rsid w:val="78014BF0"/>
    <w:rsid w:val="7922516A"/>
    <w:rsid w:val="793AE0A3"/>
    <w:rsid w:val="795389DF"/>
    <w:rsid w:val="79709DBB"/>
    <w:rsid w:val="7977FA32"/>
    <w:rsid w:val="79F1237E"/>
    <w:rsid w:val="7A11F889"/>
    <w:rsid w:val="7A1A3327"/>
    <w:rsid w:val="7A5C0ADE"/>
    <w:rsid w:val="7A9F2902"/>
    <w:rsid w:val="7AA33822"/>
    <w:rsid w:val="7B0049CA"/>
    <w:rsid w:val="7B775282"/>
    <w:rsid w:val="7B880619"/>
    <w:rsid w:val="7B9358C0"/>
    <w:rsid w:val="7D7D785B"/>
    <w:rsid w:val="7EBD2A61"/>
    <w:rsid w:val="7F78A27A"/>
    <w:rsid w:val="7F9EC4BE"/>
    <w:rsid w:val="7FD260A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585BC70-9DD1-4572-8122-307325EC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E6513B"/>
    <w:rPr>
      <w:sz w:val="16"/>
      <w:szCs w:val="16"/>
    </w:rPr>
  </w:style>
  <w:style w:type="paragraph" w:styleId="CommentText">
    <w:name w:val="annotation text"/>
    <w:basedOn w:val="Normal"/>
    <w:link w:val="CommentTextChar"/>
    <w:uiPriority w:val="99"/>
    <w:unhideWhenUsed/>
    <w:rsid w:val="00E6513B"/>
    <w:pPr>
      <w:spacing w:line="240" w:lineRule="auto"/>
    </w:pPr>
    <w:rPr>
      <w:sz w:val="20"/>
      <w:szCs w:val="20"/>
    </w:rPr>
  </w:style>
  <w:style w:type="character" w:customStyle="1" w:styleId="CommentTextChar">
    <w:name w:val="Comment Text Char"/>
    <w:basedOn w:val="DefaultParagraphFont"/>
    <w:link w:val="CommentText"/>
    <w:uiPriority w:val="99"/>
    <w:rsid w:val="00E6513B"/>
    <w:rPr>
      <w:sz w:val="20"/>
      <w:szCs w:val="20"/>
    </w:rPr>
  </w:style>
  <w:style w:type="paragraph" w:styleId="CommentSubject">
    <w:name w:val="annotation subject"/>
    <w:basedOn w:val="CommentText"/>
    <w:next w:val="CommentText"/>
    <w:link w:val="CommentSubjectChar"/>
    <w:uiPriority w:val="99"/>
    <w:semiHidden/>
    <w:unhideWhenUsed/>
    <w:rsid w:val="00E6513B"/>
    <w:rPr>
      <w:b/>
      <w:bCs/>
    </w:rPr>
  </w:style>
  <w:style w:type="character" w:customStyle="1" w:styleId="CommentSubjectChar">
    <w:name w:val="Comment Subject Char"/>
    <w:basedOn w:val="CommentTextChar"/>
    <w:link w:val="CommentSubject"/>
    <w:uiPriority w:val="99"/>
    <w:semiHidden/>
    <w:rsid w:val="00E6513B"/>
    <w:rPr>
      <w:b/>
      <w:bCs/>
      <w:sz w:val="20"/>
      <w:szCs w:val="20"/>
    </w:rPr>
  </w:style>
  <w:style w:type="paragraph" w:styleId="Revision">
    <w:name w:val="Revision"/>
    <w:hidden/>
    <w:uiPriority w:val="99"/>
    <w:semiHidden/>
    <w:rsid w:val="009E0C11"/>
    <w:pPr>
      <w:spacing w:after="0" w:line="240" w:lineRule="auto"/>
    </w:pPr>
  </w:style>
  <w:style w:type="character" w:styleId="Hyperlink">
    <w:name w:val="Hyperlink"/>
    <w:basedOn w:val="DefaultParagraphFont"/>
    <w:uiPriority w:val="99"/>
    <w:unhideWhenUsed/>
    <w:rsid w:val="0067356B"/>
    <w:rPr>
      <w:color w:val="467886" w:themeColor="hyperlink"/>
      <w:u w:val="single"/>
    </w:rPr>
  </w:style>
  <w:style w:type="character" w:styleId="UnresolvedMention">
    <w:name w:val="Unresolved Mention"/>
    <w:basedOn w:val="DefaultParagraphFont"/>
    <w:uiPriority w:val="99"/>
    <w:semiHidden/>
    <w:unhideWhenUsed/>
    <w:rsid w:val="0067356B"/>
    <w:rPr>
      <w:color w:val="605E5C"/>
      <w:shd w:val="clear" w:color="auto" w:fill="E1DFDD"/>
    </w:rPr>
  </w:style>
  <w:style w:type="paragraph" w:styleId="EndnoteText">
    <w:name w:val="endnote text"/>
    <w:basedOn w:val="Normal"/>
    <w:link w:val="EndnoteTextChar"/>
    <w:uiPriority w:val="99"/>
    <w:semiHidden/>
    <w:unhideWhenUsed/>
    <w:rsid w:val="00465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238"/>
    <w:rPr>
      <w:sz w:val="20"/>
      <w:szCs w:val="20"/>
    </w:rPr>
  </w:style>
  <w:style w:type="character" w:styleId="EndnoteReference">
    <w:name w:val="endnote reference"/>
    <w:basedOn w:val="DefaultParagraphFont"/>
    <w:uiPriority w:val="99"/>
    <w:semiHidden/>
    <w:unhideWhenUsed/>
    <w:rsid w:val="00465238"/>
    <w:rPr>
      <w:vertAlign w:val="superscript"/>
    </w:rPr>
  </w:style>
  <w:style w:type="character" w:styleId="FollowedHyperlink">
    <w:name w:val="FollowedHyperlink"/>
    <w:basedOn w:val="DefaultParagraphFont"/>
    <w:uiPriority w:val="99"/>
    <w:semiHidden/>
    <w:unhideWhenUsed/>
    <w:rsid w:val="00BB14BC"/>
    <w:rPr>
      <w:color w:val="96607D" w:themeColor="followedHyperlink"/>
      <w:u w:val="single"/>
    </w:rPr>
  </w:style>
  <w:style w:type="paragraph" w:customStyle="1" w:styleId="TableHeading">
    <w:name w:val="Table Heading"/>
    <w:basedOn w:val="Normal"/>
    <w:uiPriority w:val="1"/>
    <w:qFormat/>
    <w:rsid w:val="7F78A27A"/>
    <w:pPr>
      <w:spacing w:before="80" w:after="80"/>
    </w:pPr>
    <w:rPr>
      <w:rFonts w:eastAsiaTheme="minorEastAsia"/>
      <w:b/>
      <w:bCs/>
      <w:lang w:bidi="en-US"/>
    </w:rPr>
  </w:style>
  <w:style w:type="paragraph" w:customStyle="1" w:styleId="Table">
    <w:name w:val="Table"/>
    <w:basedOn w:val="Normal"/>
    <w:uiPriority w:val="1"/>
    <w:qFormat/>
    <w:rsid w:val="7F78A27A"/>
    <w:pPr>
      <w:spacing w:before="80" w:after="80"/>
      <w:jc w:val="center"/>
    </w:pPr>
    <w:rPr>
      <w:rFonts w:eastAsiaTheme="minorEastAsia"/>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6219FB"/>
    <w:rPr>
      <w:color w:val="2B579A"/>
      <w:shd w:val="clear" w:color="auto" w:fill="E1DFDD"/>
    </w:rPr>
  </w:style>
  <w:style w:type="paragraph" w:styleId="FootnoteText">
    <w:name w:val="footnote text"/>
    <w:basedOn w:val="Normal"/>
    <w:link w:val="FootnoteTextChar"/>
    <w:uiPriority w:val="99"/>
    <w:semiHidden/>
    <w:unhideWhenUsed/>
    <w:rsid w:val="00C46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4AB"/>
    <w:rPr>
      <w:sz w:val="20"/>
      <w:szCs w:val="20"/>
    </w:rPr>
  </w:style>
  <w:style w:type="character" w:styleId="FootnoteReference">
    <w:name w:val="footnote reference"/>
    <w:basedOn w:val="DefaultParagraphFont"/>
    <w:uiPriority w:val="99"/>
    <w:semiHidden/>
    <w:unhideWhenUsed/>
    <w:rsid w:val="00C46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Lauren.Secatore@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oe.mass.edu/cmvs/cmvs/performance-criteria.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bese/docs/fy2025/2025-03/item6.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nepc.colorado.edu/publication/virtual-schools-annual-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2C402EA0-67CE-4634-A20A-41AAFAEA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4.xml><?xml version="1.0" encoding="utf-8"?>
<ds:datastoreItem xmlns:ds="http://schemas.openxmlformats.org/officeDocument/2006/customXml" ds:itemID="{4C4CA640-94AE-4403-8E70-FA2D9FA73A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3602</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BESE December 16, 2025 Regular Meeting Item 2: Update on Public Adult Education in Massachusetts</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24, 2026 Regular Meeting Item 4: Commonwealth Virtual Schools Renewal Applications and Report on Conditions</dc:title>
  <dc:subject/>
  <dc:creator>DESE</dc:creator>
  <cp:keywords/>
  <dc:description/>
  <cp:lastModifiedBy>Zou, Dong (EOE)</cp:lastModifiedBy>
  <cp:revision>4</cp:revision>
  <dcterms:created xsi:type="dcterms:W3CDTF">2026-03-18T21:30:00Z</dcterms:created>
  <dcterms:modified xsi:type="dcterms:W3CDTF">2026-03-18T22:29:00Z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2026 12:00AM</vt:lpwstr>
  </property>
</Properties>
</file>