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69F59" w14:textId="77777777" w:rsidR="00032C6B" w:rsidRDefault="001536F3" w:rsidP="00EF2267">
      <w:pPr>
        <w:spacing w:after="0"/>
      </w:pPr>
      <w:r>
        <w:rPr>
          <w:noProof/>
        </w:rPr>
        <w:drawing>
          <wp:anchor distT="0" distB="0" distL="114300" distR="114300" simplePos="0" relativeHeight="251658240" behindDoc="1" locked="0" layoutInCell="1" allowOverlap="1" wp14:anchorId="566E1A46" wp14:editId="76D43721">
            <wp:simplePos x="0" y="0"/>
            <wp:positionH relativeFrom="page">
              <wp:posOffset>173809</wp:posOffset>
            </wp:positionH>
            <wp:positionV relativeFrom="paragraph">
              <wp:posOffset>-914400</wp:posOffset>
            </wp:positionV>
            <wp:extent cx="7318828" cy="1447023"/>
            <wp:effectExtent l="0" t="0" r="0" b="0"/>
            <wp:wrapNone/>
            <wp:docPr id="671528852"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descr="DES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8828" cy="1447023"/>
                    </a:xfrm>
                    <a:prstGeom prst="rect">
                      <a:avLst/>
                    </a:prstGeom>
                  </pic:spPr>
                </pic:pic>
              </a:graphicData>
            </a:graphic>
            <wp14:sizeRelH relativeFrom="page">
              <wp14:pctWidth>0</wp14:pctWidth>
            </wp14:sizeRelH>
            <wp14:sizeRelV relativeFrom="page">
              <wp14:pctHeight>0</wp14:pctHeight>
            </wp14:sizeRelV>
          </wp:anchor>
        </w:drawing>
      </w:r>
    </w:p>
    <w:p w14:paraId="443C0F92" w14:textId="77777777" w:rsidR="00C84EE3" w:rsidRDefault="00C84EE3" w:rsidP="00EF2267">
      <w:pPr>
        <w:spacing w:after="0"/>
      </w:pPr>
    </w:p>
    <w:p w14:paraId="4F2E1FA4" w14:textId="77777777" w:rsidR="00EF2267" w:rsidRDefault="00EF2267" w:rsidP="00EF2267">
      <w:pPr>
        <w:spacing w:after="0"/>
        <w:rPr>
          <w:rFonts w:ascii="Arial" w:hAnsi="Arial" w:cs="Arial"/>
          <w:sz w:val="20"/>
          <w:szCs w:val="20"/>
        </w:rPr>
      </w:pPr>
    </w:p>
    <w:p w14:paraId="3780BAFC" w14:textId="77777777" w:rsidR="00B86C3D" w:rsidRPr="0021555D" w:rsidRDefault="00B86C3D" w:rsidP="00EF2267">
      <w:pPr>
        <w:spacing w:after="0"/>
        <w:rPr>
          <w:rFonts w:ascii="Arial" w:hAnsi="Arial" w:cs="Arial"/>
          <w:sz w:val="20"/>
          <w:szCs w:val="20"/>
        </w:rPr>
      </w:pPr>
      <w:r w:rsidRPr="0021555D">
        <w:rPr>
          <w:rFonts w:ascii="Arial" w:hAnsi="Arial" w:cs="Arial"/>
          <w:sz w:val="20"/>
          <w:szCs w:val="20"/>
        </w:rPr>
        <w:t>135 Santilli Hwy, Everett MA 02149   Voice: (781) 388-3000   TTY: 1-800-439-2370    www.doe.mass.edu</w:t>
      </w:r>
    </w:p>
    <w:bookmarkStart w:id="0" w:name="_Toc223946048"/>
    <w:p w14:paraId="6092184E" w14:textId="77777777" w:rsidR="00EF2267" w:rsidRPr="00EF2267" w:rsidRDefault="00EF2267" w:rsidP="00082495">
      <w:r>
        <w:rPr>
          <w:noProof/>
        </w:rPr>
        <mc:AlternateContent>
          <mc:Choice Requires="wps">
            <w:drawing>
              <wp:anchor distT="0" distB="0" distL="114300" distR="114300" simplePos="0" relativeHeight="251658241" behindDoc="0" locked="0" layoutInCell="1" allowOverlap="1" wp14:anchorId="39B4D8C3" wp14:editId="24E9BD80">
                <wp:simplePos x="0" y="0"/>
                <wp:positionH relativeFrom="column">
                  <wp:posOffset>38100</wp:posOffset>
                </wp:positionH>
                <wp:positionV relativeFrom="paragraph">
                  <wp:posOffset>190500</wp:posOffset>
                </wp:positionV>
                <wp:extent cx="5943600" cy="28575"/>
                <wp:effectExtent l="0" t="0" r="19050" b="28575"/>
                <wp:wrapNone/>
                <wp:docPr id="177799510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line id="Straight Connector 1"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from="3pt,15pt" to="471pt,17.25pt" w14:anchorId="5E3D2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">
                <v:stroke joinstyle="miter"/>
              </v:line>
            </w:pict>
          </mc:Fallback>
        </mc:AlternateContent>
      </w:r>
      <w:bookmarkEnd w:id="0"/>
    </w:p>
    <w:p w14:paraId="5FBB6278" w14:textId="77777777" w:rsidR="00C3665B" w:rsidRDefault="00C3665B" w:rsidP="00EF2267">
      <w:pPr>
        <w:pStyle w:val="Heading1"/>
        <w:spacing w:before="0" w:after="0"/>
        <w:jc w:val="center"/>
        <w:rPr>
          <w:rFonts w:ascii="Arial" w:hAnsi="Arial" w:cs="Arial"/>
          <w:b/>
          <w:bCs/>
          <w:color w:val="auto"/>
        </w:rPr>
      </w:pPr>
      <w:bookmarkStart w:id="1" w:name="_Toc223946049"/>
      <w:r w:rsidRPr="00864969">
        <w:rPr>
          <w:rFonts w:ascii="Arial" w:hAnsi="Arial" w:cs="Arial"/>
          <w:b/>
          <w:bCs/>
          <w:color w:val="auto"/>
        </w:rPr>
        <w:t>M</w:t>
      </w:r>
      <w:r w:rsidR="007C2E84">
        <w:rPr>
          <w:rFonts w:ascii="Arial" w:hAnsi="Arial" w:cs="Arial"/>
          <w:b/>
          <w:bCs/>
          <w:color w:val="auto"/>
        </w:rPr>
        <w:t>emorandum</w:t>
      </w:r>
      <w:bookmarkEnd w:id="1"/>
    </w:p>
    <w:p w14:paraId="1708BA64" w14:textId="77777777" w:rsidR="00812F66" w:rsidRDefault="3A5BB5D5" w:rsidP="466EFB64">
      <w:pPr>
        <w:spacing w:after="0"/>
        <w:rPr>
          <w:rFonts w:ascii="Arial" w:eastAsia="Arial" w:hAnsi="Arial" w:cs="Arial"/>
          <w:b/>
          <w:bCs/>
        </w:rPr>
      </w:pPr>
      <w:r w:rsidRPr="466EFB64">
        <w:rPr>
          <w:rFonts w:ascii="Arial" w:eastAsia="Arial" w:hAnsi="Arial" w:cs="Arial"/>
          <w:b/>
          <w:bCs/>
        </w:rPr>
        <w:t>To</w:t>
      </w:r>
      <w:r w:rsidRPr="466EFB64">
        <w:rPr>
          <w:rFonts w:ascii="Arial" w:eastAsia="Arial" w:hAnsi="Arial" w:cs="Arial"/>
        </w:rPr>
        <w:t xml:space="preserve">: </w:t>
      </w:r>
      <w:r w:rsidR="1640EC44" w:rsidRPr="466EFB64">
        <w:rPr>
          <w:rFonts w:ascii="Arial" w:eastAsia="Arial" w:hAnsi="Arial" w:cs="Arial"/>
        </w:rPr>
        <w:t>Members of the Board of Elementary and Secondary Education</w:t>
      </w:r>
      <w:r w:rsidR="1640EC44" w:rsidRPr="466EFB64">
        <w:rPr>
          <w:rFonts w:ascii="Arial" w:eastAsia="Arial" w:hAnsi="Arial" w:cs="Arial"/>
          <w:b/>
          <w:bCs/>
        </w:rPr>
        <w:t xml:space="preserve"> </w:t>
      </w:r>
    </w:p>
    <w:p w14:paraId="28D60215" w14:textId="226EFDBB" w:rsidR="00F93DAF" w:rsidRPr="001A5F2E" w:rsidRDefault="00F93DAF" w:rsidP="00EF2267">
      <w:pPr>
        <w:spacing w:after="0"/>
        <w:rPr>
          <w:rFonts w:ascii="Arial" w:hAnsi="Arial" w:cs="Arial"/>
        </w:rPr>
      </w:pPr>
      <w:r w:rsidRPr="001A5F2E">
        <w:rPr>
          <w:rFonts w:ascii="Arial" w:hAnsi="Arial" w:cs="Arial"/>
          <w:b/>
          <w:bCs/>
        </w:rPr>
        <w:t>From</w:t>
      </w:r>
      <w:r w:rsidRPr="001A5F2E">
        <w:rPr>
          <w:rFonts w:ascii="Arial" w:hAnsi="Arial" w:cs="Arial"/>
        </w:rPr>
        <w:t>: Pedro Martinez, Commissioner</w:t>
      </w:r>
    </w:p>
    <w:p w14:paraId="351AB5DF" w14:textId="2578D148" w:rsidR="00F93DAF" w:rsidRPr="00812F66" w:rsidRDefault="3A5BB5D5" w:rsidP="00EF2267">
      <w:pPr>
        <w:spacing w:after="0"/>
        <w:rPr>
          <w:rFonts w:ascii="Arial" w:hAnsi="Arial" w:cs="Arial"/>
        </w:rPr>
      </w:pPr>
      <w:r w:rsidRPr="466EFB64">
        <w:rPr>
          <w:rFonts w:ascii="Arial" w:hAnsi="Arial" w:cs="Arial"/>
          <w:b/>
          <w:bCs/>
        </w:rPr>
        <w:t>Date</w:t>
      </w:r>
      <w:r w:rsidRPr="466EFB64">
        <w:rPr>
          <w:rFonts w:ascii="Arial" w:hAnsi="Arial" w:cs="Arial"/>
        </w:rPr>
        <w:t xml:space="preserve">: </w:t>
      </w:r>
      <w:r w:rsidR="62703F46" w:rsidRPr="466EFB64">
        <w:rPr>
          <w:rFonts w:ascii="Arial" w:hAnsi="Arial" w:cs="Arial"/>
        </w:rPr>
        <w:t xml:space="preserve">April </w:t>
      </w:r>
      <w:r w:rsidR="6A8622C0" w:rsidRPr="466EFB64">
        <w:rPr>
          <w:rFonts w:ascii="Arial" w:hAnsi="Arial" w:cs="Arial"/>
        </w:rPr>
        <w:t>22</w:t>
      </w:r>
      <w:r w:rsidRPr="466EFB64">
        <w:rPr>
          <w:rFonts w:ascii="Arial" w:hAnsi="Arial" w:cs="Arial"/>
        </w:rPr>
        <w:t>, 202</w:t>
      </w:r>
      <w:r w:rsidR="62703F46" w:rsidRPr="466EFB64">
        <w:rPr>
          <w:rFonts w:ascii="Arial" w:hAnsi="Arial" w:cs="Arial"/>
        </w:rPr>
        <w:t>6</w:t>
      </w:r>
    </w:p>
    <w:p w14:paraId="1318F9D3" w14:textId="0CE13EC6" w:rsidR="00070613" w:rsidRPr="005B61CF" w:rsidRDefault="3A5BB5D5" w:rsidP="466EFB64">
      <w:pPr>
        <w:pStyle w:val="Footer"/>
        <w:widowControl w:val="0"/>
        <w:rPr>
          <w:rFonts w:ascii="Arial" w:eastAsia="Arial" w:hAnsi="Arial" w:cs="Arial"/>
          <w:i/>
          <w:iCs/>
          <w:snapToGrid w:val="0"/>
        </w:rPr>
      </w:pPr>
      <w:r w:rsidRPr="466EFB64">
        <w:rPr>
          <w:rFonts w:ascii="Arial" w:eastAsia="Arial" w:hAnsi="Arial" w:cs="Arial"/>
          <w:b/>
          <w:bCs/>
        </w:rPr>
        <w:t>Subject</w:t>
      </w:r>
      <w:r w:rsidRPr="466EFB64">
        <w:rPr>
          <w:rFonts w:ascii="Arial" w:eastAsia="Arial" w:hAnsi="Arial" w:cs="Arial"/>
        </w:rPr>
        <w:t xml:space="preserve">: </w:t>
      </w:r>
      <w:r w:rsidR="3CD8D103" w:rsidRPr="466EFB64">
        <w:rPr>
          <w:rFonts w:ascii="Arial" w:eastAsia="Arial" w:hAnsi="Arial" w:cs="Arial"/>
          <w:snapToGrid w:val="0"/>
        </w:rPr>
        <w:t xml:space="preserve">FY27 House Ways and Means Budget Proposal </w:t>
      </w:r>
    </w:p>
    <w:p w14:paraId="5CC00879" w14:textId="6187AF0D" w:rsidR="00F93DAF" w:rsidRPr="00812F66" w:rsidRDefault="00F93DAF" w:rsidP="00EF2267">
      <w:pPr>
        <w:spacing w:after="0"/>
        <w:rPr>
          <w:rFonts w:ascii="Arial" w:hAnsi="Arial" w:cs="Arial"/>
        </w:rPr>
      </w:pPr>
    </w:p>
    <w:bookmarkStart w:id="2" w:name="TO"/>
    <w:bookmarkStart w:id="3" w:name="FROM"/>
    <w:bookmarkStart w:id="4" w:name="DATE"/>
    <w:bookmarkStart w:id="5" w:name="RE"/>
    <w:bookmarkEnd w:id="2"/>
    <w:bookmarkEnd w:id="3"/>
    <w:bookmarkEnd w:id="4"/>
    <w:bookmarkEnd w:id="5"/>
    <w:p w14:paraId="4E11E957" w14:textId="77777777" w:rsidR="00EF2267" w:rsidRPr="00812F66" w:rsidRDefault="00EF2267" w:rsidP="00EF2267">
      <w:pPr>
        <w:spacing w:after="0"/>
        <w:rPr>
          <w:rFonts w:ascii="Arial" w:hAnsi="Arial" w:cs="Arial"/>
        </w:rPr>
      </w:pPr>
      <w:r>
        <w:rPr>
          <w:rFonts w:ascii="Arial" w:hAnsi="Arial" w:cs="Arial"/>
          <w:b/>
          <w:bCs/>
          <w:noProof/>
        </w:rPr>
        <mc:AlternateContent>
          <mc:Choice Requires="wps">
            <w:drawing>
              <wp:anchor distT="0" distB="0" distL="114300" distR="114300" simplePos="0" relativeHeight="251658242" behindDoc="0" locked="0" layoutInCell="1" allowOverlap="1" wp14:anchorId="37906CF5" wp14:editId="3AB0B16B">
                <wp:simplePos x="0" y="0"/>
                <wp:positionH relativeFrom="column">
                  <wp:posOffset>0</wp:posOffset>
                </wp:positionH>
                <wp:positionV relativeFrom="paragraph">
                  <wp:posOffset>0</wp:posOffset>
                </wp:positionV>
                <wp:extent cx="5943600" cy="28575"/>
                <wp:effectExtent l="0" t="0" r="19050" b="28575"/>
                <wp:wrapNone/>
                <wp:docPr id="11919825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line id="Straight Connector 1"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from="0,0" to="468pt,2.25pt" w14:anchorId="56B11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">
                <v:stroke joinstyle="miter"/>
              </v:line>
            </w:pict>
          </mc:Fallback>
        </mc:AlternateContent>
      </w:r>
    </w:p>
    <w:p w14:paraId="20319137" w14:textId="77777777" w:rsidR="002E4BDE" w:rsidRPr="00812F66" w:rsidRDefault="002E4BDE" w:rsidP="00EF2267">
      <w:pPr>
        <w:spacing w:after="0"/>
        <w:rPr>
          <w:rFonts w:ascii="Arial" w:hAnsi="Arial" w:cs="Arial"/>
        </w:rPr>
        <w:sectPr w:rsidR="002E4BDE" w:rsidRPr="00812F66" w:rsidSect="00725BB6">
          <w:footerReference w:type="default" r:id="rId11"/>
          <w:type w:val="continuous"/>
          <w:pgSz w:w="12240" w:h="15840"/>
          <w:pgMar w:top="1440" w:right="1440" w:bottom="1440" w:left="1440" w:header="720" w:footer="720" w:gutter="0"/>
          <w:cols w:space="720"/>
          <w:docGrid w:linePitch="360"/>
        </w:sectPr>
      </w:pPr>
    </w:p>
    <w:p w14:paraId="6AC5D089" w14:textId="42BE3F26" w:rsidR="00ED2DD3" w:rsidRPr="00ED2DD3" w:rsidRDefault="00ED2DD3" w:rsidP="466EFB64">
      <w:pPr>
        <w:spacing w:after="0" w:line="240" w:lineRule="auto"/>
        <w:rPr>
          <w:rFonts w:ascii="Arial" w:eastAsia="Arial" w:hAnsi="Arial" w:cs="Arial"/>
          <w:color w:val="000000"/>
        </w:rPr>
      </w:pPr>
      <w:r w:rsidRPr="38DABD1B">
        <w:rPr>
          <w:rFonts w:ascii="Arial" w:eastAsia="Arial" w:hAnsi="Arial" w:cs="Arial"/>
        </w:rPr>
        <w:t>On April 15</w:t>
      </w:r>
      <w:r w:rsidRPr="38DABD1B">
        <w:rPr>
          <w:rFonts w:ascii="Arial" w:eastAsia="Arial" w:hAnsi="Arial" w:cs="Arial"/>
          <w:vertAlign w:val="superscript"/>
        </w:rPr>
        <w:t>th</w:t>
      </w:r>
      <w:r w:rsidRPr="38DABD1B">
        <w:rPr>
          <w:rFonts w:ascii="Arial" w:eastAsia="Arial" w:hAnsi="Arial" w:cs="Arial"/>
        </w:rPr>
        <w:t>, the House Ways and Means Committee (HWM), released its budget recommendations for fiscal year 202</w:t>
      </w:r>
      <w:r w:rsidR="67AB2A56" w:rsidRPr="38DABD1B">
        <w:rPr>
          <w:rFonts w:ascii="Arial" w:eastAsia="Arial" w:hAnsi="Arial" w:cs="Arial"/>
        </w:rPr>
        <w:t>7</w:t>
      </w:r>
      <w:r w:rsidRPr="38DABD1B">
        <w:rPr>
          <w:rFonts w:ascii="Arial" w:eastAsia="Arial" w:hAnsi="Arial" w:cs="Arial"/>
        </w:rPr>
        <w:t>. The HWM budget recommends total state spending of $6</w:t>
      </w:r>
      <w:r w:rsidR="44B5FF32" w:rsidRPr="38DABD1B">
        <w:rPr>
          <w:rFonts w:ascii="Arial" w:eastAsia="Arial" w:hAnsi="Arial" w:cs="Arial"/>
        </w:rPr>
        <w:t>2.8</w:t>
      </w:r>
      <w:r w:rsidRPr="38DABD1B">
        <w:rPr>
          <w:rFonts w:ascii="Arial" w:eastAsia="Arial" w:hAnsi="Arial" w:cs="Arial"/>
        </w:rPr>
        <w:t xml:space="preserve"> billion, including $</w:t>
      </w:r>
      <w:r w:rsidR="51C06E31" w:rsidRPr="38DABD1B">
        <w:rPr>
          <w:rFonts w:ascii="Arial" w:eastAsia="Arial" w:hAnsi="Arial" w:cs="Arial"/>
        </w:rPr>
        <w:t>2.7</w:t>
      </w:r>
      <w:r w:rsidRPr="38DABD1B">
        <w:rPr>
          <w:rFonts w:ascii="Arial" w:eastAsia="Arial" w:hAnsi="Arial" w:cs="Arial"/>
        </w:rPr>
        <w:t xml:space="preserve"> billion in surtax spending on education and transportation. HWM has prioritized spending increases </w:t>
      </w:r>
      <w:r w:rsidRPr="38DABD1B">
        <w:rPr>
          <w:rFonts w:ascii="Arial" w:eastAsia="Arial" w:hAnsi="Arial" w:cs="Arial"/>
          <w:color w:val="000000" w:themeColor="text1"/>
        </w:rPr>
        <w:t>for key areas including education, workforce training, affordable child</w:t>
      </w:r>
      <w:r w:rsidR="5A35F797" w:rsidRPr="38DABD1B">
        <w:rPr>
          <w:rFonts w:ascii="Arial" w:eastAsia="Arial" w:hAnsi="Arial" w:cs="Arial"/>
          <w:color w:val="000000" w:themeColor="text1"/>
        </w:rPr>
        <w:t xml:space="preserve"> </w:t>
      </w:r>
      <w:r w:rsidRPr="38DABD1B">
        <w:rPr>
          <w:rFonts w:ascii="Arial" w:eastAsia="Arial" w:hAnsi="Arial" w:cs="Arial"/>
          <w:color w:val="000000" w:themeColor="text1"/>
        </w:rPr>
        <w:t>care, housing and homelessness, health and human services, and local communities.</w:t>
      </w:r>
      <w:r w:rsidR="0EDEEC0C" w:rsidRPr="38DABD1B">
        <w:rPr>
          <w:rFonts w:ascii="Arial" w:eastAsia="Arial" w:hAnsi="Arial" w:cs="Arial"/>
          <w:color w:val="000000" w:themeColor="text1"/>
        </w:rPr>
        <w:t xml:space="preserve"> </w:t>
      </w:r>
    </w:p>
    <w:p w14:paraId="41DE00E5" w14:textId="77777777" w:rsidR="00ED2DD3" w:rsidRPr="00ED2DD3" w:rsidRDefault="00ED2DD3" w:rsidP="466EFB64">
      <w:p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 </w:t>
      </w:r>
    </w:p>
    <w:p w14:paraId="64C5593F" w14:textId="714B57A4" w:rsidR="00712279" w:rsidRPr="00ED2DD3" w:rsidRDefault="00ED2DD3" w:rsidP="466EFB64">
      <w:pPr>
        <w:spacing w:after="0" w:line="240" w:lineRule="auto"/>
        <w:rPr>
          <w:rFonts w:ascii="Arial" w:eastAsia="Arial" w:hAnsi="Arial" w:cs="Arial"/>
          <w:color w:val="000000"/>
        </w:rPr>
      </w:pPr>
      <w:r w:rsidRPr="466EFB64">
        <w:rPr>
          <w:rFonts w:ascii="Arial" w:eastAsia="Arial" w:hAnsi="Arial" w:cs="Arial"/>
          <w:kern w:val="0"/>
          <w14:ligatures w14:val="none"/>
        </w:rPr>
        <w:t>The recommended appropriations for the Department of Elementary and Secondary Education (DESE) total $</w:t>
      </w:r>
      <w:r w:rsidR="13FD1AD5" w:rsidRPr="466EFB64">
        <w:rPr>
          <w:rFonts w:ascii="Arial" w:eastAsia="Arial" w:hAnsi="Arial" w:cs="Arial"/>
          <w:kern w:val="0"/>
          <w14:ligatures w14:val="none"/>
        </w:rPr>
        <w:t>9.13</w:t>
      </w:r>
      <w:r w:rsidRPr="466EFB64">
        <w:rPr>
          <w:rFonts w:ascii="Arial" w:eastAsia="Arial" w:hAnsi="Arial" w:cs="Arial"/>
          <w:kern w:val="0"/>
          <w14:ligatures w14:val="none"/>
        </w:rPr>
        <w:t xml:space="preserve"> billion, which represents an increase of $4</w:t>
      </w:r>
      <w:r w:rsidR="13FD1AD5" w:rsidRPr="466EFB64">
        <w:rPr>
          <w:rFonts w:ascii="Arial" w:eastAsia="Arial" w:hAnsi="Arial" w:cs="Arial"/>
          <w:kern w:val="0"/>
          <w14:ligatures w14:val="none"/>
        </w:rPr>
        <w:t>80.1</w:t>
      </w:r>
      <w:r w:rsidRPr="466EFB64">
        <w:rPr>
          <w:rFonts w:ascii="Arial" w:eastAsia="Arial" w:hAnsi="Arial" w:cs="Arial"/>
          <w:kern w:val="0"/>
          <w14:ligatures w14:val="none"/>
        </w:rPr>
        <w:t xml:space="preserve"> million (5.</w:t>
      </w:r>
      <w:r w:rsidR="016DDD8B" w:rsidRPr="466EFB64">
        <w:rPr>
          <w:rFonts w:ascii="Arial" w:eastAsia="Arial" w:hAnsi="Arial" w:cs="Arial"/>
          <w:kern w:val="0"/>
          <w14:ligatures w14:val="none"/>
        </w:rPr>
        <w:t>6</w:t>
      </w:r>
      <w:r w:rsidRPr="466EFB64">
        <w:rPr>
          <w:rFonts w:ascii="Arial" w:eastAsia="Arial" w:hAnsi="Arial" w:cs="Arial"/>
          <w:kern w:val="0"/>
          <w14:ligatures w14:val="none"/>
        </w:rPr>
        <w:t>%), over FY2</w:t>
      </w:r>
      <w:r w:rsidR="016DDD8B" w:rsidRPr="466EFB64">
        <w:rPr>
          <w:rFonts w:ascii="Arial" w:eastAsia="Arial" w:hAnsi="Arial" w:cs="Arial"/>
          <w:kern w:val="0"/>
          <w14:ligatures w14:val="none"/>
        </w:rPr>
        <w:t>6</w:t>
      </w:r>
      <w:r w:rsidRPr="466EFB64">
        <w:rPr>
          <w:rFonts w:ascii="Arial" w:eastAsia="Arial" w:hAnsi="Arial" w:cs="Arial"/>
          <w:kern w:val="0"/>
          <w14:ligatures w14:val="none"/>
        </w:rPr>
        <w:t xml:space="preserve"> projected spending.  This total recommendation includes $</w:t>
      </w:r>
      <w:r w:rsidR="4A3F16DF" w:rsidRPr="466EFB64">
        <w:rPr>
          <w:rFonts w:ascii="Arial" w:eastAsia="Arial" w:hAnsi="Arial" w:cs="Arial"/>
          <w:kern w:val="0"/>
          <w14:ligatures w14:val="none"/>
        </w:rPr>
        <w:t>867.8</w:t>
      </w:r>
      <w:r w:rsidRPr="466EFB64">
        <w:rPr>
          <w:rFonts w:ascii="Arial" w:eastAsia="Arial" w:hAnsi="Arial" w:cs="Arial"/>
          <w:kern w:val="0"/>
          <w14:ligatures w14:val="none"/>
        </w:rPr>
        <w:t xml:space="preserve">M in funding from the </w:t>
      </w:r>
      <w:r w:rsidR="00E64782" w:rsidRPr="466EFB64">
        <w:rPr>
          <w:rFonts w:ascii="Arial" w:eastAsia="Arial" w:hAnsi="Arial" w:cs="Arial"/>
          <w:kern w:val="0"/>
          <w14:ligatures w14:val="none"/>
        </w:rPr>
        <w:t xml:space="preserve">Fair Share </w:t>
      </w:r>
      <w:r w:rsidRPr="466EFB64">
        <w:rPr>
          <w:rFonts w:ascii="Arial" w:eastAsia="Arial" w:hAnsi="Arial" w:cs="Arial"/>
          <w:kern w:val="0"/>
          <w14:ligatures w14:val="none"/>
        </w:rPr>
        <w:t>surtax revenue.</w:t>
      </w:r>
      <w:r w:rsidR="0EDEEC0C" w:rsidRPr="466EFB64">
        <w:rPr>
          <w:rFonts w:ascii="Arial" w:eastAsia="Arial" w:hAnsi="Arial" w:cs="Arial"/>
          <w:kern w:val="0"/>
          <w14:ligatures w14:val="none"/>
        </w:rPr>
        <w:t xml:space="preserve">  </w:t>
      </w:r>
    </w:p>
    <w:p w14:paraId="17FAADED" w14:textId="77777777" w:rsidR="00ED2DD3" w:rsidRPr="00ED2DD3" w:rsidRDefault="00ED2DD3" w:rsidP="466EFB64">
      <w:pPr>
        <w:spacing w:after="0" w:line="240" w:lineRule="auto"/>
        <w:textAlignment w:val="baseline"/>
        <w:rPr>
          <w:rFonts w:ascii="Arial" w:eastAsia="Arial" w:hAnsi="Arial" w:cs="Arial"/>
          <w:kern w:val="0"/>
          <w:highlight w:val="yellow"/>
          <w14:ligatures w14:val="none"/>
        </w:rPr>
      </w:pPr>
    </w:p>
    <w:p w14:paraId="1FBA0247" w14:textId="2FFD7183" w:rsidR="00ED2DD3" w:rsidRPr="00ED2DD3" w:rsidRDefault="57DD9852" w:rsidP="466EFB64">
      <w:p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The House</w:t>
      </w:r>
      <w:r w:rsidR="00ED2DD3" w:rsidRPr="466EFB64">
        <w:rPr>
          <w:rFonts w:ascii="Arial" w:eastAsia="Arial" w:hAnsi="Arial" w:cs="Arial"/>
          <w:kern w:val="0"/>
          <w14:ligatures w14:val="none"/>
        </w:rPr>
        <w:t xml:space="preserve"> has </w:t>
      </w:r>
      <w:r w:rsidR="6E206FEB" w:rsidRPr="466EFB64">
        <w:rPr>
          <w:rFonts w:ascii="Arial" w:eastAsia="Arial" w:hAnsi="Arial" w:cs="Arial"/>
          <w:kern w:val="0"/>
          <w14:ligatures w14:val="none"/>
        </w:rPr>
        <w:t xml:space="preserve">also </w:t>
      </w:r>
      <w:r w:rsidR="00ED2DD3" w:rsidRPr="466EFB64">
        <w:rPr>
          <w:rFonts w:ascii="Arial" w:eastAsia="Arial" w:hAnsi="Arial" w:cs="Arial"/>
          <w:kern w:val="0"/>
          <w14:ligatures w14:val="none"/>
        </w:rPr>
        <w:t>filed a companion FY2</w:t>
      </w:r>
      <w:r w:rsidR="4A9B3F65" w:rsidRPr="466EFB64">
        <w:rPr>
          <w:rFonts w:ascii="Arial" w:eastAsia="Arial" w:hAnsi="Arial" w:cs="Arial"/>
          <w:kern w:val="0"/>
          <w14:ligatures w14:val="none"/>
        </w:rPr>
        <w:t>6</w:t>
      </w:r>
      <w:r w:rsidR="00ED2DD3" w:rsidRPr="466EFB64">
        <w:rPr>
          <w:rFonts w:ascii="Arial" w:eastAsia="Arial" w:hAnsi="Arial" w:cs="Arial"/>
          <w:kern w:val="0"/>
          <w14:ligatures w14:val="none"/>
        </w:rPr>
        <w:t xml:space="preserve"> supplemental budget request ($</w:t>
      </w:r>
      <w:r w:rsidR="4A9B3F65" w:rsidRPr="466EFB64">
        <w:rPr>
          <w:rFonts w:ascii="Arial" w:eastAsia="Arial" w:hAnsi="Arial" w:cs="Arial"/>
          <w:kern w:val="0"/>
          <w14:ligatures w14:val="none"/>
        </w:rPr>
        <w:t>184</w:t>
      </w:r>
      <w:r w:rsidR="00ED2DD3" w:rsidRPr="466EFB64">
        <w:rPr>
          <w:rFonts w:ascii="Arial" w:eastAsia="Arial" w:hAnsi="Arial" w:cs="Arial"/>
          <w:kern w:val="0"/>
          <w14:ligatures w14:val="none"/>
        </w:rPr>
        <w:t>M), including the following education program highlights. </w:t>
      </w:r>
    </w:p>
    <w:p w14:paraId="390EAA98" w14:textId="77777777" w:rsidR="00C66248" w:rsidRPr="00BB2555" w:rsidRDefault="4972DE5B" w:rsidP="466EFB64">
      <w:pPr>
        <w:pStyle w:val="ListParagraph"/>
        <w:numPr>
          <w:ilvl w:val="0"/>
          <w:numId w:val="10"/>
        </w:num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$5M for Adult Basic Education/English as Second Language </w:t>
      </w:r>
    </w:p>
    <w:p w14:paraId="2862634E" w14:textId="4D3C6949" w:rsidR="00ED2DD3" w:rsidRPr="00BB2555" w:rsidRDefault="00ED2DD3" w:rsidP="466EFB64">
      <w:pPr>
        <w:pStyle w:val="ListParagraph"/>
        <w:numPr>
          <w:ilvl w:val="0"/>
          <w:numId w:val="10"/>
        </w:num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$1</w:t>
      </w:r>
      <w:r w:rsidR="0C59D996" w:rsidRPr="466EFB64">
        <w:rPr>
          <w:rFonts w:ascii="Arial" w:eastAsia="Arial" w:hAnsi="Arial" w:cs="Arial"/>
          <w:kern w:val="0"/>
          <w14:ligatures w14:val="none"/>
        </w:rPr>
        <w:t>52</w:t>
      </w:r>
      <w:r w:rsidRPr="466EFB64">
        <w:rPr>
          <w:rFonts w:ascii="Arial" w:eastAsia="Arial" w:hAnsi="Arial" w:cs="Arial"/>
          <w:kern w:val="0"/>
          <w14:ligatures w14:val="none"/>
        </w:rPr>
        <w:t>M for Special Education Circuit Breaker </w:t>
      </w:r>
    </w:p>
    <w:p w14:paraId="3BF251C4" w14:textId="77777777" w:rsidR="00C66248" w:rsidRPr="00BB2555" w:rsidRDefault="4972DE5B" w:rsidP="466EFB64">
      <w:pPr>
        <w:pStyle w:val="ListParagraph"/>
        <w:numPr>
          <w:ilvl w:val="0"/>
          <w:numId w:val="10"/>
        </w:num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$2M for Civics Education Programs</w:t>
      </w:r>
    </w:p>
    <w:p w14:paraId="61885E68" w14:textId="6B94BB6A" w:rsidR="00ED2DD3" w:rsidRPr="00BB2555" w:rsidRDefault="00ED2DD3" w:rsidP="466EFB64">
      <w:pPr>
        <w:pStyle w:val="ListParagraph"/>
        <w:numPr>
          <w:ilvl w:val="0"/>
          <w:numId w:val="10"/>
        </w:num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w:t>
      </w:r>
      <w:r w:rsidR="4367B93C" w:rsidRPr="466EFB64">
        <w:rPr>
          <w:rFonts w:ascii="Arial" w:eastAsia="Arial" w:hAnsi="Arial" w:cs="Arial"/>
          <w:kern w:val="0"/>
          <w14:ligatures w14:val="none"/>
        </w:rPr>
        <w:t>3</w:t>
      </w:r>
      <w:r w:rsidRPr="466EFB64">
        <w:rPr>
          <w:rFonts w:ascii="Arial" w:eastAsia="Arial" w:hAnsi="Arial" w:cs="Arial"/>
          <w:kern w:val="0"/>
          <w14:ligatures w14:val="none"/>
        </w:rPr>
        <w:t>M for Regional/Non-Resident Vocational Transportation</w:t>
      </w:r>
      <w:r w:rsidR="5E53E059" w:rsidRPr="466EFB64">
        <w:rPr>
          <w:rFonts w:ascii="Arial" w:eastAsia="Arial" w:hAnsi="Arial" w:cs="Arial"/>
          <w:kern w:val="0"/>
          <w14:ligatures w14:val="none"/>
        </w:rPr>
        <w:t xml:space="preserve"> to cover FY26 reimbursements</w:t>
      </w:r>
    </w:p>
    <w:p w14:paraId="235C813A" w14:textId="5134A02E" w:rsidR="00C66248" w:rsidRPr="00BB2555" w:rsidRDefault="4972DE5B" w:rsidP="466EFB64">
      <w:pPr>
        <w:pStyle w:val="ListParagraph"/>
        <w:numPr>
          <w:ilvl w:val="0"/>
          <w:numId w:val="10"/>
        </w:num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$20M for Green School Works</w:t>
      </w:r>
    </w:p>
    <w:p w14:paraId="0DA136E2" w14:textId="007C45A3" w:rsidR="00BB2555" w:rsidRPr="00BB2555" w:rsidRDefault="6E29AD99" w:rsidP="466EFB64">
      <w:pPr>
        <w:pStyle w:val="ListParagraph"/>
        <w:numPr>
          <w:ilvl w:val="0"/>
          <w:numId w:val="10"/>
        </w:numPr>
        <w:spacing w:after="0" w:line="240" w:lineRule="auto"/>
        <w:textAlignment w:val="baseline"/>
        <w:rPr>
          <w:rFonts w:ascii="Arial" w:eastAsia="Arial" w:hAnsi="Arial" w:cs="Arial"/>
          <w:kern w:val="0"/>
          <w14:ligatures w14:val="none"/>
        </w:rPr>
      </w:pPr>
      <w:r w:rsidRPr="466EFB64">
        <w:rPr>
          <w:rFonts w:ascii="Arial" w:eastAsia="Arial" w:hAnsi="Arial" w:cs="Arial"/>
          <w:kern w:val="0"/>
          <w14:ligatures w14:val="none"/>
        </w:rPr>
        <w:t>$2M for Rural School Aid</w:t>
      </w:r>
    </w:p>
    <w:p w14:paraId="7C888B64" w14:textId="77777777" w:rsidR="00ED2DD3" w:rsidRPr="00ED2DD3" w:rsidRDefault="00ED2DD3" w:rsidP="466EFB64">
      <w:pPr>
        <w:spacing w:after="0" w:line="240" w:lineRule="auto"/>
        <w:ind w:left="1080"/>
        <w:textAlignment w:val="baseline"/>
        <w:rPr>
          <w:rFonts w:ascii="Arial" w:eastAsia="Arial" w:hAnsi="Arial" w:cs="Arial"/>
          <w:kern w:val="0"/>
          <w14:ligatures w14:val="none"/>
        </w:rPr>
      </w:pPr>
      <w:r w:rsidRPr="466EFB64">
        <w:rPr>
          <w:rFonts w:ascii="Arial" w:eastAsia="Arial" w:hAnsi="Arial" w:cs="Arial"/>
          <w:kern w:val="0"/>
          <w14:ligatures w14:val="none"/>
        </w:rPr>
        <w:t> </w:t>
      </w:r>
    </w:p>
    <w:p w14:paraId="1D588439" w14:textId="77777777" w:rsidR="00ED2DD3" w:rsidRPr="00ED2DD3" w:rsidRDefault="00ED2DD3" w:rsidP="466EFB64">
      <w:pPr>
        <w:spacing w:after="0" w:line="240" w:lineRule="auto"/>
        <w:rPr>
          <w:rFonts w:ascii="Arial" w:eastAsia="Arial" w:hAnsi="Arial" w:cs="Arial"/>
        </w:rPr>
      </w:pPr>
      <w:r w:rsidRPr="466EFB64">
        <w:rPr>
          <w:rFonts w:ascii="Arial" w:eastAsia="Arial" w:hAnsi="Arial" w:cs="Arial"/>
        </w:rPr>
        <w:t>The following summarizes the HWM’s education recommendations by program area.</w:t>
      </w:r>
    </w:p>
    <w:p w14:paraId="67D55326" w14:textId="77777777" w:rsidR="00ED2DD3" w:rsidRPr="00ED2DD3" w:rsidRDefault="00ED2DD3" w:rsidP="466EFB64">
      <w:pPr>
        <w:spacing w:after="0" w:line="240" w:lineRule="auto"/>
        <w:rPr>
          <w:rFonts w:ascii="Arial" w:eastAsia="Arial" w:hAnsi="Arial" w:cs="Arial"/>
          <w:highlight w:val="yellow"/>
        </w:rPr>
      </w:pPr>
    </w:p>
    <w:p w14:paraId="7DE3CDD7" w14:textId="77777777" w:rsidR="00ED2DD3" w:rsidRPr="00A47DD9" w:rsidRDefault="00ED2DD3" w:rsidP="466EFB64">
      <w:pPr>
        <w:widowControl w:val="0"/>
        <w:numPr>
          <w:ilvl w:val="0"/>
          <w:numId w:val="1"/>
        </w:numPr>
        <w:spacing w:after="0" w:line="240" w:lineRule="auto"/>
        <w:ind w:left="180" w:hanging="180"/>
        <w:rPr>
          <w:rFonts w:ascii="Arial" w:eastAsia="Arial" w:hAnsi="Arial" w:cs="Arial"/>
          <w:b/>
          <w:bCs/>
        </w:rPr>
      </w:pPr>
      <w:r w:rsidRPr="466EFB64">
        <w:rPr>
          <w:rFonts w:ascii="Arial" w:eastAsia="Arial" w:hAnsi="Arial" w:cs="Arial"/>
          <w:b/>
          <w:bCs/>
        </w:rPr>
        <w:t xml:space="preserve">     Education Local Aid &amp; Reimbursements</w:t>
      </w:r>
    </w:p>
    <w:p w14:paraId="275CA6AB" w14:textId="77777777" w:rsidR="00ED2DD3" w:rsidRPr="00A47DD9" w:rsidRDefault="00ED2DD3" w:rsidP="466EFB64">
      <w:pPr>
        <w:spacing w:after="0" w:line="240" w:lineRule="auto"/>
        <w:rPr>
          <w:rFonts w:ascii="Arial" w:eastAsia="Arial" w:hAnsi="Arial" w:cs="Arial"/>
          <w:b/>
          <w:bCs/>
        </w:rPr>
      </w:pPr>
    </w:p>
    <w:p w14:paraId="2872C7D0" w14:textId="16F4583F" w:rsidR="00ED2DD3" w:rsidRPr="00A47DD9" w:rsidRDefault="00ED2DD3" w:rsidP="466EFB64">
      <w:pPr>
        <w:spacing w:after="0" w:line="240" w:lineRule="auto"/>
        <w:rPr>
          <w:rFonts w:ascii="Arial" w:eastAsia="Arial" w:hAnsi="Arial" w:cs="Arial"/>
        </w:rPr>
      </w:pPr>
      <w:r w:rsidRPr="466EFB64">
        <w:rPr>
          <w:rFonts w:ascii="Arial" w:eastAsia="Arial" w:hAnsi="Arial" w:cs="Arial"/>
          <w:b/>
          <w:bCs/>
        </w:rPr>
        <w:t>Chapter 70 aid (7061-0008</w:t>
      </w:r>
      <w:r w:rsidR="672A875F" w:rsidRPr="466EFB64">
        <w:rPr>
          <w:rFonts w:ascii="Arial" w:eastAsia="Arial" w:hAnsi="Arial" w:cs="Arial"/>
          <w:b/>
          <w:bCs/>
        </w:rPr>
        <w:t xml:space="preserve">, </w:t>
      </w:r>
      <w:r w:rsidRPr="466EFB64">
        <w:rPr>
          <w:rFonts w:ascii="Arial" w:eastAsia="Arial" w:hAnsi="Arial" w:cs="Arial"/>
          <w:b/>
          <w:bCs/>
        </w:rPr>
        <w:t>1596-2438</w:t>
      </w:r>
      <w:r w:rsidR="3C279D15" w:rsidRPr="466EFB64">
        <w:rPr>
          <w:rFonts w:ascii="Arial" w:eastAsia="Arial" w:hAnsi="Arial" w:cs="Arial"/>
          <w:b/>
          <w:bCs/>
        </w:rPr>
        <w:t xml:space="preserve">, </w:t>
      </w:r>
      <w:r w:rsidR="286E9926" w:rsidRPr="466EFB64">
        <w:rPr>
          <w:rFonts w:ascii="Arial" w:eastAsia="Arial" w:hAnsi="Arial" w:cs="Arial"/>
          <w:b/>
          <w:bCs/>
        </w:rPr>
        <w:t xml:space="preserve">and </w:t>
      </w:r>
      <w:r w:rsidR="3C279D15" w:rsidRPr="466EFB64">
        <w:rPr>
          <w:rFonts w:ascii="Arial" w:eastAsia="Arial" w:hAnsi="Arial" w:cs="Arial"/>
          <w:b/>
          <w:bCs/>
        </w:rPr>
        <w:t>1596-2450</w:t>
      </w:r>
      <w:r w:rsidRPr="466EFB64">
        <w:rPr>
          <w:rFonts w:ascii="Arial" w:eastAsia="Arial" w:hAnsi="Arial" w:cs="Arial"/>
          <w:b/>
          <w:bCs/>
        </w:rPr>
        <w:t>)</w:t>
      </w:r>
      <w:r w:rsidRPr="466EFB64">
        <w:rPr>
          <w:rFonts w:ascii="Arial" w:eastAsia="Arial" w:hAnsi="Arial" w:cs="Arial"/>
        </w:rPr>
        <w:t xml:space="preserve"> is increased by $</w:t>
      </w:r>
      <w:r w:rsidR="13AF53B9" w:rsidRPr="466EFB64">
        <w:rPr>
          <w:rFonts w:ascii="Arial" w:eastAsia="Arial" w:hAnsi="Arial" w:cs="Arial"/>
        </w:rPr>
        <w:t>296</w:t>
      </w:r>
      <w:r w:rsidR="672A875F" w:rsidRPr="466EFB64">
        <w:rPr>
          <w:rFonts w:ascii="Arial" w:eastAsia="Arial" w:hAnsi="Arial" w:cs="Arial"/>
        </w:rPr>
        <w:t>.5</w:t>
      </w:r>
      <w:r w:rsidRPr="466EFB64">
        <w:rPr>
          <w:rFonts w:ascii="Arial" w:eastAsia="Arial" w:hAnsi="Arial" w:cs="Arial"/>
        </w:rPr>
        <w:t xml:space="preserve"> million (</w:t>
      </w:r>
      <w:r w:rsidR="672A875F" w:rsidRPr="466EFB64">
        <w:rPr>
          <w:rFonts w:ascii="Arial" w:eastAsia="Arial" w:hAnsi="Arial" w:cs="Arial"/>
        </w:rPr>
        <w:t>4.</w:t>
      </w:r>
      <w:r w:rsidR="7EF407CF" w:rsidRPr="466EFB64">
        <w:rPr>
          <w:rFonts w:ascii="Arial" w:eastAsia="Arial" w:hAnsi="Arial" w:cs="Arial"/>
        </w:rPr>
        <w:t>0</w:t>
      </w:r>
      <w:r w:rsidRPr="466EFB64">
        <w:rPr>
          <w:rFonts w:ascii="Arial" w:eastAsia="Arial" w:hAnsi="Arial" w:cs="Arial"/>
        </w:rPr>
        <w:t>%) to $7.</w:t>
      </w:r>
      <w:r w:rsidR="7EF407CF" w:rsidRPr="466EFB64">
        <w:rPr>
          <w:rFonts w:ascii="Arial" w:eastAsia="Arial" w:hAnsi="Arial" w:cs="Arial"/>
        </w:rPr>
        <w:t>66</w:t>
      </w:r>
      <w:r w:rsidRPr="466EFB64">
        <w:rPr>
          <w:rFonts w:ascii="Arial" w:eastAsia="Arial" w:hAnsi="Arial" w:cs="Arial"/>
        </w:rPr>
        <w:t xml:space="preserve"> billion. The FY2</w:t>
      </w:r>
      <w:r w:rsidR="5C06E637" w:rsidRPr="466EFB64">
        <w:rPr>
          <w:rFonts w:ascii="Arial" w:eastAsia="Arial" w:hAnsi="Arial" w:cs="Arial"/>
        </w:rPr>
        <w:t>7</w:t>
      </w:r>
      <w:r w:rsidRPr="466EFB64">
        <w:rPr>
          <w:rFonts w:ascii="Arial" w:eastAsia="Arial" w:hAnsi="Arial" w:cs="Arial"/>
        </w:rPr>
        <w:t xml:space="preserve"> Chapter 70 program reflects the passage in November 2019 of </w:t>
      </w:r>
      <w:r w:rsidRPr="466EFB64">
        <w:rPr>
          <w:rFonts w:ascii="Arial" w:eastAsia="Arial" w:hAnsi="Arial" w:cs="Arial"/>
          <w:color w:val="467886"/>
          <w:u w:val="single"/>
        </w:rPr>
        <w:t>An Act Relative to Educational Opportunity for Students</w:t>
      </w:r>
      <w:r w:rsidRPr="466EFB64">
        <w:rPr>
          <w:rFonts w:ascii="Arial" w:eastAsia="Arial" w:hAnsi="Arial" w:cs="Arial"/>
        </w:rPr>
        <w:t xml:space="preserve">, commonly known as the Student Opportunity Act (SOA). The SOA makes significant changes to the Chapter 70 formula, based in large part on the recommendations of the Foundation </w:t>
      </w:r>
      <w:r w:rsidRPr="466EFB64">
        <w:rPr>
          <w:rFonts w:ascii="Arial" w:eastAsia="Arial" w:hAnsi="Arial" w:cs="Arial"/>
        </w:rPr>
        <w:lastRenderedPageBreak/>
        <w:t>Budget Review Commission (FBRC). The updated formula is also codified in Chapter 70 of the general laws.</w:t>
      </w:r>
    </w:p>
    <w:p w14:paraId="56683A4C" w14:textId="77777777" w:rsidR="00ED2DD3" w:rsidRPr="00A47DD9" w:rsidRDefault="00ED2DD3" w:rsidP="466EFB64">
      <w:pPr>
        <w:spacing w:after="0" w:line="240" w:lineRule="auto"/>
        <w:rPr>
          <w:rFonts w:ascii="Arial" w:eastAsia="Arial" w:hAnsi="Arial" w:cs="Arial"/>
        </w:rPr>
      </w:pPr>
    </w:p>
    <w:p w14:paraId="7791573D" w14:textId="77777777" w:rsidR="00ED2DD3" w:rsidRPr="00A47DD9" w:rsidRDefault="00ED2DD3" w:rsidP="466EFB64">
      <w:pPr>
        <w:spacing w:after="0" w:line="240" w:lineRule="auto"/>
        <w:rPr>
          <w:rFonts w:ascii="Arial" w:eastAsia="Arial" w:hAnsi="Arial" w:cs="Arial"/>
          <w:i/>
          <w:iCs/>
        </w:rPr>
      </w:pPr>
      <w:r w:rsidRPr="466EFB64">
        <w:rPr>
          <w:rFonts w:ascii="Arial" w:eastAsia="Arial" w:hAnsi="Arial" w:cs="Arial"/>
          <w:i/>
          <w:iCs/>
        </w:rPr>
        <w:t>Statutory parameters</w:t>
      </w:r>
    </w:p>
    <w:p w14:paraId="1DCCB300" w14:textId="77777777" w:rsidR="00ED2DD3" w:rsidRPr="00A47DD9" w:rsidRDefault="00ED2DD3" w:rsidP="466EFB64">
      <w:pPr>
        <w:spacing w:after="0" w:line="240" w:lineRule="auto"/>
        <w:rPr>
          <w:rFonts w:ascii="Arial" w:eastAsia="Arial" w:hAnsi="Arial" w:cs="Arial"/>
        </w:rPr>
      </w:pPr>
    </w:p>
    <w:p w14:paraId="68E4F5AC" w14:textId="56E66048" w:rsidR="00ED2DD3" w:rsidRPr="00A47DD9" w:rsidRDefault="00ED2DD3" w:rsidP="466EFB64">
      <w:pPr>
        <w:spacing w:after="0" w:line="240" w:lineRule="auto"/>
        <w:rPr>
          <w:rFonts w:ascii="Arial" w:eastAsia="Arial" w:hAnsi="Arial" w:cs="Arial"/>
        </w:rPr>
      </w:pPr>
      <w:r w:rsidRPr="466EFB64">
        <w:rPr>
          <w:rFonts w:ascii="Arial" w:eastAsia="Arial" w:hAnsi="Arial" w:cs="Arial"/>
        </w:rPr>
        <w:t>The updated formula includes three parameters to be specified in each year's general appropriations act. In the FY2</w:t>
      </w:r>
      <w:r w:rsidR="1E1C2620" w:rsidRPr="466EFB64">
        <w:rPr>
          <w:rFonts w:ascii="Arial" w:eastAsia="Arial" w:hAnsi="Arial" w:cs="Arial"/>
        </w:rPr>
        <w:t>7</w:t>
      </w:r>
      <w:r w:rsidRPr="466EFB64">
        <w:rPr>
          <w:rFonts w:ascii="Arial" w:eastAsia="Arial" w:hAnsi="Arial" w:cs="Arial"/>
        </w:rPr>
        <w:t xml:space="preserve"> HWM budget, these are specified as follows:</w:t>
      </w:r>
    </w:p>
    <w:p w14:paraId="32B1C2BE" w14:textId="77777777" w:rsidR="00ED2DD3" w:rsidRPr="00A47DD9" w:rsidRDefault="00ED2DD3" w:rsidP="466EFB64">
      <w:pPr>
        <w:numPr>
          <w:ilvl w:val="0"/>
          <w:numId w:val="3"/>
        </w:numPr>
        <w:spacing w:after="0" w:line="240" w:lineRule="auto"/>
        <w:contextualSpacing/>
        <w:rPr>
          <w:rFonts w:ascii="Arial" w:eastAsia="Arial" w:hAnsi="Arial" w:cs="Arial"/>
        </w:rPr>
      </w:pPr>
      <w:r w:rsidRPr="466EFB64">
        <w:rPr>
          <w:rFonts w:ascii="Arial" w:eastAsia="Arial" w:hAnsi="Arial" w:cs="Arial"/>
        </w:rPr>
        <w:t>Total state target local contribution: 59%</w:t>
      </w:r>
    </w:p>
    <w:p w14:paraId="6888C525" w14:textId="77777777" w:rsidR="00ED2DD3" w:rsidRPr="00A47DD9" w:rsidRDefault="00ED2DD3" w:rsidP="466EFB64">
      <w:pPr>
        <w:numPr>
          <w:ilvl w:val="0"/>
          <w:numId w:val="3"/>
        </w:numPr>
        <w:spacing w:after="0" w:line="240" w:lineRule="auto"/>
        <w:contextualSpacing/>
        <w:rPr>
          <w:rFonts w:ascii="Arial" w:eastAsia="Arial" w:hAnsi="Arial" w:cs="Arial"/>
        </w:rPr>
      </w:pPr>
      <w:r w:rsidRPr="466EFB64">
        <w:rPr>
          <w:rFonts w:ascii="Arial" w:eastAsia="Arial" w:hAnsi="Arial" w:cs="Arial"/>
        </w:rPr>
        <w:t>Effort reduction: 100%</w:t>
      </w:r>
    </w:p>
    <w:p w14:paraId="61FFF947" w14:textId="4E54AD33" w:rsidR="00ED2DD3" w:rsidRPr="00A47DD9" w:rsidRDefault="00ED2DD3" w:rsidP="466EFB64">
      <w:pPr>
        <w:numPr>
          <w:ilvl w:val="0"/>
          <w:numId w:val="3"/>
        </w:numPr>
        <w:spacing w:after="0" w:line="240" w:lineRule="auto"/>
        <w:contextualSpacing/>
        <w:rPr>
          <w:rFonts w:ascii="Arial" w:eastAsia="Arial" w:hAnsi="Arial" w:cs="Arial"/>
          <w:i/>
          <w:iCs/>
        </w:rPr>
      </w:pPr>
      <w:r w:rsidRPr="466EFB64">
        <w:rPr>
          <w:rFonts w:ascii="Arial" w:eastAsia="Arial" w:hAnsi="Arial" w:cs="Arial"/>
        </w:rPr>
        <w:t>Minimum aid: $1</w:t>
      </w:r>
      <w:r w:rsidR="1E1C2620" w:rsidRPr="466EFB64">
        <w:rPr>
          <w:rFonts w:ascii="Arial" w:eastAsia="Arial" w:hAnsi="Arial" w:cs="Arial"/>
        </w:rPr>
        <w:t>6</w:t>
      </w:r>
      <w:r w:rsidRPr="466EFB64">
        <w:rPr>
          <w:rFonts w:ascii="Arial" w:eastAsia="Arial" w:hAnsi="Arial" w:cs="Arial"/>
        </w:rPr>
        <w:t>0 per pupil</w:t>
      </w:r>
    </w:p>
    <w:p w14:paraId="340AF4A8" w14:textId="77777777" w:rsidR="00ED2DD3" w:rsidRPr="00A47DD9" w:rsidRDefault="00ED2DD3" w:rsidP="466EFB64">
      <w:pPr>
        <w:spacing w:after="0" w:line="240" w:lineRule="auto"/>
        <w:rPr>
          <w:rFonts w:ascii="Arial" w:eastAsia="Arial" w:hAnsi="Arial" w:cs="Arial"/>
          <w:i/>
          <w:iCs/>
        </w:rPr>
      </w:pPr>
    </w:p>
    <w:p w14:paraId="23589F09" w14:textId="77777777" w:rsidR="00ED2DD3" w:rsidRPr="00A47DD9" w:rsidRDefault="00ED2DD3" w:rsidP="466EFB64">
      <w:pPr>
        <w:spacing w:after="0" w:line="240" w:lineRule="auto"/>
        <w:rPr>
          <w:rFonts w:ascii="Arial" w:eastAsia="Arial" w:hAnsi="Arial" w:cs="Arial"/>
          <w:i/>
          <w:iCs/>
        </w:rPr>
      </w:pPr>
      <w:r w:rsidRPr="466EFB64">
        <w:rPr>
          <w:rFonts w:ascii="Arial" w:eastAsia="Arial" w:hAnsi="Arial" w:cs="Arial"/>
          <w:i/>
          <w:iCs/>
        </w:rPr>
        <w:t>Foundation budget changes</w:t>
      </w:r>
    </w:p>
    <w:p w14:paraId="19D9D31F" w14:textId="77777777" w:rsidR="00ED2DD3" w:rsidRPr="00530EB5" w:rsidRDefault="00ED2DD3" w:rsidP="466EFB64">
      <w:pPr>
        <w:spacing w:after="0" w:line="240" w:lineRule="auto"/>
        <w:rPr>
          <w:rFonts w:ascii="Arial" w:eastAsia="Arial" w:hAnsi="Arial" w:cs="Arial"/>
          <w:i/>
          <w:iCs/>
        </w:rPr>
      </w:pPr>
    </w:p>
    <w:p w14:paraId="3D585DDA" w14:textId="77777777" w:rsidR="0097418E" w:rsidRPr="00A47DD9" w:rsidRDefault="41B4505D" w:rsidP="466EFB64">
      <w:pPr>
        <w:spacing w:after="0" w:line="240" w:lineRule="auto"/>
        <w:rPr>
          <w:rFonts w:ascii="Arial" w:eastAsia="Arial" w:hAnsi="Arial" w:cs="Arial"/>
        </w:rPr>
      </w:pPr>
      <w:r w:rsidRPr="466EFB64">
        <w:rPr>
          <w:rFonts w:ascii="Arial" w:eastAsia="Arial" w:hAnsi="Arial" w:cs="Arial"/>
        </w:rPr>
        <w:t>The SOA establishes new, higher foundation budget rates in five areas: benefits and fixed charges, guidance and psychological services, special education out of district tuition, English learners, and low-income students, which are fully phased in in FY27. For FY27, the rates have been increased by 6/6</w:t>
      </w:r>
      <w:r w:rsidRPr="466EFB64">
        <w:rPr>
          <w:rFonts w:ascii="Arial" w:eastAsia="Arial" w:hAnsi="Arial" w:cs="Arial"/>
          <w:vertAlign w:val="superscript"/>
        </w:rPr>
        <w:t>ths</w:t>
      </w:r>
      <w:r w:rsidRPr="466EFB64">
        <w:rPr>
          <w:rFonts w:ascii="Arial" w:eastAsia="Arial" w:hAnsi="Arial" w:cs="Arial"/>
        </w:rPr>
        <w:t>of the gap between the rates in FY21—the base year used in the calculations—and the final target rates. The SOA also increased the number of tiers used for the low-income increment rates from ten to twelve. Districts with higher concentrations of low-income students benefit from higher rates.</w:t>
      </w:r>
    </w:p>
    <w:p w14:paraId="4F86365D" w14:textId="77777777" w:rsidR="008A20F5" w:rsidRPr="00A47DD9" w:rsidRDefault="008A20F5" w:rsidP="466EFB64">
      <w:pPr>
        <w:spacing w:after="0" w:line="240" w:lineRule="auto"/>
        <w:rPr>
          <w:rFonts w:ascii="Arial" w:eastAsia="Arial" w:hAnsi="Arial" w:cs="Arial"/>
        </w:rPr>
      </w:pPr>
    </w:p>
    <w:p w14:paraId="02154B57" w14:textId="6C749508" w:rsidR="0097418E" w:rsidRPr="00A47DD9" w:rsidRDefault="41B4505D" w:rsidP="466EFB64">
      <w:pPr>
        <w:spacing w:after="0" w:line="240" w:lineRule="auto"/>
        <w:rPr>
          <w:rFonts w:ascii="Arial" w:eastAsia="Arial" w:hAnsi="Arial" w:cs="Arial"/>
        </w:rPr>
      </w:pPr>
      <w:r w:rsidRPr="466EFB64">
        <w:rPr>
          <w:rFonts w:ascii="Arial" w:eastAsia="Arial" w:hAnsi="Arial" w:cs="Arial"/>
        </w:rPr>
        <w:t>In addition to these targeted rate increases, foundation budget categories are also increased to account for inflation. A new employee benefits inflation rate is applied to the employee benefits and fixed charges category. This is based on the enrollment-weighted, three-year average premium increase for all Group Insurance Commission plans; for FY27 the increase is 8.29%. An inflation rate of 2.76% is applied to all other foundation budget rates, based on the U.S. Department of Commerce’s state and local government price deflator.</w:t>
      </w:r>
    </w:p>
    <w:p w14:paraId="0EB2DCD9" w14:textId="77777777" w:rsidR="008A20F5" w:rsidRPr="00A47DD9" w:rsidRDefault="008A20F5" w:rsidP="466EFB64">
      <w:pPr>
        <w:spacing w:after="0" w:line="240" w:lineRule="auto"/>
        <w:rPr>
          <w:rFonts w:ascii="Arial" w:eastAsia="Arial" w:hAnsi="Arial" w:cs="Arial"/>
        </w:rPr>
      </w:pPr>
    </w:p>
    <w:p w14:paraId="16FB92E2" w14:textId="2640905D" w:rsidR="0097418E" w:rsidRPr="00A47DD9" w:rsidRDefault="41B4505D" w:rsidP="466EFB64">
      <w:pPr>
        <w:spacing w:after="0" w:line="240" w:lineRule="auto"/>
        <w:rPr>
          <w:rFonts w:ascii="Arial" w:eastAsia="Arial" w:hAnsi="Arial" w:cs="Arial"/>
        </w:rPr>
      </w:pPr>
      <w:r w:rsidRPr="466EFB64">
        <w:rPr>
          <w:rFonts w:ascii="Arial" w:eastAsia="Arial" w:hAnsi="Arial" w:cs="Arial"/>
        </w:rPr>
        <w:t>Statewide, foundation enrollment decreased from 905,307 in FY26 to 890,622 in FY27, a decrease of 14,685 students. Foundation enrollment decreased for 236 districts, while 81 districts experienced enrollment increases.</w:t>
      </w:r>
    </w:p>
    <w:p w14:paraId="45E15E57" w14:textId="77777777" w:rsidR="008A20F5" w:rsidRPr="00A47DD9" w:rsidRDefault="008A20F5" w:rsidP="466EFB64">
      <w:pPr>
        <w:spacing w:after="0" w:line="240" w:lineRule="auto"/>
        <w:rPr>
          <w:rFonts w:ascii="Arial" w:eastAsia="Arial" w:hAnsi="Arial" w:cs="Arial"/>
        </w:rPr>
      </w:pPr>
    </w:p>
    <w:p w14:paraId="0777E995" w14:textId="43C45CDD" w:rsidR="3AE8E676" w:rsidRDefault="3AE8E676" w:rsidP="26E6F01F">
      <w:pPr>
        <w:spacing w:after="0" w:line="240" w:lineRule="auto"/>
        <w:rPr>
          <w:rFonts w:ascii="Arial" w:eastAsia="Arial" w:hAnsi="Arial" w:cs="Arial"/>
        </w:rPr>
      </w:pPr>
      <w:r w:rsidRPr="26E6F01F">
        <w:rPr>
          <w:rFonts w:ascii="Arial" w:eastAsia="Arial" w:hAnsi="Arial" w:cs="Arial"/>
        </w:rPr>
        <w:t>Finally, the formula’s minimum aid provision guarantees all districts receive at least the same amount of aid in FY27 as they did in FY26 plus a $160 per pupil increase.</w:t>
      </w:r>
    </w:p>
    <w:p w14:paraId="167BD595" w14:textId="066B8B7C" w:rsidR="466EFB64" w:rsidRDefault="466EFB64" w:rsidP="466EFB64">
      <w:pPr>
        <w:spacing w:after="0" w:line="240" w:lineRule="auto"/>
        <w:rPr>
          <w:rFonts w:ascii="Arial" w:eastAsia="Arial" w:hAnsi="Arial" w:cs="Arial"/>
        </w:rPr>
      </w:pPr>
    </w:p>
    <w:p w14:paraId="18927616" w14:textId="77777777" w:rsidR="0097418E" w:rsidRPr="00A47DD9" w:rsidRDefault="41B4505D" w:rsidP="466EFB64">
      <w:pPr>
        <w:spacing w:after="0" w:line="240" w:lineRule="auto"/>
        <w:rPr>
          <w:rFonts w:ascii="Arial" w:eastAsia="Arial" w:hAnsi="Arial" w:cs="Arial"/>
          <w:i/>
          <w:iCs/>
        </w:rPr>
      </w:pPr>
      <w:r w:rsidRPr="466EFB64">
        <w:rPr>
          <w:rFonts w:ascii="Arial" w:eastAsia="Arial" w:hAnsi="Arial" w:cs="Arial"/>
          <w:i/>
          <w:iCs/>
        </w:rPr>
        <w:t>Low-income and special education enrollment</w:t>
      </w:r>
    </w:p>
    <w:p w14:paraId="3ED3CA64" w14:textId="77777777" w:rsidR="008A20F5" w:rsidRPr="00A47DD9" w:rsidRDefault="008A20F5" w:rsidP="466EFB64">
      <w:pPr>
        <w:spacing w:after="0" w:line="240" w:lineRule="auto"/>
        <w:rPr>
          <w:rFonts w:ascii="Arial" w:eastAsia="Arial" w:hAnsi="Arial" w:cs="Arial"/>
        </w:rPr>
      </w:pPr>
    </w:p>
    <w:p w14:paraId="5906F249" w14:textId="7F3BF0D8" w:rsidR="008A20F5" w:rsidRPr="00A47DD9" w:rsidRDefault="41B4505D" w:rsidP="466EFB64">
      <w:pPr>
        <w:spacing w:after="0" w:line="240" w:lineRule="auto"/>
        <w:rPr>
          <w:rFonts w:ascii="Arial" w:eastAsia="Arial" w:hAnsi="Arial" w:cs="Arial"/>
        </w:rPr>
      </w:pPr>
      <w:r w:rsidRPr="466EFB64">
        <w:rPr>
          <w:rFonts w:ascii="Arial" w:eastAsia="Arial" w:hAnsi="Arial" w:cs="Arial"/>
        </w:rPr>
        <w:t xml:space="preserve">The SOA reinstates the definition of low-income enrollment used prior to FY17, based on 185% of the federal poverty level, replacing the economically disadvantaged designation (based on 133% of the federal poverty level) used from FY17 through FY22. For FY27, a district’s low-income enrollment is based on three eligibility categories: </w:t>
      </w:r>
    </w:p>
    <w:p w14:paraId="48F5D2F6" w14:textId="77777777" w:rsidR="0097418E" w:rsidRPr="00A47DD9" w:rsidRDefault="41B4505D" w:rsidP="466EFB64">
      <w:pPr>
        <w:pStyle w:val="ListParagraph"/>
        <w:numPr>
          <w:ilvl w:val="0"/>
          <w:numId w:val="11"/>
        </w:numPr>
        <w:spacing w:after="0" w:line="240" w:lineRule="auto"/>
        <w:contextualSpacing w:val="0"/>
        <w:rPr>
          <w:rFonts w:ascii="Arial" w:eastAsia="Arial" w:hAnsi="Arial" w:cs="Arial"/>
        </w:rPr>
      </w:pPr>
      <w:r w:rsidRPr="466EFB64">
        <w:rPr>
          <w:rFonts w:ascii="Arial" w:eastAsia="Arial" w:hAnsi="Arial" w:cs="Arial"/>
        </w:rPr>
        <w:lastRenderedPageBreak/>
        <w:t>Students identified as participating in state public assistance programs, including the Supplemental Nutrition Assistance Program (SNAP), Transitional Aid to Families with Dependent Children (TAFDC), MassHealth, and foster care; or</w:t>
      </w:r>
    </w:p>
    <w:p w14:paraId="19AAF43F" w14:textId="77777777" w:rsidR="0097418E" w:rsidRPr="00A47DD9" w:rsidRDefault="41B4505D" w:rsidP="466EFB64">
      <w:pPr>
        <w:pStyle w:val="ListParagraph"/>
        <w:numPr>
          <w:ilvl w:val="0"/>
          <w:numId w:val="11"/>
        </w:numPr>
        <w:spacing w:after="0" w:line="240" w:lineRule="auto"/>
        <w:contextualSpacing w:val="0"/>
        <w:rPr>
          <w:rFonts w:ascii="Arial" w:eastAsia="Arial" w:hAnsi="Arial" w:cs="Arial"/>
        </w:rPr>
      </w:pPr>
      <w:r w:rsidRPr="466EFB64">
        <w:rPr>
          <w:rFonts w:ascii="Arial" w:eastAsia="Arial" w:hAnsi="Arial" w:cs="Arial"/>
        </w:rPr>
        <w:t>Students verified as low income through the Supplemental Low-Income Data Collection; or</w:t>
      </w:r>
    </w:p>
    <w:p w14:paraId="4E68D64C" w14:textId="77777777" w:rsidR="0097418E" w:rsidRPr="00A47DD9" w:rsidRDefault="41B4505D" w:rsidP="466EFB64">
      <w:pPr>
        <w:pStyle w:val="ListParagraph"/>
        <w:numPr>
          <w:ilvl w:val="0"/>
          <w:numId w:val="11"/>
        </w:numPr>
        <w:spacing w:after="0" w:line="240" w:lineRule="auto"/>
        <w:contextualSpacing w:val="0"/>
        <w:rPr>
          <w:rFonts w:ascii="Arial" w:eastAsia="Arial" w:hAnsi="Arial" w:cs="Arial"/>
        </w:rPr>
      </w:pPr>
      <w:r w:rsidRPr="466EFB64">
        <w:rPr>
          <w:rFonts w:ascii="Arial" w:eastAsia="Arial" w:hAnsi="Arial" w:cs="Arial"/>
        </w:rPr>
        <w:t>Students reported by a district as homeless through the McKinney-Vento Homeless Education Assistance program application.</w:t>
      </w:r>
    </w:p>
    <w:p w14:paraId="26F21167" w14:textId="77777777" w:rsidR="0097418E" w:rsidRPr="00A47DD9" w:rsidRDefault="0097418E" w:rsidP="466EFB64">
      <w:pPr>
        <w:pStyle w:val="ListParagraph"/>
        <w:spacing w:after="0" w:line="240" w:lineRule="auto"/>
        <w:contextualSpacing w:val="0"/>
        <w:rPr>
          <w:rFonts w:ascii="Arial" w:eastAsia="Arial" w:hAnsi="Arial" w:cs="Arial"/>
        </w:rPr>
      </w:pPr>
    </w:p>
    <w:p w14:paraId="2F92768F" w14:textId="77777777" w:rsidR="0097418E" w:rsidRPr="00A47DD9" w:rsidRDefault="41B4505D" w:rsidP="466EFB64">
      <w:pPr>
        <w:spacing w:after="0" w:line="240" w:lineRule="auto"/>
        <w:rPr>
          <w:rFonts w:ascii="Arial" w:eastAsia="Arial" w:hAnsi="Arial" w:cs="Arial"/>
        </w:rPr>
      </w:pPr>
      <w:r w:rsidRPr="466EFB64">
        <w:rPr>
          <w:rFonts w:ascii="Arial" w:eastAsia="Arial" w:hAnsi="Arial" w:cs="Arial"/>
        </w:rPr>
        <w:t>Statewide, low-income enrollment for FY27 is 400,805, compared to 419,861 in FY26.</w:t>
      </w:r>
    </w:p>
    <w:p w14:paraId="20DB1322" w14:textId="77777777" w:rsidR="0097418E" w:rsidRPr="00A47DD9" w:rsidRDefault="41B4505D" w:rsidP="466EFB64">
      <w:pPr>
        <w:spacing w:after="0" w:line="240" w:lineRule="auto"/>
        <w:rPr>
          <w:rFonts w:ascii="Arial" w:eastAsia="Arial" w:hAnsi="Arial" w:cs="Arial"/>
        </w:rPr>
      </w:pPr>
      <w:r w:rsidRPr="466EFB64">
        <w:rPr>
          <w:rFonts w:ascii="Arial" w:eastAsia="Arial" w:hAnsi="Arial" w:cs="Arial"/>
        </w:rPr>
        <w:t>The SOA also provides for a phase-in of increases to the assumed in-district special education enrollment to 5% for vocational students and 4% for non-vocational students. In FY27, these assumed rates have been increased by 6/6</w:t>
      </w:r>
      <w:r w:rsidRPr="466EFB64">
        <w:rPr>
          <w:rFonts w:ascii="Arial" w:eastAsia="Arial" w:hAnsi="Arial" w:cs="Arial"/>
          <w:vertAlign w:val="superscript"/>
        </w:rPr>
        <w:t>ths</w:t>
      </w:r>
      <w:r w:rsidRPr="466EFB64">
        <w:rPr>
          <w:rFonts w:ascii="Arial" w:eastAsia="Arial" w:hAnsi="Arial" w:cs="Arial"/>
        </w:rPr>
        <w:t xml:space="preserve"> of the gap to 5.00% and 4.00%, respectively.</w:t>
      </w:r>
    </w:p>
    <w:p w14:paraId="251D388E" w14:textId="77777777" w:rsidR="008A20F5" w:rsidRPr="00A47DD9" w:rsidRDefault="008A20F5" w:rsidP="466EFB64">
      <w:pPr>
        <w:spacing w:after="0" w:line="240" w:lineRule="auto"/>
        <w:rPr>
          <w:rFonts w:ascii="Arial" w:eastAsia="Arial" w:hAnsi="Arial" w:cs="Arial"/>
        </w:rPr>
      </w:pPr>
    </w:p>
    <w:p w14:paraId="0F79C843" w14:textId="77777777" w:rsidR="0097418E" w:rsidRPr="00A47DD9" w:rsidRDefault="41B4505D" w:rsidP="466EFB64">
      <w:pPr>
        <w:spacing w:after="0" w:line="240" w:lineRule="auto"/>
        <w:rPr>
          <w:rFonts w:ascii="Arial" w:eastAsia="Arial" w:hAnsi="Arial" w:cs="Arial"/>
          <w:i/>
          <w:iCs/>
        </w:rPr>
      </w:pPr>
      <w:r w:rsidRPr="466EFB64">
        <w:rPr>
          <w:rFonts w:ascii="Arial" w:eastAsia="Arial" w:hAnsi="Arial" w:cs="Arial"/>
          <w:i/>
          <w:iCs/>
        </w:rPr>
        <w:t>Required local contributions</w:t>
      </w:r>
    </w:p>
    <w:p w14:paraId="718D4073" w14:textId="77777777" w:rsidR="008A20F5" w:rsidRPr="00A47DD9" w:rsidRDefault="008A20F5" w:rsidP="466EFB64">
      <w:pPr>
        <w:spacing w:after="0" w:line="240" w:lineRule="auto"/>
        <w:rPr>
          <w:rFonts w:ascii="Arial" w:eastAsia="Arial" w:hAnsi="Arial" w:cs="Arial"/>
        </w:rPr>
      </w:pPr>
    </w:p>
    <w:p w14:paraId="4E045BB3" w14:textId="198A8140" w:rsidR="0097418E" w:rsidRPr="00A47DD9" w:rsidRDefault="41B4505D" w:rsidP="466EFB64">
      <w:pPr>
        <w:spacing w:after="0" w:line="240" w:lineRule="auto"/>
        <w:rPr>
          <w:rFonts w:ascii="Arial" w:eastAsia="Arial" w:hAnsi="Arial" w:cs="Arial"/>
        </w:rPr>
      </w:pPr>
      <w:r w:rsidRPr="466EFB64">
        <w:rPr>
          <w:rFonts w:ascii="Arial" w:eastAsia="Arial" w:hAnsi="Arial" w:cs="Arial"/>
        </w:rPr>
        <w:t>The aggregate wealth model that has been used to determine target local contribution requirements since FY07 is now codified in Chapter 70 by the SOA. For municipalities with preliminary required contributions above their targets, the effort reduction component of the formula closes 100% of the gap between their preliminary contribution and their contribution target. For municipalities with preliminary required contributions significantly below their targets, the formula continues to apply an additional increment to their required contribution to close a portion of the gap to their contribution target.</w:t>
      </w:r>
    </w:p>
    <w:p w14:paraId="183EC60F" w14:textId="77777777" w:rsidR="0097418E" w:rsidRPr="00A47DD9" w:rsidRDefault="41B4505D" w:rsidP="466EFB64">
      <w:pPr>
        <w:spacing w:after="0" w:line="240" w:lineRule="auto"/>
        <w:rPr>
          <w:rFonts w:ascii="Arial" w:eastAsia="Arial" w:hAnsi="Arial" w:cs="Arial"/>
        </w:rPr>
      </w:pPr>
      <w:r w:rsidRPr="466EFB64">
        <w:rPr>
          <w:rFonts w:ascii="Arial" w:eastAsia="Arial" w:hAnsi="Arial" w:cs="Arial"/>
        </w:rPr>
        <w:t>Finally, pursuant to its codification in Chapter 70 by the SOA, a provision introduced in the FY20 budget specifying a minimum required local contribution of 82.5% of foundation for any city or town with a combined effort yield greater than 175% of foundation is continued in FY27.</w:t>
      </w:r>
    </w:p>
    <w:p w14:paraId="782FA5FD" w14:textId="77777777" w:rsidR="008A20F5" w:rsidRPr="00A47DD9" w:rsidRDefault="008A20F5" w:rsidP="466EFB64">
      <w:pPr>
        <w:spacing w:after="0" w:line="240" w:lineRule="auto"/>
        <w:rPr>
          <w:rFonts w:ascii="Arial" w:eastAsia="Arial" w:hAnsi="Arial" w:cs="Arial"/>
        </w:rPr>
      </w:pPr>
    </w:p>
    <w:p w14:paraId="3B40F3BC" w14:textId="77777777" w:rsidR="0097418E" w:rsidRPr="00A47DD9" w:rsidRDefault="41B4505D" w:rsidP="466EFB64">
      <w:pPr>
        <w:spacing w:after="0" w:line="240" w:lineRule="auto"/>
        <w:rPr>
          <w:rFonts w:ascii="Arial" w:eastAsia="Arial" w:hAnsi="Arial" w:cs="Arial"/>
          <w:i/>
          <w:iCs/>
        </w:rPr>
      </w:pPr>
      <w:r w:rsidRPr="466EFB64">
        <w:rPr>
          <w:rFonts w:ascii="Arial" w:eastAsia="Arial" w:hAnsi="Arial" w:cs="Arial"/>
          <w:i/>
          <w:iCs/>
        </w:rPr>
        <w:t>Charter school tuition</w:t>
      </w:r>
    </w:p>
    <w:p w14:paraId="555D1792" w14:textId="77777777" w:rsidR="008A20F5" w:rsidRPr="00A47DD9" w:rsidRDefault="008A20F5" w:rsidP="466EFB64">
      <w:pPr>
        <w:spacing w:after="0" w:line="240" w:lineRule="auto"/>
        <w:rPr>
          <w:rFonts w:ascii="Arial" w:eastAsia="Arial" w:hAnsi="Arial" w:cs="Arial"/>
        </w:rPr>
      </w:pPr>
    </w:p>
    <w:p w14:paraId="45D3354F" w14:textId="790F2721" w:rsidR="0097418E" w:rsidRPr="00A47DD9" w:rsidRDefault="41B4505D" w:rsidP="466EFB64">
      <w:pPr>
        <w:spacing w:after="0" w:line="240" w:lineRule="auto"/>
        <w:rPr>
          <w:rFonts w:ascii="Arial" w:eastAsia="Arial" w:hAnsi="Arial" w:cs="Arial"/>
        </w:rPr>
      </w:pPr>
      <w:r w:rsidRPr="466EFB64">
        <w:rPr>
          <w:rFonts w:ascii="Arial" w:eastAsia="Arial" w:hAnsi="Arial" w:cs="Arial"/>
        </w:rPr>
        <w:t>Foundation tuition rates for Commonwealth charter schools are based on the same foundation budget rates used in Chapter 70. The foundation budget rate increases implemented in FY27 are incorporated into the projected FY27 charter tuition rates. In addition, charter school low-income enrollment for FY27 has been identified using the same eligibility criteria used for school districts. Finally, the facilities component of the tuition rate is $1,288 per pupil, with this cost fully reimbursed by the state as in prior years.</w:t>
      </w:r>
    </w:p>
    <w:p w14:paraId="5B0691FF" w14:textId="1C4266D4" w:rsidR="466EFB64" w:rsidRDefault="466EFB64" w:rsidP="466EFB64">
      <w:pPr>
        <w:spacing w:after="0" w:line="240" w:lineRule="auto"/>
        <w:rPr>
          <w:rFonts w:ascii="Arial" w:eastAsia="Arial" w:hAnsi="Arial" w:cs="Arial"/>
        </w:rPr>
      </w:pPr>
    </w:p>
    <w:p w14:paraId="52B0F283" w14:textId="77777777" w:rsidR="0097418E" w:rsidRPr="00A47DD9" w:rsidRDefault="41B4505D" w:rsidP="466EFB64">
      <w:pPr>
        <w:spacing w:after="0" w:line="240" w:lineRule="auto"/>
        <w:rPr>
          <w:rFonts w:ascii="Arial" w:eastAsia="Arial" w:hAnsi="Arial" w:cs="Arial"/>
        </w:rPr>
      </w:pPr>
      <w:r w:rsidRPr="466EFB64">
        <w:rPr>
          <w:rFonts w:ascii="Arial" w:eastAsia="Arial" w:hAnsi="Arial" w:cs="Arial"/>
        </w:rPr>
        <w:t xml:space="preserve">The reimbursement formula for transitional aid to districts reflects the change enacted by </w:t>
      </w:r>
      <w:r w:rsidRPr="466EFB64">
        <w:rPr>
          <w:rStyle w:val="Hyperlink"/>
          <w:rFonts w:ascii="Arial" w:eastAsia="Arial" w:hAnsi="Arial" w:cs="Arial"/>
        </w:rPr>
        <w:t>Section 38</w:t>
      </w:r>
      <w:r w:rsidRPr="466EFB64">
        <w:rPr>
          <w:rFonts w:ascii="Arial" w:eastAsia="Arial" w:hAnsi="Arial" w:cs="Arial"/>
        </w:rPr>
        <w:t xml:space="preserve"> of the FY20 budget, which provided for a reimbursement of 100% of any tuition increase in the first year, 60% in the second year, and 40% in the third year. Funding for first year reimbursements is prioritized first, followed by funding for second year reimbursements.</w:t>
      </w:r>
    </w:p>
    <w:p w14:paraId="6F5919A6" w14:textId="77777777" w:rsidR="008A20F5" w:rsidRPr="00A47DD9" w:rsidRDefault="008A20F5" w:rsidP="466EFB64">
      <w:pPr>
        <w:spacing w:after="0" w:line="240" w:lineRule="auto"/>
        <w:rPr>
          <w:rFonts w:ascii="Arial" w:eastAsia="Arial" w:hAnsi="Arial" w:cs="Arial"/>
        </w:rPr>
      </w:pPr>
    </w:p>
    <w:p w14:paraId="69546B1F" w14:textId="77777777" w:rsidR="0097418E" w:rsidRPr="00530EB5" w:rsidRDefault="41B4505D" w:rsidP="466EFB64">
      <w:pPr>
        <w:spacing w:after="0" w:line="240" w:lineRule="auto"/>
        <w:rPr>
          <w:rFonts w:ascii="Arial" w:eastAsia="Arial" w:hAnsi="Arial" w:cs="Arial"/>
        </w:rPr>
      </w:pPr>
      <w:r w:rsidRPr="466EFB64">
        <w:rPr>
          <w:rFonts w:ascii="Arial" w:eastAsia="Arial" w:hAnsi="Arial" w:cs="Arial"/>
        </w:rPr>
        <w:t>The SOA requires that 100% of the total statewide reimbursement obligation be funded. The Governor recommended a $200</w:t>
      </w:r>
      <w:r w:rsidRPr="466EFB64">
        <w:rPr>
          <w:rFonts w:ascii="Arial" w:eastAsia="Arial" w:hAnsi="Arial" w:cs="Arial"/>
          <w:color w:val="EE0000"/>
        </w:rPr>
        <w:t xml:space="preserve"> </w:t>
      </w:r>
      <w:r w:rsidRPr="466EFB64">
        <w:rPr>
          <w:rFonts w:ascii="Arial" w:eastAsia="Arial" w:hAnsi="Arial" w:cs="Arial"/>
        </w:rPr>
        <w:t xml:space="preserve">million appropriation for these reimbursements. </w:t>
      </w:r>
      <w:r w:rsidRPr="466EFB64">
        <w:rPr>
          <w:rFonts w:ascii="Arial" w:eastAsia="Arial" w:hAnsi="Arial" w:cs="Arial"/>
        </w:rPr>
        <w:lastRenderedPageBreak/>
        <w:t>This appropriation level is expected to meet the 100% requirement when tuition assessments are updated to reflect actual enrollments and district spending levels. The projected assessments and reimbursements for charter tuition payments at this point can be useful for budget planning but should not be viewed as final numbers, given normal fluctuations in both projected and actual enrollments which occur over the course of the fiscal year.</w:t>
      </w:r>
    </w:p>
    <w:p w14:paraId="040F50FC" w14:textId="77777777" w:rsidR="00ED2DD3" w:rsidRPr="00A47DD9" w:rsidRDefault="00ED2DD3" w:rsidP="466EFB64">
      <w:pPr>
        <w:spacing w:after="0" w:line="240" w:lineRule="auto"/>
        <w:rPr>
          <w:rFonts w:ascii="Arial" w:eastAsia="Arial" w:hAnsi="Arial" w:cs="Arial"/>
        </w:rPr>
      </w:pPr>
    </w:p>
    <w:p w14:paraId="28C06AE2" w14:textId="2109CD20" w:rsidR="008D2E17" w:rsidRPr="00530EB5" w:rsidRDefault="0E73425D" w:rsidP="466EFB64">
      <w:pPr>
        <w:spacing w:after="0" w:line="240" w:lineRule="auto"/>
        <w:rPr>
          <w:rFonts w:ascii="Arial" w:eastAsia="Arial" w:hAnsi="Arial" w:cs="Arial"/>
          <w:b/>
          <w:bCs/>
        </w:rPr>
      </w:pPr>
      <w:r w:rsidRPr="466EFB64">
        <w:rPr>
          <w:rFonts w:ascii="Arial" w:eastAsia="Arial" w:hAnsi="Arial" w:cs="Arial"/>
          <w:b/>
          <w:bCs/>
        </w:rPr>
        <w:t xml:space="preserve">Chapter 70 </w:t>
      </w:r>
      <w:r w:rsidR="1A902573" w:rsidRPr="466EFB64">
        <w:rPr>
          <w:rFonts w:ascii="Arial" w:eastAsia="Arial" w:hAnsi="Arial" w:cs="Arial"/>
          <w:b/>
          <w:bCs/>
        </w:rPr>
        <w:t xml:space="preserve">English Language Learner </w:t>
      </w:r>
      <w:r w:rsidRPr="466EFB64">
        <w:rPr>
          <w:rFonts w:ascii="Arial" w:eastAsia="Arial" w:hAnsi="Arial" w:cs="Arial"/>
          <w:b/>
          <w:bCs/>
        </w:rPr>
        <w:t>Reserve (1599-0008)</w:t>
      </w:r>
      <w:r w:rsidR="4856DFE4" w:rsidRPr="466EFB64">
        <w:rPr>
          <w:rFonts w:ascii="Arial" w:eastAsia="Arial" w:hAnsi="Arial" w:cs="Arial"/>
          <w:b/>
          <w:bCs/>
        </w:rPr>
        <w:t xml:space="preserve"> </w:t>
      </w:r>
    </w:p>
    <w:p w14:paraId="19E898FD" w14:textId="0ADA72F5" w:rsidR="008D2E17" w:rsidRPr="00530EB5" w:rsidRDefault="3595B53B" w:rsidP="466EFB64">
      <w:pPr>
        <w:spacing w:after="0" w:line="240" w:lineRule="auto"/>
        <w:rPr>
          <w:rFonts w:ascii="Arial" w:eastAsia="Arial" w:hAnsi="Arial" w:cs="Arial"/>
          <w:b/>
          <w:bCs/>
        </w:rPr>
      </w:pPr>
      <w:r w:rsidRPr="466EFB64">
        <w:rPr>
          <w:rFonts w:ascii="Arial" w:eastAsia="Arial" w:hAnsi="Arial" w:cs="Arial"/>
        </w:rPr>
        <w:t xml:space="preserve">This </w:t>
      </w:r>
      <w:r w:rsidR="382F8A4B" w:rsidRPr="466EFB64">
        <w:rPr>
          <w:rFonts w:ascii="Arial" w:eastAsia="Arial" w:hAnsi="Arial" w:cs="Arial"/>
        </w:rPr>
        <w:t>provides</w:t>
      </w:r>
      <w:r w:rsidR="0BBE0FE2" w:rsidRPr="466EFB64">
        <w:rPr>
          <w:rFonts w:ascii="Arial" w:eastAsia="Arial" w:hAnsi="Arial" w:cs="Arial"/>
        </w:rPr>
        <w:t xml:space="preserve"> a </w:t>
      </w:r>
      <w:r w:rsidR="382F8A4B" w:rsidRPr="466EFB64">
        <w:rPr>
          <w:rFonts w:ascii="Arial" w:eastAsia="Arial" w:hAnsi="Arial" w:cs="Arial"/>
        </w:rPr>
        <w:t xml:space="preserve">$10 million </w:t>
      </w:r>
      <w:r w:rsidR="0BBE0FE2" w:rsidRPr="466EFB64">
        <w:rPr>
          <w:rFonts w:ascii="Arial" w:eastAsia="Arial" w:hAnsi="Arial" w:cs="Arial"/>
        </w:rPr>
        <w:t>reserve to offset reductions in state aid distributed to cities and towns</w:t>
      </w:r>
      <w:r w:rsidR="382F8A4B" w:rsidRPr="466EFB64">
        <w:rPr>
          <w:rFonts w:ascii="Arial" w:eastAsia="Arial" w:hAnsi="Arial" w:cs="Arial"/>
          <w:b/>
          <w:bCs/>
        </w:rPr>
        <w:t xml:space="preserve"> </w:t>
      </w:r>
      <w:r w:rsidR="0BBE0FE2" w:rsidRPr="466EFB64">
        <w:rPr>
          <w:rFonts w:ascii="Arial" w:eastAsia="Arial" w:hAnsi="Arial" w:cs="Arial"/>
        </w:rPr>
        <w:t xml:space="preserve">under </w:t>
      </w:r>
      <w:r w:rsidR="483D5C6B" w:rsidRPr="466EFB64">
        <w:rPr>
          <w:rFonts w:ascii="Arial" w:eastAsia="Arial" w:hAnsi="Arial" w:cs="Arial"/>
        </w:rPr>
        <w:t xml:space="preserve">Chapter </w:t>
      </w:r>
      <w:r w:rsidR="0BBE0FE2" w:rsidRPr="466EFB64">
        <w:rPr>
          <w:rFonts w:ascii="Arial" w:eastAsia="Arial" w:hAnsi="Arial" w:cs="Arial"/>
        </w:rPr>
        <w:t>70 due to unexpected reductions in</w:t>
      </w:r>
      <w:r w:rsidR="382F8A4B" w:rsidRPr="466EFB64">
        <w:rPr>
          <w:rFonts w:ascii="Arial" w:eastAsia="Arial" w:hAnsi="Arial" w:cs="Arial"/>
          <w:b/>
          <w:bCs/>
        </w:rPr>
        <w:t xml:space="preserve"> </w:t>
      </w:r>
      <w:r w:rsidR="0BBE0FE2" w:rsidRPr="466EFB64">
        <w:rPr>
          <w:rFonts w:ascii="Arial" w:eastAsia="Arial" w:hAnsi="Arial" w:cs="Arial"/>
        </w:rPr>
        <w:t>English language learners</w:t>
      </w:r>
      <w:r w:rsidR="382F8A4B" w:rsidRPr="466EFB64">
        <w:rPr>
          <w:rFonts w:ascii="Arial" w:eastAsia="Arial" w:hAnsi="Arial" w:cs="Arial"/>
        </w:rPr>
        <w:t>.</w:t>
      </w:r>
      <w:r w:rsidR="483D5C6B" w:rsidRPr="466EFB64">
        <w:rPr>
          <w:rFonts w:ascii="Arial" w:eastAsia="Arial" w:hAnsi="Arial" w:cs="Arial"/>
        </w:rPr>
        <w:t xml:space="preserve"> The methodology for distributing the funds is not specifi</w:t>
      </w:r>
      <w:r w:rsidR="1A902573" w:rsidRPr="466EFB64">
        <w:rPr>
          <w:rFonts w:ascii="Arial" w:eastAsia="Arial" w:hAnsi="Arial" w:cs="Arial"/>
        </w:rPr>
        <w:t>ed</w:t>
      </w:r>
      <w:r w:rsidR="483D5C6B" w:rsidRPr="466EFB64">
        <w:rPr>
          <w:rFonts w:ascii="Arial" w:eastAsia="Arial" w:hAnsi="Arial" w:cs="Arial"/>
        </w:rPr>
        <w:t>.</w:t>
      </w:r>
    </w:p>
    <w:p w14:paraId="2A869130" w14:textId="77777777" w:rsidR="008A20F5" w:rsidRPr="00ED2DD3" w:rsidRDefault="008A20F5" w:rsidP="466EFB64">
      <w:pPr>
        <w:spacing w:after="0" w:line="240" w:lineRule="auto"/>
        <w:rPr>
          <w:rFonts w:ascii="Arial" w:eastAsia="Arial" w:hAnsi="Arial" w:cs="Arial"/>
          <w:highlight w:val="yellow"/>
        </w:rPr>
      </w:pPr>
    </w:p>
    <w:p w14:paraId="5AA28200" w14:textId="77777777" w:rsidR="00ED2DD3" w:rsidRPr="00ED2DD3" w:rsidRDefault="00ED2DD3" w:rsidP="466EFB64">
      <w:pPr>
        <w:spacing w:after="0" w:line="240" w:lineRule="auto"/>
        <w:rPr>
          <w:rFonts w:ascii="Arial" w:eastAsia="Arial" w:hAnsi="Arial" w:cs="Arial"/>
        </w:rPr>
      </w:pPr>
      <w:bookmarkStart w:id="6" w:name="_Hlk62749702"/>
      <w:r w:rsidRPr="466EFB64">
        <w:rPr>
          <w:rFonts w:ascii="Arial" w:eastAsia="Arial" w:hAnsi="Arial" w:cs="Arial"/>
          <w:b/>
          <w:bCs/>
        </w:rPr>
        <w:t>Special Education Circuit Breaker reimbursement (7061-0012)</w:t>
      </w:r>
      <w:r w:rsidRPr="466EFB64">
        <w:rPr>
          <w:rFonts w:ascii="Arial" w:eastAsia="Arial" w:hAnsi="Arial" w:cs="Arial"/>
        </w:rPr>
        <w:t xml:space="preserve"> </w:t>
      </w:r>
    </w:p>
    <w:p w14:paraId="27622B85" w14:textId="2AB7EEBA" w:rsidR="00ED2DD3" w:rsidRPr="00ED2DD3" w:rsidRDefault="00ED2DD3" w:rsidP="466EFB64">
      <w:pPr>
        <w:spacing w:after="0" w:line="240" w:lineRule="auto"/>
        <w:rPr>
          <w:rFonts w:ascii="Arial" w:eastAsia="Arial" w:hAnsi="Arial" w:cs="Arial"/>
        </w:rPr>
      </w:pPr>
      <w:r w:rsidRPr="466EFB64">
        <w:rPr>
          <w:rFonts w:ascii="Arial" w:eastAsia="Arial" w:hAnsi="Arial" w:cs="Arial"/>
        </w:rPr>
        <w:t xml:space="preserve">This </w:t>
      </w:r>
      <w:r w:rsidR="00C379EA" w:rsidRPr="466EFB64">
        <w:rPr>
          <w:rFonts w:ascii="Arial" w:eastAsia="Arial" w:hAnsi="Arial" w:cs="Arial"/>
        </w:rPr>
        <w:t xml:space="preserve">program is being funded by </w:t>
      </w:r>
      <w:r w:rsidR="002C5AE1">
        <w:rPr>
          <w:rFonts w:ascii="Arial" w:eastAsia="Arial" w:hAnsi="Arial" w:cs="Arial"/>
        </w:rPr>
        <w:t>two</w:t>
      </w:r>
      <w:r w:rsidR="00C379EA" w:rsidRPr="466EFB64">
        <w:rPr>
          <w:rFonts w:ascii="Arial" w:eastAsia="Arial" w:hAnsi="Arial" w:cs="Arial"/>
        </w:rPr>
        <w:t xml:space="preserve"> accounts in FY27 </w:t>
      </w:r>
      <w:r w:rsidR="00211A66" w:rsidRPr="466EFB64">
        <w:rPr>
          <w:rFonts w:ascii="Arial" w:eastAsia="Arial" w:hAnsi="Arial" w:cs="Arial"/>
        </w:rPr>
        <w:t xml:space="preserve">totaling $805.4M </w:t>
      </w:r>
      <w:r w:rsidR="00C379EA" w:rsidRPr="466EFB64">
        <w:rPr>
          <w:rFonts w:ascii="Arial" w:eastAsia="Arial" w:hAnsi="Arial" w:cs="Arial"/>
        </w:rPr>
        <w:t xml:space="preserve">(1596-2604 </w:t>
      </w:r>
      <w:r w:rsidR="00E64782" w:rsidRPr="466EFB64">
        <w:rPr>
          <w:rFonts w:ascii="Arial" w:eastAsia="Arial" w:hAnsi="Arial" w:cs="Arial"/>
        </w:rPr>
        <w:t>Fair Share</w:t>
      </w:r>
      <w:r w:rsidR="00B160DF" w:rsidRPr="466EFB64">
        <w:rPr>
          <w:rFonts w:ascii="Arial" w:eastAsia="Arial" w:hAnsi="Arial" w:cs="Arial"/>
        </w:rPr>
        <w:t xml:space="preserve"> account in the supplemental budget and </w:t>
      </w:r>
      <w:r w:rsidR="000437DF" w:rsidRPr="466EFB64">
        <w:rPr>
          <w:rFonts w:ascii="Arial" w:eastAsia="Arial" w:hAnsi="Arial" w:cs="Arial"/>
        </w:rPr>
        <w:t>7061-0012)</w:t>
      </w:r>
      <w:r w:rsidR="00211A66" w:rsidRPr="466EFB64">
        <w:rPr>
          <w:rFonts w:ascii="Arial" w:eastAsia="Arial" w:hAnsi="Arial" w:cs="Arial"/>
        </w:rPr>
        <w:t>.</w:t>
      </w:r>
      <w:r w:rsidRPr="466EFB64">
        <w:rPr>
          <w:rFonts w:ascii="Arial" w:eastAsia="Arial" w:hAnsi="Arial" w:cs="Arial"/>
        </w:rPr>
        <w:t xml:space="preserve"> This funding level is projected to reimburse 100% of the entitlements </w:t>
      </w:r>
      <w:r w:rsidR="14A871A2" w:rsidRPr="466EFB64">
        <w:rPr>
          <w:rFonts w:ascii="Arial" w:eastAsia="Arial" w:hAnsi="Arial" w:cs="Arial"/>
        </w:rPr>
        <w:t>for instruction/tuition and transportation claims.</w:t>
      </w:r>
    </w:p>
    <w:p w14:paraId="7C2C47E8" w14:textId="77777777" w:rsidR="00ED2DD3" w:rsidRPr="00ED2DD3" w:rsidRDefault="00ED2DD3" w:rsidP="466EFB64">
      <w:pPr>
        <w:spacing w:after="0" w:line="240" w:lineRule="auto"/>
        <w:rPr>
          <w:rFonts w:ascii="Arial" w:eastAsia="Arial" w:hAnsi="Arial" w:cs="Arial"/>
        </w:rPr>
      </w:pPr>
    </w:p>
    <w:p w14:paraId="7A4EBAB2" w14:textId="3E7F90AB" w:rsidR="00ED2DD3" w:rsidRPr="00A47DD9" w:rsidRDefault="00ED2DD3" w:rsidP="466EFB64">
      <w:pPr>
        <w:spacing w:after="0" w:line="240" w:lineRule="auto"/>
        <w:rPr>
          <w:rFonts w:ascii="Arial" w:eastAsia="Arial" w:hAnsi="Arial" w:cs="Arial"/>
        </w:rPr>
      </w:pPr>
      <w:r w:rsidRPr="466EFB64">
        <w:rPr>
          <w:rFonts w:ascii="Arial" w:eastAsia="Arial" w:hAnsi="Arial" w:cs="Arial"/>
          <w:b/>
          <w:bCs/>
        </w:rPr>
        <w:t>Transportation</w:t>
      </w:r>
      <w:r w:rsidRPr="466EFB64">
        <w:rPr>
          <w:rFonts w:ascii="Arial" w:eastAsia="Arial" w:hAnsi="Arial" w:cs="Arial"/>
        </w:rPr>
        <w:t xml:space="preserve"> </w:t>
      </w:r>
      <w:r w:rsidRPr="466EFB64">
        <w:rPr>
          <w:rFonts w:ascii="Arial" w:eastAsia="Arial" w:hAnsi="Arial" w:cs="Arial"/>
          <w:b/>
          <w:bCs/>
        </w:rPr>
        <w:t>Reimbursements</w:t>
      </w:r>
    </w:p>
    <w:p w14:paraId="395D3760" w14:textId="278F9726" w:rsidR="00ED2DD3" w:rsidRPr="00A47DD9" w:rsidRDefault="00ED2DD3" w:rsidP="466EFB64">
      <w:pPr>
        <w:spacing w:after="0" w:line="240" w:lineRule="auto"/>
        <w:rPr>
          <w:rFonts w:ascii="Arial" w:eastAsia="Arial" w:hAnsi="Arial" w:cs="Arial"/>
        </w:rPr>
      </w:pPr>
      <w:r w:rsidRPr="0A9EE97C">
        <w:rPr>
          <w:rFonts w:ascii="Arial" w:eastAsia="Arial" w:hAnsi="Arial" w:cs="Arial"/>
        </w:rPr>
        <w:t>The FY2</w:t>
      </w:r>
      <w:r w:rsidR="005F5F08" w:rsidRPr="0A9EE97C">
        <w:rPr>
          <w:rFonts w:ascii="Arial" w:eastAsia="Arial" w:hAnsi="Arial" w:cs="Arial"/>
        </w:rPr>
        <w:t>7</w:t>
      </w:r>
      <w:r w:rsidRPr="0A9EE97C">
        <w:rPr>
          <w:rFonts w:ascii="Arial" w:eastAsia="Arial" w:hAnsi="Arial" w:cs="Arial"/>
        </w:rPr>
        <w:t xml:space="preserve"> HWM budget also proposes $57.1M for Regional School Transportation (7035-0006) a</w:t>
      </w:r>
      <w:r w:rsidR="00741277" w:rsidRPr="0A9EE97C">
        <w:rPr>
          <w:rFonts w:ascii="Arial" w:eastAsia="Arial" w:hAnsi="Arial" w:cs="Arial"/>
        </w:rPr>
        <w:t>nd</w:t>
      </w:r>
      <w:r w:rsidRPr="0A9EE97C">
        <w:rPr>
          <w:rFonts w:ascii="Arial" w:eastAsia="Arial" w:hAnsi="Arial" w:cs="Arial"/>
        </w:rPr>
        <w:t xml:space="preserve"> an additional $</w:t>
      </w:r>
      <w:r w:rsidR="002148A7" w:rsidRPr="0A9EE97C">
        <w:rPr>
          <w:rFonts w:ascii="Arial" w:eastAsia="Arial" w:hAnsi="Arial" w:cs="Arial"/>
        </w:rPr>
        <w:t>62</w:t>
      </w:r>
      <w:r w:rsidRPr="0A9EE97C">
        <w:rPr>
          <w:rFonts w:ascii="Arial" w:eastAsia="Arial" w:hAnsi="Arial" w:cs="Arial"/>
        </w:rPr>
        <w:t>M to fund both Non</w:t>
      </w:r>
      <w:r w:rsidR="48D09E74" w:rsidRPr="0A9EE97C">
        <w:rPr>
          <w:rFonts w:ascii="Arial" w:eastAsia="Arial" w:hAnsi="Arial" w:cs="Arial"/>
        </w:rPr>
        <w:t>-</w:t>
      </w:r>
      <w:r w:rsidRPr="0A9EE97C">
        <w:rPr>
          <w:rFonts w:ascii="Arial" w:eastAsia="Arial" w:hAnsi="Arial" w:cs="Arial"/>
        </w:rPr>
        <w:t>Resident Vocational and Regional Transportation</w:t>
      </w:r>
      <w:r w:rsidR="00DA7853" w:rsidRPr="0A9EE97C">
        <w:rPr>
          <w:rFonts w:ascii="Arial" w:eastAsia="Arial" w:hAnsi="Arial" w:cs="Arial"/>
        </w:rPr>
        <w:t xml:space="preserve"> </w:t>
      </w:r>
      <w:r w:rsidR="10AFD17C" w:rsidRPr="0A9EE97C">
        <w:rPr>
          <w:rFonts w:ascii="Arial" w:eastAsia="Arial" w:hAnsi="Arial" w:cs="Arial"/>
        </w:rPr>
        <w:t>(</w:t>
      </w:r>
      <w:r w:rsidR="00867D43" w:rsidRPr="0A9EE97C">
        <w:rPr>
          <w:rFonts w:ascii="Arial" w:eastAsia="Arial" w:hAnsi="Arial" w:cs="Arial"/>
        </w:rPr>
        <w:t>1596-</w:t>
      </w:r>
      <w:r w:rsidR="006C6177" w:rsidRPr="0A9EE97C">
        <w:rPr>
          <w:rFonts w:ascii="Arial" w:eastAsia="Arial" w:hAnsi="Arial" w:cs="Arial"/>
        </w:rPr>
        <w:t>2451</w:t>
      </w:r>
      <w:r w:rsidR="7253843C" w:rsidRPr="0A9EE97C">
        <w:rPr>
          <w:rFonts w:ascii="Arial" w:eastAsia="Arial" w:hAnsi="Arial" w:cs="Arial"/>
        </w:rPr>
        <w:t>)</w:t>
      </w:r>
      <w:r w:rsidRPr="0A9EE97C">
        <w:rPr>
          <w:rFonts w:ascii="Arial" w:eastAsia="Arial" w:hAnsi="Arial" w:cs="Arial"/>
        </w:rPr>
        <w:t>. The funding should reimburse regional school transportation at 9</w:t>
      </w:r>
      <w:r w:rsidR="00A47DD9" w:rsidRPr="0A9EE97C">
        <w:rPr>
          <w:rFonts w:ascii="Arial" w:eastAsia="Arial" w:hAnsi="Arial" w:cs="Arial"/>
        </w:rPr>
        <w:t>0</w:t>
      </w:r>
      <w:r w:rsidRPr="0A9EE97C">
        <w:rPr>
          <w:rFonts w:ascii="Arial" w:eastAsia="Arial" w:hAnsi="Arial" w:cs="Arial"/>
        </w:rPr>
        <w:t>% of the projected entitlement.</w:t>
      </w:r>
    </w:p>
    <w:p w14:paraId="48222954" w14:textId="77777777" w:rsidR="00ED2DD3" w:rsidRPr="00ED2DD3" w:rsidRDefault="00ED2DD3" w:rsidP="466EFB64">
      <w:pPr>
        <w:spacing w:after="0" w:line="240" w:lineRule="auto"/>
        <w:rPr>
          <w:rFonts w:ascii="Arial" w:eastAsia="Arial" w:hAnsi="Arial" w:cs="Arial"/>
          <w:highlight w:val="yellow"/>
        </w:rPr>
      </w:pPr>
    </w:p>
    <w:p w14:paraId="647DB3B5" w14:textId="77777777" w:rsidR="005C5027" w:rsidRPr="00ED2DD3" w:rsidRDefault="005C5027" w:rsidP="005C5027">
      <w:pPr>
        <w:spacing w:after="0" w:line="240" w:lineRule="auto"/>
        <w:rPr>
          <w:rFonts w:ascii="Arial" w:eastAsia="Arial" w:hAnsi="Arial" w:cs="Arial"/>
        </w:rPr>
      </w:pPr>
      <w:r w:rsidRPr="26E6F01F">
        <w:rPr>
          <w:rFonts w:ascii="Arial" w:eastAsia="Arial" w:hAnsi="Arial" w:cs="Arial"/>
        </w:rPr>
        <w:t>Homeless Transportation (7035-0008) is funded at $35.2M, a $6.5M increase from FY26 GAA.</w:t>
      </w:r>
    </w:p>
    <w:p w14:paraId="00F8233F" w14:textId="77777777" w:rsidR="00ED2DD3" w:rsidRPr="00ED2DD3" w:rsidRDefault="00ED2DD3" w:rsidP="466EFB64">
      <w:pPr>
        <w:spacing w:after="0" w:line="240" w:lineRule="auto"/>
        <w:rPr>
          <w:rFonts w:ascii="Arial" w:eastAsia="Arial" w:hAnsi="Arial" w:cs="Arial"/>
          <w:highlight w:val="yellow"/>
        </w:rPr>
      </w:pPr>
    </w:p>
    <w:bookmarkEnd w:id="6"/>
    <w:p w14:paraId="4A6CE541" w14:textId="77777777" w:rsidR="00ED2DD3" w:rsidRPr="00ED2DD3" w:rsidRDefault="00ED2DD3" w:rsidP="466EFB64">
      <w:pPr>
        <w:widowControl w:val="0"/>
        <w:numPr>
          <w:ilvl w:val="0"/>
          <w:numId w:val="1"/>
        </w:numPr>
        <w:spacing w:after="0" w:line="240" w:lineRule="auto"/>
        <w:ind w:left="720"/>
        <w:rPr>
          <w:rFonts w:ascii="Arial" w:eastAsia="Arial" w:hAnsi="Arial" w:cs="Arial"/>
          <w:b/>
          <w:bCs/>
        </w:rPr>
      </w:pPr>
      <w:r w:rsidRPr="466EFB64">
        <w:rPr>
          <w:rFonts w:ascii="Arial" w:eastAsia="Arial" w:hAnsi="Arial" w:cs="Arial"/>
          <w:b/>
          <w:bCs/>
        </w:rPr>
        <w:t>Other Program Funding Highlights</w:t>
      </w:r>
    </w:p>
    <w:p w14:paraId="4EA3BF63" w14:textId="77777777" w:rsidR="00ED2DD3" w:rsidRPr="00ED2DD3" w:rsidRDefault="00ED2DD3" w:rsidP="466EFB64">
      <w:pPr>
        <w:widowControl w:val="0"/>
        <w:spacing w:after="0" w:line="240" w:lineRule="auto"/>
        <w:rPr>
          <w:rFonts w:ascii="Arial" w:eastAsia="Arial" w:hAnsi="Arial" w:cs="Arial"/>
          <w:b/>
          <w:bCs/>
        </w:rPr>
      </w:pPr>
    </w:p>
    <w:p w14:paraId="34665365" w14:textId="77777777" w:rsidR="00ED2DD3" w:rsidRPr="00ED2DD3" w:rsidRDefault="00ED2DD3" w:rsidP="466EFB64">
      <w:pPr>
        <w:widowControl w:val="0"/>
        <w:spacing w:after="0" w:line="240" w:lineRule="auto"/>
        <w:rPr>
          <w:rFonts w:ascii="Arial" w:eastAsia="Arial" w:hAnsi="Arial" w:cs="Arial"/>
          <w:b/>
          <w:bCs/>
        </w:rPr>
      </w:pPr>
      <w:r w:rsidRPr="466EFB64">
        <w:rPr>
          <w:rFonts w:ascii="Arial" w:eastAsia="Arial" w:hAnsi="Arial" w:cs="Arial"/>
          <w:b/>
          <w:bCs/>
        </w:rPr>
        <w:t>School Nutrition</w:t>
      </w:r>
    </w:p>
    <w:p w14:paraId="549A26AD" w14:textId="77777777" w:rsidR="00ED2DD3" w:rsidRPr="00ED2DD3" w:rsidRDefault="00ED2DD3" w:rsidP="466EFB64">
      <w:pPr>
        <w:widowControl w:val="0"/>
        <w:spacing w:after="0" w:line="240" w:lineRule="auto"/>
        <w:rPr>
          <w:rFonts w:ascii="Arial" w:eastAsia="Arial" w:hAnsi="Arial" w:cs="Arial"/>
          <w:b/>
          <w:bCs/>
        </w:rPr>
      </w:pPr>
    </w:p>
    <w:p w14:paraId="2393A3A9" w14:textId="34C6FD9D" w:rsidR="007E799A" w:rsidRPr="00ED2DD3" w:rsidRDefault="00ED2DD3" w:rsidP="466EFB64">
      <w:pPr>
        <w:numPr>
          <w:ilvl w:val="0"/>
          <w:numId w:val="4"/>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t>1596-2422 Universal School Meals is funded at $19</w:t>
      </w:r>
      <w:r w:rsidR="3FC5803F" w:rsidRPr="466EFB64">
        <w:rPr>
          <w:rFonts w:ascii="Arial" w:eastAsia="Arial" w:hAnsi="Arial" w:cs="Arial"/>
          <w:color w:val="000000" w:themeColor="text1"/>
        </w:rPr>
        <w:t>8</w:t>
      </w:r>
      <w:r w:rsidRPr="466EFB64">
        <w:rPr>
          <w:rFonts w:ascii="Arial" w:eastAsia="Arial" w:hAnsi="Arial" w:cs="Arial"/>
          <w:color w:val="000000" w:themeColor="text1"/>
        </w:rPr>
        <w:t>M which is a $</w:t>
      </w:r>
      <w:r w:rsidR="11B42164" w:rsidRPr="466EFB64">
        <w:rPr>
          <w:rFonts w:ascii="Arial" w:eastAsia="Arial" w:hAnsi="Arial" w:cs="Arial"/>
          <w:color w:val="000000" w:themeColor="text1"/>
        </w:rPr>
        <w:t>6</w:t>
      </w:r>
      <w:r w:rsidRPr="466EFB64">
        <w:rPr>
          <w:rFonts w:ascii="Arial" w:eastAsia="Arial" w:hAnsi="Arial" w:cs="Arial"/>
          <w:color w:val="000000" w:themeColor="text1"/>
        </w:rPr>
        <w:t>M increase from FY2</w:t>
      </w:r>
      <w:r w:rsidR="11B42164" w:rsidRPr="466EFB64">
        <w:rPr>
          <w:rFonts w:ascii="Arial" w:eastAsia="Arial" w:hAnsi="Arial" w:cs="Arial"/>
          <w:color w:val="000000" w:themeColor="text1"/>
        </w:rPr>
        <w:t>6</w:t>
      </w:r>
      <w:r w:rsidR="003349A7">
        <w:rPr>
          <w:rFonts w:ascii="Arial" w:eastAsia="Arial" w:hAnsi="Arial" w:cs="Arial"/>
          <w:color w:val="000000" w:themeColor="text1"/>
        </w:rPr>
        <w:t xml:space="preserve"> General Ap</w:t>
      </w:r>
      <w:r w:rsidR="0071504D">
        <w:rPr>
          <w:rFonts w:ascii="Arial" w:eastAsia="Arial" w:hAnsi="Arial" w:cs="Arial"/>
          <w:color w:val="000000" w:themeColor="text1"/>
        </w:rPr>
        <w:t>propriations Act</w:t>
      </w:r>
      <w:r w:rsidRPr="466EFB64">
        <w:rPr>
          <w:rFonts w:ascii="Arial" w:eastAsia="Arial" w:hAnsi="Arial" w:cs="Arial"/>
          <w:color w:val="000000" w:themeColor="text1"/>
        </w:rPr>
        <w:t xml:space="preserve"> </w:t>
      </w:r>
      <w:r w:rsidR="0071504D">
        <w:rPr>
          <w:rFonts w:ascii="Arial" w:eastAsia="Arial" w:hAnsi="Arial" w:cs="Arial"/>
          <w:color w:val="000000" w:themeColor="text1"/>
        </w:rPr>
        <w:t>(</w:t>
      </w:r>
      <w:r w:rsidRPr="466EFB64">
        <w:rPr>
          <w:rFonts w:ascii="Arial" w:eastAsia="Arial" w:hAnsi="Arial" w:cs="Arial"/>
          <w:color w:val="000000" w:themeColor="text1"/>
        </w:rPr>
        <w:t>GAA</w:t>
      </w:r>
      <w:r w:rsidR="0071504D">
        <w:rPr>
          <w:rFonts w:ascii="Arial" w:eastAsia="Arial" w:hAnsi="Arial" w:cs="Arial"/>
          <w:color w:val="000000" w:themeColor="text1"/>
        </w:rPr>
        <w:t>)</w:t>
      </w:r>
      <w:r w:rsidRPr="466EFB64">
        <w:rPr>
          <w:rFonts w:ascii="Arial" w:eastAsia="Arial" w:hAnsi="Arial" w:cs="Arial"/>
          <w:color w:val="000000" w:themeColor="text1"/>
        </w:rPr>
        <w:t xml:space="preserve"> + FY25 Fair Share supplemental budget.</w:t>
      </w:r>
    </w:p>
    <w:p w14:paraId="715DB3FB" w14:textId="77777777" w:rsidR="00ED2DD3" w:rsidRPr="00ED2DD3" w:rsidRDefault="00ED2DD3" w:rsidP="466EFB64">
      <w:pPr>
        <w:spacing w:after="0" w:line="240" w:lineRule="auto"/>
        <w:contextualSpacing/>
        <w:rPr>
          <w:rFonts w:ascii="Arial" w:eastAsia="Arial" w:hAnsi="Arial" w:cs="Arial"/>
          <w:b/>
          <w:bCs/>
          <w:color w:val="000000" w:themeColor="text1"/>
        </w:rPr>
      </w:pPr>
    </w:p>
    <w:p w14:paraId="32CE8704" w14:textId="77777777" w:rsidR="00ED2DD3" w:rsidRPr="00ED2DD3" w:rsidRDefault="00ED2DD3" w:rsidP="466EFB64">
      <w:pPr>
        <w:spacing w:after="0" w:line="240" w:lineRule="auto"/>
        <w:contextualSpacing/>
        <w:rPr>
          <w:rFonts w:ascii="Arial" w:eastAsia="Arial" w:hAnsi="Arial" w:cs="Arial"/>
          <w:b/>
          <w:bCs/>
          <w:color w:val="000000" w:themeColor="text1"/>
        </w:rPr>
      </w:pPr>
      <w:r w:rsidRPr="466EFB64">
        <w:rPr>
          <w:rFonts w:ascii="Arial" w:eastAsia="Arial" w:hAnsi="Arial" w:cs="Arial"/>
          <w:b/>
          <w:bCs/>
          <w:color w:val="000000" w:themeColor="text1"/>
        </w:rPr>
        <w:t>Career and Adult Education</w:t>
      </w:r>
    </w:p>
    <w:p w14:paraId="381E6E68" w14:textId="77777777" w:rsidR="00ED2DD3" w:rsidRPr="00ED2DD3" w:rsidRDefault="00ED2DD3" w:rsidP="466EFB64">
      <w:pPr>
        <w:spacing w:after="0" w:line="240" w:lineRule="auto"/>
        <w:contextualSpacing/>
        <w:rPr>
          <w:rFonts w:ascii="Arial" w:eastAsia="Arial" w:hAnsi="Arial" w:cs="Arial"/>
          <w:b/>
          <w:bCs/>
          <w:color w:val="000000" w:themeColor="text1"/>
        </w:rPr>
      </w:pPr>
    </w:p>
    <w:p w14:paraId="027E7057" w14:textId="25B36DDE" w:rsidR="00ED2DD3" w:rsidRPr="00ED2DD3" w:rsidRDefault="00ED2DD3" w:rsidP="466EFB64">
      <w:pPr>
        <w:numPr>
          <w:ilvl w:val="0"/>
          <w:numId w:val="4"/>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t>7035-0002 Adult Basic Education is funded at $58.</w:t>
      </w:r>
      <w:r w:rsidR="2A8A8134" w:rsidRPr="466EFB64">
        <w:rPr>
          <w:rFonts w:ascii="Arial" w:eastAsia="Arial" w:hAnsi="Arial" w:cs="Arial"/>
          <w:color w:val="000000" w:themeColor="text1"/>
        </w:rPr>
        <w:t>4</w:t>
      </w:r>
      <w:r w:rsidRPr="466EFB64">
        <w:rPr>
          <w:rFonts w:ascii="Arial" w:eastAsia="Arial" w:hAnsi="Arial" w:cs="Arial"/>
          <w:color w:val="000000" w:themeColor="text1"/>
        </w:rPr>
        <w:t>M, plus 1596-2514 ABE Fair Share, totaling $67.5M, which is a $</w:t>
      </w:r>
      <w:r w:rsidR="5BE8D178" w:rsidRPr="466EFB64">
        <w:rPr>
          <w:rFonts w:ascii="Arial" w:eastAsia="Arial" w:hAnsi="Arial" w:cs="Arial"/>
          <w:color w:val="000000" w:themeColor="text1"/>
        </w:rPr>
        <w:t>5.</w:t>
      </w:r>
      <w:r w:rsidRPr="466EFB64">
        <w:rPr>
          <w:rFonts w:ascii="Arial" w:eastAsia="Arial" w:hAnsi="Arial" w:cs="Arial"/>
          <w:color w:val="000000" w:themeColor="text1"/>
        </w:rPr>
        <w:t xml:space="preserve">6M </w:t>
      </w:r>
      <w:r w:rsidR="00533EB4">
        <w:rPr>
          <w:rFonts w:ascii="Arial" w:eastAsia="Arial" w:hAnsi="Arial" w:cs="Arial"/>
          <w:color w:val="000000" w:themeColor="text1"/>
        </w:rPr>
        <w:t>de</w:t>
      </w:r>
      <w:r w:rsidRPr="466EFB64">
        <w:rPr>
          <w:rFonts w:ascii="Arial" w:eastAsia="Arial" w:hAnsi="Arial" w:cs="Arial"/>
          <w:color w:val="000000" w:themeColor="text1"/>
        </w:rPr>
        <w:t>crease from the FY2</w:t>
      </w:r>
      <w:r w:rsidR="5BE8D178" w:rsidRPr="466EFB64">
        <w:rPr>
          <w:rFonts w:ascii="Arial" w:eastAsia="Arial" w:hAnsi="Arial" w:cs="Arial"/>
          <w:color w:val="000000" w:themeColor="text1"/>
        </w:rPr>
        <w:t>6</w:t>
      </w:r>
      <w:r w:rsidRPr="466EFB64">
        <w:rPr>
          <w:rFonts w:ascii="Arial" w:eastAsia="Arial" w:hAnsi="Arial" w:cs="Arial"/>
          <w:color w:val="000000" w:themeColor="text1"/>
        </w:rPr>
        <w:t xml:space="preserve"> GAA.   </w:t>
      </w:r>
    </w:p>
    <w:p w14:paraId="47A863F1" w14:textId="109FC7C7" w:rsidR="00ED2DD3" w:rsidRPr="00ED2DD3" w:rsidRDefault="00ED2DD3" w:rsidP="466EFB64">
      <w:pPr>
        <w:numPr>
          <w:ilvl w:val="0"/>
          <w:numId w:val="4"/>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t>7027-0019 School-To-Work Connecting Activities Act is funded at $6.</w:t>
      </w:r>
      <w:r w:rsidR="2186227A" w:rsidRPr="466EFB64">
        <w:rPr>
          <w:rFonts w:ascii="Arial" w:eastAsia="Arial" w:hAnsi="Arial" w:cs="Arial"/>
          <w:color w:val="000000" w:themeColor="text1"/>
        </w:rPr>
        <w:t>47</w:t>
      </w:r>
      <w:r w:rsidRPr="466EFB64">
        <w:rPr>
          <w:rFonts w:ascii="Arial" w:eastAsia="Arial" w:hAnsi="Arial" w:cs="Arial"/>
          <w:color w:val="000000" w:themeColor="text1"/>
        </w:rPr>
        <w:t xml:space="preserve">M which equals funding in </w:t>
      </w:r>
      <w:r w:rsidR="00ED05DF">
        <w:rPr>
          <w:rFonts w:ascii="Arial" w:eastAsia="Arial" w:hAnsi="Arial" w:cs="Arial"/>
          <w:color w:val="000000" w:themeColor="text1"/>
        </w:rPr>
        <w:t xml:space="preserve">the </w:t>
      </w:r>
      <w:r w:rsidR="00383FFD">
        <w:rPr>
          <w:rFonts w:ascii="Arial" w:eastAsia="Arial" w:hAnsi="Arial" w:cs="Arial"/>
          <w:color w:val="000000" w:themeColor="text1"/>
        </w:rPr>
        <w:t xml:space="preserve">Governor’s </w:t>
      </w:r>
      <w:r w:rsidR="003F566B">
        <w:rPr>
          <w:rFonts w:ascii="Arial" w:eastAsia="Arial" w:hAnsi="Arial" w:cs="Arial"/>
          <w:color w:val="000000" w:themeColor="text1"/>
        </w:rPr>
        <w:t>budget recommendation</w:t>
      </w:r>
      <w:r w:rsidR="00825134">
        <w:rPr>
          <w:rFonts w:ascii="Arial" w:eastAsia="Arial" w:hAnsi="Arial" w:cs="Arial"/>
          <w:color w:val="000000" w:themeColor="text1"/>
        </w:rPr>
        <w:t>/House 2 (</w:t>
      </w:r>
      <w:r w:rsidRPr="466EFB64">
        <w:rPr>
          <w:rFonts w:ascii="Arial" w:eastAsia="Arial" w:hAnsi="Arial" w:cs="Arial"/>
          <w:color w:val="000000" w:themeColor="text1"/>
        </w:rPr>
        <w:t>H.</w:t>
      </w:r>
      <w:r w:rsidR="2186227A" w:rsidRPr="466EFB64">
        <w:rPr>
          <w:rFonts w:ascii="Arial" w:eastAsia="Arial" w:hAnsi="Arial" w:cs="Arial"/>
          <w:color w:val="000000" w:themeColor="text1"/>
        </w:rPr>
        <w:t>2</w:t>
      </w:r>
      <w:r w:rsidR="00825134">
        <w:rPr>
          <w:rFonts w:ascii="Arial" w:eastAsia="Arial" w:hAnsi="Arial" w:cs="Arial"/>
          <w:color w:val="000000" w:themeColor="text1"/>
        </w:rPr>
        <w:t>)</w:t>
      </w:r>
      <w:r w:rsidRPr="466EFB64">
        <w:rPr>
          <w:rFonts w:ascii="Arial" w:eastAsia="Arial" w:hAnsi="Arial" w:cs="Arial"/>
          <w:color w:val="000000" w:themeColor="text1"/>
        </w:rPr>
        <w:t xml:space="preserve"> and a $</w:t>
      </w:r>
      <w:r w:rsidR="11982994" w:rsidRPr="466EFB64">
        <w:rPr>
          <w:rFonts w:ascii="Arial" w:eastAsia="Arial" w:hAnsi="Arial" w:cs="Arial"/>
          <w:color w:val="000000" w:themeColor="text1"/>
        </w:rPr>
        <w:t>559K</w:t>
      </w:r>
      <w:r w:rsidR="00B60DA7">
        <w:rPr>
          <w:rFonts w:ascii="Arial" w:eastAsia="Arial" w:hAnsi="Arial" w:cs="Arial"/>
          <w:color w:val="000000" w:themeColor="text1"/>
        </w:rPr>
        <w:t xml:space="preserve"> </w:t>
      </w:r>
      <w:r w:rsidRPr="466EFB64">
        <w:rPr>
          <w:rFonts w:ascii="Arial" w:eastAsia="Arial" w:hAnsi="Arial" w:cs="Arial"/>
          <w:color w:val="000000" w:themeColor="text1"/>
        </w:rPr>
        <w:t>decrease from the FY2</w:t>
      </w:r>
      <w:r w:rsidR="11982994" w:rsidRPr="466EFB64">
        <w:rPr>
          <w:rFonts w:ascii="Arial" w:eastAsia="Arial" w:hAnsi="Arial" w:cs="Arial"/>
          <w:color w:val="000000" w:themeColor="text1"/>
        </w:rPr>
        <w:t>6</w:t>
      </w:r>
      <w:r w:rsidRPr="466EFB64">
        <w:rPr>
          <w:rFonts w:ascii="Arial" w:eastAsia="Arial" w:hAnsi="Arial" w:cs="Arial"/>
          <w:color w:val="000000" w:themeColor="text1"/>
        </w:rPr>
        <w:t xml:space="preserve"> GAA.                                                                       </w:t>
      </w:r>
    </w:p>
    <w:p w14:paraId="220EE015" w14:textId="2E021F61" w:rsidR="00ED2DD3" w:rsidRPr="00ED2DD3" w:rsidRDefault="00ED2DD3" w:rsidP="466EFB64">
      <w:pPr>
        <w:numPr>
          <w:ilvl w:val="0"/>
          <w:numId w:val="4"/>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t>7027-0020 Career Technical Partnership Grants (Innovation Pathways) is funded at $4.</w:t>
      </w:r>
      <w:r w:rsidR="0FBFBBA3" w:rsidRPr="466EFB64">
        <w:rPr>
          <w:rFonts w:ascii="Arial" w:eastAsia="Arial" w:hAnsi="Arial" w:cs="Arial"/>
          <w:color w:val="000000" w:themeColor="text1"/>
        </w:rPr>
        <w:t>76</w:t>
      </w:r>
      <w:r w:rsidRPr="466EFB64">
        <w:rPr>
          <w:rFonts w:ascii="Arial" w:eastAsia="Arial" w:hAnsi="Arial" w:cs="Arial"/>
          <w:color w:val="000000" w:themeColor="text1"/>
        </w:rPr>
        <w:t>M which equals funding in H.</w:t>
      </w:r>
      <w:r w:rsidR="0FBFBBA3" w:rsidRPr="466EFB64">
        <w:rPr>
          <w:rFonts w:ascii="Arial" w:eastAsia="Arial" w:hAnsi="Arial" w:cs="Arial"/>
          <w:color w:val="000000" w:themeColor="text1"/>
        </w:rPr>
        <w:t>2</w:t>
      </w:r>
      <w:r w:rsidRPr="466EFB64">
        <w:rPr>
          <w:rFonts w:ascii="Arial" w:eastAsia="Arial" w:hAnsi="Arial" w:cs="Arial"/>
          <w:color w:val="000000" w:themeColor="text1"/>
        </w:rPr>
        <w:t xml:space="preserve"> and a $</w:t>
      </w:r>
      <w:r w:rsidR="510C2706" w:rsidRPr="466EFB64">
        <w:rPr>
          <w:rFonts w:ascii="Arial" w:eastAsia="Arial" w:hAnsi="Arial" w:cs="Arial"/>
          <w:color w:val="000000" w:themeColor="text1"/>
        </w:rPr>
        <w:t>44</w:t>
      </w:r>
      <w:r w:rsidRPr="466EFB64">
        <w:rPr>
          <w:rFonts w:ascii="Arial" w:eastAsia="Arial" w:hAnsi="Arial" w:cs="Arial"/>
          <w:color w:val="000000" w:themeColor="text1"/>
        </w:rPr>
        <w:t>K decrease from the FY2</w:t>
      </w:r>
      <w:r w:rsidR="510C2706" w:rsidRPr="466EFB64">
        <w:rPr>
          <w:rFonts w:ascii="Arial" w:eastAsia="Arial" w:hAnsi="Arial" w:cs="Arial"/>
          <w:color w:val="000000" w:themeColor="text1"/>
        </w:rPr>
        <w:t>6</w:t>
      </w:r>
      <w:r w:rsidRPr="466EFB64">
        <w:rPr>
          <w:rFonts w:ascii="Arial" w:eastAsia="Arial" w:hAnsi="Arial" w:cs="Arial"/>
          <w:color w:val="000000" w:themeColor="text1"/>
        </w:rPr>
        <w:t xml:space="preserve"> GAA.</w:t>
      </w:r>
    </w:p>
    <w:p w14:paraId="2FB753B5" w14:textId="3CF8181D" w:rsidR="00ED2DD3" w:rsidRPr="00ED2DD3" w:rsidRDefault="00ED2DD3" w:rsidP="466EFB64">
      <w:pPr>
        <w:numPr>
          <w:ilvl w:val="0"/>
          <w:numId w:val="4"/>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lastRenderedPageBreak/>
        <w:t>7035-0001 Career and Technical Education Program is funded at $3.</w:t>
      </w:r>
      <w:r w:rsidR="6004C68C" w:rsidRPr="466EFB64">
        <w:rPr>
          <w:rFonts w:ascii="Arial" w:eastAsia="Arial" w:hAnsi="Arial" w:cs="Arial"/>
          <w:color w:val="000000" w:themeColor="text1"/>
        </w:rPr>
        <w:t>08</w:t>
      </w:r>
      <w:r w:rsidRPr="466EFB64">
        <w:rPr>
          <w:rFonts w:ascii="Arial" w:eastAsia="Arial" w:hAnsi="Arial" w:cs="Arial"/>
          <w:color w:val="000000" w:themeColor="text1"/>
        </w:rPr>
        <w:t>M which equals funding in H.</w:t>
      </w:r>
      <w:r w:rsidR="6004C68C" w:rsidRPr="466EFB64">
        <w:rPr>
          <w:rFonts w:ascii="Arial" w:eastAsia="Arial" w:hAnsi="Arial" w:cs="Arial"/>
          <w:color w:val="000000" w:themeColor="text1"/>
        </w:rPr>
        <w:t>2</w:t>
      </w:r>
      <w:r w:rsidRPr="466EFB64">
        <w:rPr>
          <w:rFonts w:ascii="Arial" w:eastAsia="Arial" w:hAnsi="Arial" w:cs="Arial"/>
          <w:color w:val="000000" w:themeColor="text1"/>
        </w:rPr>
        <w:t xml:space="preserve"> and a $</w:t>
      </w:r>
      <w:r w:rsidR="03598848" w:rsidRPr="466EFB64">
        <w:rPr>
          <w:rFonts w:ascii="Arial" w:eastAsia="Arial" w:hAnsi="Arial" w:cs="Arial"/>
          <w:color w:val="000000" w:themeColor="text1"/>
        </w:rPr>
        <w:t>66</w:t>
      </w:r>
      <w:r w:rsidRPr="466EFB64">
        <w:rPr>
          <w:rFonts w:ascii="Arial" w:eastAsia="Arial" w:hAnsi="Arial" w:cs="Arial"/>
          <w:color w:val="000000" w:themeColor="text1"/>
        </w:rPr>
        <w:t>K decrease from FY2</w:t>
      </w:r>
      <w:r w:rsidR="03598848" w:rsidRPr="466EFB64">
        <w:rPr>
          <w:rFonts w:ascii="Arial" w:eastAsia="Arial" w:hAnsi="Arial" w:cs="Arial"/>
          <w:color w:val="000000" w:themeColor="text1"/>
        </w:rPr>
        <w:t>6</w:t>
      </w:r>
      <w:r w:rsidRPr="466EFB64">
        <w:rPr>
          <w:rFonts w:ascii="Arial" w:eastAsia="Arial" w:hAnsi="Arial" w:cs="Arial"/>
          <w:color w:val="000000" w:themeColor="text1"/>
        </w:rPr>
        <w:t xml:space="preserve"> GAA.     </w:t>
      </w:r>
    </w:p>
    <w:p w14:paraId="27130492" w14:textId="2B4833F9" w:rsidR="00ED2DD3" w:rsidRPr="00ED2DD3" w:rsidRDefault="00ED2DD3" w:rsidP="466EFB64">
      <w:pPr>
        <w:numPr>
          <w:ilvl w:val="0"/>
          <w:numId w:val="4"/>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t>7061-9406 College and Career Readiness Program (JFY Net</w:t>
      </w:r>
      <w:r w:rsidR="5D189766" w:rsidRPr="466EFB64">
        <w:rPr>
          <w:rFonts w:ascii="Arial" w:eastAsia="Arial" w:hAnsi="Arial" w:cs="Arial"/>
          <w:color w:val="000000" w:themeColor="text1"/>
        </w:rPr>
        <w:t>w</w:t>
      </w:r>
      <w:r w:rsidRPr="466EFB64">
        <w:rPr>
          <w:rFonts w:ascii="Arial" w:eastAsia="Arial" w:hAnsi="Arial" w:cs="Arial"/>
          <w:color w:val="000000" w:themeColor="text1"/>
        </w:rPr>
        <w:t>ork earmark) is funded at $875K which is a $875K increase from FY2</w:t>
      </w:r>
      <w:r w:rsidR="03598848" w:rsidRPr="466EFB64">
        <w:rPr>
          <w:rFonts w:ascii="Arial" w:eastAsia="Arial" w:hAnsi="Arial" w:cs="Arial"/>
          <w:color w:val="000000" w:themeColor="text1"/>
        </w:rPr>
        <w:t>7</w:t>
      </w:r>
      <w:r w:rsidRPr="466EFB64">
        <w:rPr>
          <w:rFonts w:ascii="Arial" w:eastAsia="Arial" w:hAnsi="Arial" w:cs="Arial"/>
          <w:color w:val="000000" w:themeColor="text1"/>
        </w:rPr>
        <w:t xml:space="preserve"> H.</w:t>
      </w:r>
      <w:r w:rsidR="03598848" w:rsidRPr="466EFB64">
        <w:rPr>
          <w:rFonts w:ascii="Arial" w:eastAsia="Arial" w:hAnsi="Arial" w:cs="Arial"/>
          <w:color w:val="000000" w:themeColor="text1"/>
        </w:rPr>
        <w:t>2</w:t>
      </w:r>
      <w:r w:rsidRPr="466EFB64">
        <w:rPr>
          <w:rFonts w:ascii="Arial" w:eastAsia="Arial" w:hAnsi="Arial" w:cs="Arial"/>
          <w:color w:val="000000" w:themeColor="text1"/>
        </w:rPr>
        <w:t xml:space="preserve"> and </w:t>
      </w:r>
      <w:r w:rsidR="03598848" w:rsidRPr="466EFB64">
        <w:rPr>
          <w:rFonts w:ascii="Arial" w:eastAsia="Arial" w:hAnsi="Arial" w:cs="Arial"/>
          <w:color w:val="000000" w:themeColor="text1"/>
        </w:rPr>
        <w:t>f</w:t>
      </w:r>
      <w:r w:rsidRPr="466EFB64">
        <w:rPr>
          <w:rFonts w:ascii="Arial" w:eastAsia="Arial" w:hAnsi="Arial" w:cs="Arial"/>
          <w:color w:val="000000" w:themeColor="text1"/>
        </w:rPr>
        <w:t>rom the FY2</w:t>
      </w:r>
      <w:r w:rsidR="03598848" w:rsidRPr="466EFB64">
        <w:rPr>
          <w:rFonts w:ascii="Arial" w:eastAsia="Arial" w:hAnsi="Arial" w:cs="Arial"/>
          <w:color w:val="000000" w:themeColor="text1"/>
        </w:rPr>
        <w:t>6</w:t>
      </w:r>
      <w:r w:rsidRPr="466EFB64">
        <w:rPr>
          <w:rFonts w:ascii="Arial" w:eastAsia="Arial" w:hAnsi="Arial" w:cs="Arial"/>
          <w:color w:val="000000" w:themeColor="text1"/>
        </w:rPr>
        <w:t xml:space="preserve"> GAA.</w:t>
      </w:r>
    </w:p>
    <w:p w14:paraId="5172A91C" w14:textId="1C70EC34" w:rsidR="00ED2DD3" w:rsidRPr="00ED2DD3" w:rsidRDefault="00ED2DD3" w:rsidP="466EFB64">
      <w:pPr>
        <w:spacing w:after="0" w:line="240" w:lineRule="auto"/>
        <w:ind w:left="720"/>
        <w:contextualSpacing/>
        <w:rPr>
          <w:rFonts w:ascii="Arial" w:eastAsia="Arial" w:hAnsi="Arial" w:cs="Arial"/>
          <w:color w:val="000000" w:themeColor="text1"/>
        </w:rPr>
      </w:pPr>
    </w:p>
    <w:p w14:paraId="36CE72BC" w14:textId="77777777" w:rsidR="00ED2DD3" w:rsidRPr="00ED2DD3" w:rsidRDefault="00ED2DD3" w:rsidP="466EFB64">
      <w:pPr>
        <w:spacing w:after="0" w:line="240" w:lineRule="auto"/>
        <w:rPr>
          <w:rFonts w:ascii="Arial" w:eastAsia="Arial" w:hAnsi="Arial" w:cs="Arial"/>
          <w:b/>
          <w:bCs/>
          <w:color w:val="000000" w:themeColor="text1"/>
        </w:rPr>
      </w:pPr>
      <w:r w:rsidRPr="466EFB64">
        <w:rPr>
          <w:rFonts w:ascii="Arial" w:eastAsia="Arial" w:hAnsi="Arial" w:cs="Arial"/>
          <w:b/>
          <w:bCs/>
          <w:color w:val="000000" w:themeColor="text1"/>
        </w:rPr>
        <w:t>Literacy</w:t>
      </w:r>
    </w:p>
    <w:p w14:paraId="29146ECA" w14:textId="77777777" w:rsidR="00ED2DD3" w:rsidRPr="00ED2DD3" w:rsidRDefault="00ED2DD3" w:rsidP="466EFB64">
      <w:pPr>
        <w:spacing w:after="0" w:line="240" w:lineRule="auto"/>
        <w:rPr>
          <w:rFonts w:ascii="Arial" w:eastAsia="Arial" w:hAnsi="Arial" w:cs="Arial"/>
          <w:color w:val="000000" w:themeColor="text1"/>
        </w:rPr>
      </w:pPr>
    </w:p>
    <w:p w14:paraId="0FEB02B8" w14:textId="26323C99" w:rsidR="00ED2DD3" w:rsidRPr="00ED2DD3" w:rsidRDefault="00ED2DD3" w:rsidP="466EFB64">
      <w:pPr>
        <w:numPr>
          <w:ilvl w:val="0"/>
          <w:numId w:val="8"/>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t>7010-0033 Consolidated Literacy Programs is funded at $5.7M, and except for an earmark of $440K is consistent with H.</w:t>
      </w:r>
      <w:r w:rsidR="0A10D3DA" w:rsidRPr="466EFB64">
        <w:rPr>
          <w:rFonts w:ascii="Arial" w:eastAsia="Arial" w:hAnsi="Arial" w:cs="Arial"/>
          <w:color w:val="000000" w:themeColor="text1"/>
        </w:rPr>
        <w:t>2 proposal</w:t>
      </w:r>
      <w:r w:rsidRPr="466EFB64">
        <w:rPr>
          <w:rFonts w:ascii="Arial" w:eastAsia="Arial" w:hAnsi="Arial" w:cs="Arial"/>
          <w:color w:val="000000" w:themeColor="text1"/>
        </w:rPr>
        <w:t>.</w:t>
      </w:r>
    </w:p>
    <w:p w14:paraId="45D3FD53" w14:textId="5D0580CB" w:rsidR="00ED2DD3" w:rsidRPr="00ED2DD3" w:rsidRDefault="19E75C0C" w:rsidP="466EFB64">
      <w:pPr>
        <w:numPr>
          <w:ilvl w:val="0"/>
          <w:numId w:val="8"/>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t xml:space="preserve">HWM did not include any FY27 funding for </w:t>
      </w:r>
      <w:r w:rsidR="10206BA3" w:rsidRPr="466EFB64">
        <w:rPr>
          <w:rFonts w:ascii="Arial" w:eastAsia="Arial" w:hAnsi="Arial" w:cs="Arial"/>
          <w:color w:val="000000" w:themeColor="text1"/>
        </w:rPr>
        <w:t>EOE’s</w:t>
      </w:r>
      <w:r w:rsidRPr="466EFB64">
        <w:rPr>
          <w:rFonts w:ascii="Arial" w:eastAsia="Arial" w:hAnsi="Arial" w:cs="Arial"/>
          <w:color w:val="000000" w:themeColor="text1"/>
        </w:rPr>
        <w:t xml:space="preserve"> </w:t>
      </w:r>
      <w:r w:rsidR="00393E0C">
        <w:rPr>
          <w:rFonts w:ascii="Arial" w:eastAsia="Arial" w:hAnsi="Arial" w:cs="Arial"/>
          <w:color w:val="000000" w:themeColor="text1"/>
        </w:rPr>
        <w:t xml:space="preserve">1596-2437 </w:t>
      </w:r>
      <w:r w:rsidRPr="466EFB64">
        <w:rPr>
          <w:rFonts w:ascii="Arial" w:eastAsia="Arial" w:hAnsi="Arial" w:cs="Arial"/>
          <w:color w:val="000000" w:themeColor="text1"/>
        </w:rPr>
        <w:t xml:space="preserve">Literacy Launch nor </w:t>
      </w:r>
      <w:r w:rsidR="10206BA3" w:rsidRPr="466EFB64">
        <w:rPr>
          <w:rFonts w:ascii="Arial" w:eastAsia="Arial" w:hAnsi="Arial" w:cs="Arial"/>
          <w:color w:val="000000" w:themeColor="text1"/>
        </w:rPr>
        <w:t>DESE’s</w:t>
      </w:r>
      <w:r w:rsidRPr="466EFB64">
        <w:rPr>
          <w:rFonts w:ascii="Arial" w:eastAsia="Arial" w:hAnsi="Arial" w:cs="Arial"/>
          <w:color w:val="000000" w:themeColor="text1"/>
        </w:rPr>
        <w:t xml:space="preserve"> </w:t>
      </w:r>
      <w:r w:rsidR="003133B3">
        <w:rPr>
          <w:rFonts w:ascii="Arial" w:eastAsia="Arial" w:hAnsi="Arial" w:cs="Arial"/>
          <w:color w:val="000000" w:themeColor="text1"/>
        </w:rPr>
        <w:t>1596-</w:t>
      </w:r>
      <w:r w:rsidR="007E7E33">
        <w:rPr>
          <w:rFonts w:ascii="Arial" w:eastAsia="Arial" w:hAnsi="Arial" w:cs="Arial"/>
          <w:color w:val="000000" w:themeColor="text1"/>
        </w:rPr>
        <w:t xml:space="preserve">2515 </w:t>
      </w:r>
      <w:r w:rsidRPr="466EFB64">
        <w:rPr>
          <w:rFonts w:ascii="Arial" w:eastAsia="Arial" w:hAnsi="Arial" w:cs="Arial"/>
          <w:color w:val="000000" w:themeColor="text1"/>
        </w:rPr>
        <w:t xml:space="preserve">High Dosage Tutoring </w:t>
      </w:r>
      <w:r w:rsidR="10206BA3" w:rsidRPr="466EFB64">
        <w:rPr>
          <w:rFonts w:ascii="Arial" w:eastAsia="Arial" w:hAnsi="Arial" w:cs="Arial"/>
          <w:color w:val="000000" w:themeColor="text1"/>
        </w:rPr>
        <w:t>accounts.</w:t>
      </w:r>
    </w:p>
    <w:p w14:paraId="49B2CBA1" w14:textId="0FD73C84" w:rsidR="00ED2DD3" w:rsidRPr="00ED2DD3" w:rsidRDefault="00ED2DD3" w:rsidP="466EFB64">
      <w:pPr>
        <w:spacing w:after="0" w:line="240" w:lineRule="auto"/>
        <w:rPr>
          <w:rFonts w:ascii="Arial" w:eastAsia="Arial" w:hAnsi="Arial" w:cs="Arial"/>
          <w:color w:val="000000" w:themeColor="text1"/>
        </w:rPr>
      </w:pPr>
    </w:p>
    <w:p w14:paraId="6B3AC52A" w14:textId="77777777" w:rsidR="00ED2DD3" w:rsidRPr="00ED2DD3" w:rsidRDefault="00ED2DD3" w:rsidP="466EFB64">
      <w:pPr>
        <w:spacing w:after="0" w:line="240" w:lineRule="auto"/>
        <w:rPr>
          <w:rFonts w:ascii="Arial" w:eastAsia="Arial" w:hAnsi="Arial" w:cs="Arial"/>
          <w:b/>
          <w:bCs/>
          <w:color w:val="000000" w:themeColor="text1"/>
        </w:rPr>
      </w:pPr>
      <w:r w:rsidRPr="466EFB64">
        <w:rPr>
          <w:rFonts w:ascii="Arial" w:eastAsia="Arial" w:hAnsi="Arial" w:cs="Arial"/>
          <w:b/>
          <w:bCs/>
          <w:color w:val="000000" w:themeColor="text1"/>
        </w:rPr>
        <w:t>Social &amp; Emotional Supports</w:t>
      </w:r>
    </w:p>
    <w:p w14:paraId="48AAC8C1" w14:textId="77777777" w:rsidR="00ED2DD3" w:rsidRPr="00ED2DD3" w:rsidRDefault="00ED2DD3" w:rsidP="466EFB64">
      <w:pPr>
        <w:spacing w:after="0" w:line="240" w:lineRule="auto"/>
        <w:rPr>
          <w:rFonts w:ascii="Arial" w:eastAsia="Arial" w:hAnsi="Arial" w:cs="Arial"/>
          <w:b/>
          <w:bCs/>
          <w:color w:val="000000" w:themeColor="text1"/>
        </w:rPr>
      </w:pPr>
    </w:p>
    <w:p w14:paraId="5AE46E8D" w14:textId="1183DE87" w:rsidR="00ED2DD3" w:rsidRPr="00ED2DD3" w:rsidRDefault="00ED2DD3" w:rsidP="466EFB64">
      <w:pPr>
        <w:numPr>
          <w:ilvl w:val="0"/>
          <w:numId w:val="9"/>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t>1596-2436 Mental Health Systems and Wraparounds is not funded in the HWM budget, which is a $</w:t>
      </w:r>
      <w:r w:rsidR="76174D70" w:rsidRPr="466EFB64">
        <w:rPr>
          <w:rFonts w:ascii="Arial" w:eastAsia="Arial" w:hAnsi="Arial" w:cs="Arial"/>
          <w:color w:val="000000" w:themeColor="text1"/>
        </w:rPr>
        <w:t>6</w:t>
      </w:r>
      <w:r w:rsidRPr="466EFB64">
        <w:rPr>
          <w:rFonts w:ascii="Arial" w:eastAsia="Arial" w:hAnsi="Arial" w:cs="Arial"/>
          <w:color w:val="000000" w:themeColor="text1"/>
        </w:rPr>
        <w:t>M decrease from FY2</w:t>
      </w:r>
      <w:r w:rsidR="400E4088" w:rsidRPr="466EFB64">
        <w:rPr>
          <w:rFonts w:ascii="Arial" w:eastAsia="Arial" w:hAnsi="Arial" w:cs="Arial"/>
          <w:color w:val="000000" w:themeColor="text1"/>
        </w:rPr>
        <w:t>7</w:t>
      </w:r>
      <w:r w:rsidRPr="466EFB64">
        <w:rPr>
          <w:rFonts w:ascii="Arial" w:eastAsia="Arial" w:hAnsi="Arial" w:cs="Arial"/>
          <w:color w:val="000000" w:themeColor="text1"/>
        </w:rPr>
        <w:t xml:space="preserve"> H.</w:t>
      </w:r>
      <w:r w:rsidR="400E4088" w:rsidRPr="466EFB64">
        <w:rPr>
          <w:rFonts w:ascii="Arial" w:eastAsia="Arial" w:hAnsi="Arial" w:cs="Arial"/>
          <w:color w:val="000000" w:themeColor="text1"/>
        </w:rPr>
        <w:t>2</w:t>
      </w:r>
      <w:r w:rsidR="1FA5AE21" w:rsidRPr="466EFB64">
        <w:rPr>
          <w:rFonts w:ascii="Arial" w:eastAsia="Arial" w:hAnsi="Arial" w:cs="Arial"/>
          <w:color w:val="000000" w:themeColor="text1"/>
        </w:rPr>
        <w:t>.</w:t>
      </w:r>
    </w:p>
    <w:p w14:paraId="0871FA48" w14:textId="7191E13D" w:rsidR="00ED2DD3" w:rsidRPr="00ED2DD3" w:rsidRDefault="00ED2DD3" w:rsidP="466EFB64">
      <w:pPr>
        <w:numPr>
          <w:ilvl w:val="0"/>
          <w:numId w:val="9"/>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t>7061-0028 Social Emotional Learning Grants is not funded in the HWM budget, which is a $</w:t>
      </w:r>
      <w:r w:rsidR="400E4088" w:rsidRPr="466EFB64">
        <w:rPr>
          <w:rFonts w:ascii="Arial" w:eastAsia="Arial" w:hAnsi="Arial" w:cs="Arial"/>
          <w:color w:val="000000" w:themeColor="text1"/>
        </w:rPr>
        <w:t>3</w:t>
      </w:r>
      <w:r w:rsidRPr="466EFB64">
        <w:rPr>
          <w:rFonts w:ascii="Arial" w:eastAsia="Arial" w:hAnsi="Arial" w:cs="Arial"/>
          <w:color w:val="000000" w:themeColor="text1"/>
        </w:rPr>
        <w:t xml:space="preserve">M decrease from </w:t>
      </w:r>
      <w:r w:rsidR="13D31019" w:rsidRPr="466EFB64">
        <w:rPr>
          <w:rFonts w:ascii="Arial" w:eastAsia="Arial" w:hAnsi="Arial" w:cs="Arial"/>
          <w:color w:val="000000" w:themeColor="text1"/>
        </w:rPr>
        <w:t xml:space="preserve">FY27 </w:t>
      </w:r>
      <w:r w:rsidRPr="466EFB64">
        <w:rPr>
          <w:rFonts w:ascii="Arial" w:eastAsia="Arial" w:hAnsi="Arial" w:cs="Arial"/>
          <w:color w:val="000000" w:themeColor="text1"/>
        </w:rPr>
        <w:t>H.</w:t>
      </w:r>
      <w:r w:rsidR="13D31019" w:rsidRPr="466EFB64">
        <w:rPr>
          <w:rFonts w:ascii="Arial" w:eastAsia="Arial" w:hAnsi="Arial" w:cs="Arial"/>
          <w:color w:val="000000" w:themeColor="text1"/>
        </w:rPr>
        <w:t>2 proposal</w:t>
      </w:r>
      <w:r w:rsidR="76174D70" w:rsidRPr="466EFB64">
        <w:rPr>
          <w:rFonts w:ascii="Arial" w:eastAsia="Arial" w:hAnsi="Arial" w:cs="Arial"/>
          <w:color w:val="000000" w:themeColor="text1"/>
        </w:rPr>
        <w:t xml:space="preserve"> and FY26 GAA</w:t>
      </w:r>
      <w:r w:rsidRPr="466EFB64">
        <w:rPr>
          <w:rFonts w:ascii="Arial" w:eastAsia="Arial" w:hAnsi="Arial" w:cs="Arial"/>
          <w:color w:val="000000" w:themeColor="text1"/>
        </w:rPr>
        <w:t>.</w:t>
      </w:r>
    </w:p>
    <w:p w14:paraId="179B5494" w14:textId="75E5B67E" w:rsidR="00ED2DD3" w:rsidRPr="00ED2DD3" w:rsidRDefault="00ED2DD3" w:rsidP="466EFB64">
      <w:pPr>
        <w:numPr>
          <w:ilvl w:val="0"/>
          <w:numId w:val="9"/>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t>7061-9650 Supporting Healthy Alliances Reinforcing Education (SHARE) Grant Program is funded at $1M which is a $</w:t>
      </w:r>
      <w:r w:rsidR="7801FE09" w:rsidRPr="466EFB64">
        <w:rPr>
          <w:rFonts w:ascii="Arial" w:eastAsia="Arial" w:hAnsi="Arial" w:cs="Arial"/>
          <w:color w:val="000000" w:themeColor="text1"/>
        </w:rPr>
        <w:t>500K</w:t>
      </w:r>
      <w:r w:rsidRPr="466EFB64">
        <w:rPr>
          <w:rFonts w:ascii="Arial" w:eastAsia="Arial" w:hAnsi="Arial" w:cs="Arial"/>
          <w:color w:val="000000" w:themeColor="text1"/>
        </w:rPr>
        <w:t xml:space="preserve"> increase from </w:t>
      </w:r>
      <w:r w:rsidR="7801FE09" w:rsidRPr="466EFB64">
        <w:rPr>
          <w:rFonts w:ascii="Arial" w:eastAsia="Arial" w:hAnsi="Arial" w:cs="Arial"/>
          <w:color w:val="000000" w:themeColor="text1"/>
        </w:rPr>
        <w:t xml:space="preserve">FY27 </w:t>
      </w:r>
      <w:r w:rsidRPr="466EFB64">
        <w:rPr>
          <w:rFonts w:ascii="Arial" w:eastAsia="Arial" w:hAnsi="Arial" w:cs="Arial"/>
          <w:color w:val="000000" w:themeColor="text1"/>
        </w:rPr>
        <w:t>H.</w:t>
      </w:r>
      <w:r w:rsidR="7801FE09" w:rsidRPr="466EFB64">
        <w:rPr>
          <w:rFonts w:ascii="Arial" w:eastAsia="Arial" w:hAnsi="Arial" w:cs="Arial"/>
          <w:color w:val="000000" w:themeColor="text1"/>
        </w:rPr>
        <w:t>2</w:t>
      </w:r>
      <w:r w:rsidRPr="466EFB64">
        <w:rPr>
          <w:rFonts w:ascii="Arial" w:eastAsia="Arial" w:hAnsi="Arial" w:cs="Arial"/>
          <w:color w:val="000000" w:themeColor="text1"/>
        </w:rPr>
        <w:t xml:space="preserve"> and FY2</w:t>
      </w:r>
      <w:r w:rsidR="7801FE09" w:rsidRPr="466EFB64">
        <w:rPr>
          <w:rFonts w:ascii="Arial" w:eastAsia="Arial" w:hAnsi="Arial" w:cs="Arial"/>
          <w:color w:val="000000" w:themeColor="text1"/>
        </w:rPr>
        <w:t>6</w:t>
      </w:r>
      <w:r w:rsidRPr="466EFB64">
        <w:rPr>
          <w:rFonts w:ascii="Arial" w:eastAsia="Arial" w:hAnsi="Arial" w:cs="Arial"/>
          <w:color w:val="000000" w:themeColor="text1"/>
        </w:rPr>
        <w:t xml:space="preserve"> GAA.</w:t>
      </w:r>
    </w:p>
    <w:p w14:paraId="3D0882FD" w14:textId="77777777" w:rsidR="00ED2DD3" w:rsidRPr="00ED2DD3" w:rsidRDefault="00ED2DD3" w:rsidP="466EFB64">
      <w:pPr>
        <w:spacing w:after="0" w:line="240" w:lineRule="auto"/>
        <w:ind w:left="360"/>
        <w:rPr>
          <w:rFonts w:ascii="Arial" w:eastAsia="Arial" w:hAnsi="Arial" w:cs="Arial"/>
          <w:color w:val="000000" w:themeColor="text1"/>
        </w:rPr>
      </w:pPr>
    </w:p>
    <w:p w14:paraId="0A95F9DB" w14:textId="77777777" w:rsidR="00ED2DD3" w:rsidRPr="00ED2DD3" w:rsidRDefault="00ED2DD3" w:rsidP="466EFB64">
      <w:pPr>
        <w:spacing w:after="0" w:line="240" w:lineRule="auto"/>
        <w:rPr>
          <w:rFonts w:ascii="Arial" w:eastAsia="Arial" w:hAnsi="Arial" w:cs="Arial"/>
          <w:b/>
          <w:bCs/>
          <w:color w:val="000000" w:themeColor="text1"/>
        </w:rPr>
      </w:pPr>
      <w:r w:rsidRPr="466EFB64">
        <w:rPr>
          <w:rFonts w:ascii="Arial" w:eastAsia="Arial" w:hAnsi="Arial" w:cs="Arial"/>
          <w:b/>
          <w:bCs/>
          <w:color w:val="000000" w:themeColor="text1"/>
        </w:rPr>
        <w:t>Civics Education</w:t>
      </w:r>
    </w:p>
    <w:p w14:paraId="369F0726" w14:textId="77777777" w:rsidR="00ED2DD3" w:rsidRPr="00ED2DD3" w:rsidRDefault="00ED2DD3" w:rsidP="466EFB64">
      <w:pPr>
        <w:spacing w:after="0" w:line="240" w:lineRule="auto"/>
        <w:rPr>
          <w:rFonts w:ascii="Arial" w:eastAsia="Arial" w:hAnsi="Arial" w:cs="Arial"/>
          <w:b/>
          <w:bCs/>
          <w:color w:val="000000" w:themeColor="text1"/>
        </w:rPr>
      </w:pPr>
    </w:p>
    <w:p w14:paraId="0DE20650" w14:textId="40EF1093" w:rsidR="00ED2DD3" w:rsidRDefault="00ED2DD3" w:rsidP="466EFB64">
      <w:pPr>
        <w:numPr>
          <w:ilvl w:val="0"/>
          <w:numId w:val="5"/>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t>1595-</w:t>
      </w:r>
      <w:r w:rsidRPr="591FF6BB">
        <w:rPr>
          <w:rFonts w:ascii="Arial" w:eastAsia="Arial" w:hAnsi="Arial" w:cs="Arial"/>
          <w:color w:val="000000" w:themeColor="text1"/>
        </w:rPr>
        <w:t>0</w:t>
      </w:r>
      <w:r w:rsidR="15711473" w:rsidRPr="591FF6BB">
        <w:rPr>
          <w:rFonts w:ascii="Arial" w:eastAsia="Arial" w:hAnsi="Arial" w:cs="Arial"/>
          <w:color w:val="000000" w:themeColor="text1"/>
        </w:rPr>
        <w:t>11</w:t>
      </w:r>
      <w:r w:rsidRPr="591FF6BB">
        <w:rPr>
          <w:rFonts w:ascii="Arial" w:eastAsia="Arial" w:hAnsi="Arial" w:cs="Arial"/>
          <w:color w:val="000000" w:themeColor="text1"/>
        </w:rPr>
        <w:t>5</w:t>
      </w:r>
      <w:r w:rsidRPr="466EFB64">
        <w:rPr>
          <w:rFonts w:ascii="Arial" w:eastAsia="Arial" w:hAnsi="Arial" w:cs="Arial"/>
          <w:color w:val="000000" w:themeColor="text1"/>
        </w:rPr>
        <w:t xml:space="preserve"> Civics Education Trust is funded at $</w:t>
      </w:r>
      <w:r w:rsidR="4C7E7D2F" w:rsidRPr="591FF6BB">
        <w:rPr>
          <w:rFonts w:ascii="Arial" w:eastAsia="Arial" w:hAnsi="Arial" w:cs="Arial"/>
          <w:color w:val="000000" w:themeColor="text1"/>
        </w:rPr>
        <w:t>2.5</w:t>
      </w:r>
      <w:r w:rsidRPr="591FF6BB">
        <w:rPr>
          <w:rFonts w:ascii="Arial" w:eastAsia="Arial" w:hAnsi="Arial" w:cs="Arial"/>
          <w:color w:val="000000" w:themeColor="text1"/>
        </w:rPr>
        <w:t>M</w:t>
      </w:r>
      <w:r w:rsidRPr="466EFB64">
        <w:rPr>
          <w:rFonts w:ascii="Arial" w:eastAsia="Arial" w:hAnsi="Arial" w:cs="Arial"/>
          <w:color w:val="000000" w:themeColor="text1"/>
        </w:rPr>
        <w:t xml:space="preserve"> which equals the H.</w:t>
      </w:r>
      <w:r w:rsidR="5EAF15FF" w:rsidRPr="466EFB64">
        <w:rPr>
          <w:rFonts w:ascii="Arial" w:eastAsia="Arial" w:hAnsi="Arial" w:cs="Arial"/>
          <w:color w:val="000000" w:themeColor="text1"/>
        </w:rPr>
        <w:t>2</w:t>
      </w:r>
      <w:r w:rsidRPr="466EFB64">
        <w:rPr>
          <w:rFonts w:ascii="Arial" w:eastAsia="Arial" w:hAnsi="Arial" w:cs="Arial"/>
          <w:color w:val="000000" w:themeColor="text1"/>
        </w:rPr>
        <w:t xml:space="preserve"> recommendation.</w:t>
      </w:r>
    </w:p>
    <w:p w14:paraId="0F599766" w14:textId="7D1220AF" w:rsidR="007301EB" w:rsidRPr="00ED2DD3" w:rsidRDefault="343F565C" w:rsidP="466EFB64">
      <w:pPr>
        <w:numPr>
          <w:ilvl w:val="0"/>
          <w:numId w:val="5"/>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t>1596-0116 Genocide Education Trust is not funded in the HWM budget which is a $</w:t>
      </w:r>
      <w:r w:rsidR="078FA325" w:rsidRPr="466EFB64">
        <w:rPr>
          <w:rFonts w:ascii="Arial" w:eastAsia="Arial" w:hAnsi="Arial" w:cs="Arial"/>
          <w:color w:val="000000" w:themeColor="text1"/>
        </w:rPr>
        <w:t>3M decrease from both the FY27 H.2 and FY26 GAA.</w:t>
      </w:r>
    </w:p>
    <w:p w14:paraId="61FEFA27" w14:textId="684BAAFF" w:rsidR="00C22744" w:rsidRPr="00ED2DD3" w:rsidRDefault="00ED2DD3" w:rsidP="466EFB64">
      <w:pPr>
        <w:numPr>
          <w:ilvl w:val="0"/>
          <w:numId w:val="5"/>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t xml:space="preserve">7010-1193 Civics Education Programs </w:t>
      </w:r>
      <w:r w:rsidR="05D679F8" w:rsidRPr="466EFB64">
        <w:rPr>
          <w:rFonts w:ascii="Arial" w:eastAsia="Arial" w:hAnsi="Arial" w:cs="Arial"/>
          <w:color w:val="000000" w:themeColor="text1"/>
        </w:rPr>
        <w:t xml:space="preserve">is not funded in the HWM </w:t>
      </w:r>
      <w:r w:rsidR="2E4CB8C6" w:rsidRPr="466EFB64">
        <w:rPr>
          <w:rFonts w:ascii="Arial" w:eastAsia="Arial" w:hAnsi="Arial" w:cs="Arial"/>
          <w:color w:val="000000" w:themeColor="text1"/>
        </w:rPr>
        <w:t>budget,</w:t>
      </w:r>
      <w:r w:rsidR="05D679F8" w:rsidRPr="466EFB64">
        <w:rPr>
          <w:rFonts w:ascii="Arial" w:eastAsia="Arial" w:hAnsi="Arial" w:cs="Arial"/>
          <w:color w:val="000000" w:themeColor="text1"/>
        </w:rPr>
        <w:t xml:space="preserve"> but</w:t>
      </w:r>
      <w:r w:rsidR="15E8D147" w:rsidRPr="466EFB64">
        <w:rPr>
          <w:rFonts w:ascii="Arial" w:eastAsia="Arial" w:hAnsi="Arial" w:cs="Arial"/>
          <w:color w:val="000000" w:themeColor="text1"/>
        </w:rPr>
        <w:t xml:space="preserve"> the earmark programs do appear in the 1596-2703 supplemental budget.</w:t>
      </w:r>
    </w:p>
    <w:p w14:paraId="5D34F942" w14:textId="77777777" w:rsidR="00ED2DD3" w:rsidRPr="00ED2DD3" w:rsidRDefault="00ED2DD3" w:rsidP="466EFB64">
      <w:pPr>
        <w:spacing w:after="0" w:line="240" w:lineRule="auto"/>
        <w:rPr>
          <w:rFonts w:ascii="Arial" w:eastAsia="Arial" w:hAnsi="Arial" w:cs="Arial"/>
          <w:color w:val="000000" w:themeColor="text1"/>
        </w:rPr>
      </w:pPr>
      <w:r w:rsidRPr="466EFB64">
        <w:rPr>
          <w:rFonts w:ascii="Arial" w:eastAsia="Arial" w:hAnsi="Arial" w:cs="Arial"/>
          <w:color w:val="000000" w:themeColor="text1"/>
        </w:rPr>
        <w:t xml:space="preserve">                                                                                             </w:t>
      </w:r>
    </w:p>
    <w:p w14:paraId="544B489E" w14:textId="77777777" w:rsidR="00ED2DD3" w:rsidRPr="00ED2DD3" w:rsidRDefault="00ED2DD3" w:rsidP="466EFB64">
      <w:pPr>
        <w:spacing w:after="0" w:line="240" w:lineRule="auto"/>
        <w:rPr>
          <w:rFonts w:ascii="Arial" w:eastAsia="Arial" w:hAnsi="Arial" w:cs="Arial"/>
          <w:b/>
          <w:bCs/>
          <w:color w:val="000000" w:themeColor="text1"/>
        </w:rPr>
      </w:pPr>
      <w:r w:rsidRPr="466EFB64">
        <w:rPr>
          <w:rFonts w:ascii="Arial" w:eastAsia="Arial" w:hAnsi="Arial" w:cs="Arial"/>
          <w:b/>
          <w:bCs/>
          <w:color w:val="000000" w:themeColor="text1"/>
        </w:rPr>
        <w:t>School Facilities Support</w:t>
      </w:r>
    </w:p>
    <w:p w14:paraId="672DC7F6" w14:textId="77777777" w:rsidR="00ED2DD3" w:rsidRPr="00ED2DD3" w:rsidRDefault="00ED2DD3" w:rsidP="466EFB64">
      <w:pPr>
        <w:spacing w:after="0" w:line="240" w:lineRule="auto"/>
        <w:rPr>
          <w:rFonts w:ascii="Arial" w:eastAsia="Arial" w:hAnsi="Arial" w:cs="Arial"/>
          <w:color w:val="000000" w:themeColor="text1"/>
        </w:rPr>
      </w:pPr>
    </w:p>
    <w:p w14:paraId="295AACB0" w14:textId="2934B9D9" w:rsidR="00ED2DD3" w:rsidRDefault="00ED2DD3" w:rsidP="466EFB64">
      <w:pPr>
        <w:numPr>
          <w:ilvl w:val="0"/>
          <w:numId w:val="4"/>
        </w:numPr>
        <w:spacing w:after="0" w:line="240" w:lineRule="auto"/>
        <w:contextualSpacing/>
        <w:rPr>
          <w:rFonts w:ascii="Arial" w:eastAsia="Arial" w:hAnsi="Arial" w:cs="Arial"/>
          <w:color w:val="000000" w:themeColor="text1"/>
        </w:rPr>
      </w:pPr>
      <w:r w:rsidRPr="466EFB64">
        <w:rPr>
          <w:rFonts w:ascii="Arial" w:eastAsia="Arial" w:hAnsi="Arial" w:cs="Arial"/>
          <w:color w:val="000000" w:themeColor="text1"/>
        </w:rPr>
        <w:t>1596-2424 Green School Works is funded at $20M</w:t>
      </w:r>
      <w:r w:rsidR="321B4CC4" w:rsidRPr="466EFB64">
        <w:rPr>
          <w:rFonts w:ascii="Arial" w:eastAsia="Arial" w:hAnsi="Arial" w:cs="Arial"/>
          <w:color w:val="000000" w:themeColor="text1"/>
        </w:rPr>
        <w:t xml:space="preserve"> in the supplemental budget </w:t>
      </w:r>
      <w:r w:rsidR="1EE715A3" w:rsidRPr="466EFB64">
        <w:rPr>
          <w:rFonts w:ascii="Arial" w:eastAsia="Arial" w:hAnsi="Arial" w:cs="Arial"/>
          <w:color w:val="000000" w:themeColor="text1"/>
        </w:rPr>
        <w:t>and</w:t>
      </w:r>
      <w:r w:rsidR="321B4CC4" w:rsidRPr="466EFB64">
        <w:rPr>
          <w:rFonts w:ascii="Arial" w:eastAsia="Arial" w:hAnsi="Arial" w:cs="Arial"/>
          <w:color w:val="000000" w:themeColor="text1"/>
        </w:rPr>
        <w:t xml:space="preserve"> $5M in the HWM</w:t>
      </w:r>
      <w:r w:rsidR="36520B69" w:rsidRPr="466EFB64">
        <w:rPr>
          <w:rFonts w:ascii="Arial" w:eastAsia="Arial" w:hAnsi="Arial" w:cs="Arial"/>
          <w:color w:val="000000" w:themeColor="text1"/>
        </w:rPr>
        <w:t xml:space="preserve"> budget</w:t>
      </w:r>
      <w:r w:rsidR="16DC5FF2" w:rsidRPr="466EFB64">
        <w:rPr>
          <w:rFonts w:ascii="Arial" w:eastAsia="Arial" w:hAnsi="Arial" w:cs="Arial"/>
          <w:color w:val="000000" w:themeColor="text1"/>
        </w:rPr>
        <w:t xml:space="preserve">. Combined, it </w:t>
      </w:r>
      <w:r w:rsidRPr="466EFB64">
        <w:rPr>
          <w:rFonts w:ascii="Arial" w:eastAsia="Arial" w:hAnsi="Arial" w:cs="Arial"/>
          <w:color w:val="000000" w:themeColor="text1"/>
        </w:rPr>
        <w:t>is a $</w:t>
      </w:r>
      <w:r w:rsidR="36520B69" w:rsidRPr="466EFB64">
        <w:rPr>
          <w:rFonts w:ascii="Arial" w:eastAsia="Arial" w:hAnsi="Arial" w:cs="Arial"/>
          <w:color w:val="000000" w:themeColor="text1"/>
        </w:rPr>
        <w:t>2</w:t>
      </w:r>
      <w:r w:rsidR="16DC5FF2" w:rsidRPr="466EFB64">
        <w:rPr>
          <w:rFonts w:ascii="Arial" w:eastAsia="Arial" w:hAnsi="Arial" w:cs="Arial"/>
          <w:color w:val="000000" w:themeColor="text1"/>
        </w:rPr>
        <w:t>5</w:t>
      </w:r>
      <w:r w:rsidRPr="466EFB64">
        <w:rPr>
          <w:rFonts w:ascii="Arial" w:eastAsia="Arial" w:hAnsi="Arial" w:cs="Arial"/>
          <w:color w:val="000000" w:themeColor="text1"/>
        </w:rPr>
        <w:t>M increase from FY2</w:t>
      </w:r>
      <w:r w:rsidR="1439C41D" w:rsidRPr="466EFB64">
        <w:rPr>
          <w:rFonts w:ascii="Arial" w:eastAsia="Arial" w:hAnsi="Arial" w:cs="Arial"/>
          <w:color w:val="000000" w:themeColor="text1"/>
        </w:rPr>
        <w:t>7</w:t>
      </w:r>
      <w:r w:rsidRPr="466EFB64">
        <w:rPr>
          <w:rFonts w:ascii="Arial" w:eastAsia="Arial" w:hAnsi="Arial" w:cs="Arial"/>
          <w:color w:val="000000" w:themeColor="text1"/>
        </w:rPr>
        <w:t xml:space="preserve"> H.</w:t>
      </w:r>
      <w:r w:rsidR="1439C41D" w:rsidRPr="466EFB64">
        <w:rPr>
          <w:rFonts w:ascii="Arial" w:eastAsia="Arial" w:hAnsi="Arial" w:cs="Arial"/>
          <w:color w:val="000000" w:themeColor="text1"/>
        </w:rPr>
        <w:t>2</w:t>
      </w:r>
      <w:r w:rsidR="36520B69" w:rsidRPr="466EFB64">
        <w:rPr>
          <w:rFonts w:ascii="Arial" w:eastAsia="Arial" w:hAnsi="Arial" w:cs="Arial"/>
          <w:color w:val="000000" w:themeColor="text1"/>
        </w:rPr>
        <w:t xml:space="preserve"> and $1</w:t>
      </w:r>
      <w:r w:rsidR="00D78BF4" w:rsidRPr="466EFB64">
        <w:rPr>
          <w:rFonts w:ascii="Arial" w:eastAsia="Arial" w:hAnsi="Arial" w:cs="Arial"/>
          <w:color w:val="000000" w:themeColor="text1"/>
        </w:rPr>
        <w:t>5</w:t>
      </w:r>
      <w:r w:rsidR="36520B69" w:rsidRPr="466EFB64">
        <w:rPr>
          <w:rFonts w:ascii="Arial" w:eastAsia="Arial" w:hAnsi="Arial" w:cs="Arial"/>
          <w:color w:val="000000" w:themeColor="text1"/>
        </w:rPr>
        <w:t>M increase above FY2</w:t>
      </w:r>
      <w:r w:rsidR="1BCEC780" w:rsidRPr="466EFB64">
        <w:rPr>
          <w:rFonts w:ascii="Arial" w:eastAsia="Arial" w:hAnsi="Arial" w:cs="Arial"/>
          <w:color w:val="000000" w:themeColor="text1"/>
        </w:rPr>
        <w:t>6</w:t>
      </w:r>
      <w:r w:rsidR="36520B69" w:rsidRPr="466EFB64">
        <w:rPr>
          <w:rFonts w:ascii="Arial" w:eastAsia="Arial" w:hAnsi="Arial" w:cs="Arial"/>
          <w:color w:val="000000" w:themeColor="text1"/>
        </w:rPr>
        <w:t xml:space="preserve"> </w:t>
      </w:r>
      <w:r w:rsidR="1BCEC780" w:rsidRPr="466EFB64">
        <w:rPr>
          <w:rFonts w:ascii="Arial" w:eastAsia="Arial" w:hAnsi="Arial" w:cs="Arial"/>
          <w:color w:val="000000" w:themeColor="text1"/>
        </w:rPr>
        <w:t>GAA</w:t>
      </w:r>
      <w:r w:rsidRPr="466EFB64">
        <w:rPr>
          <w:rFonts w:ascii="Arial" w:eastAsia="Arial" w:hAnsi="Arial" w:cs="Arial"/>
          <w:color w:val="000000" w:themeColor="text1"/>
        </w:rPr>
        <w:t xml:space="preserve">.  </w:t>
      </w:r>
    </w:p>
    <w:p w14:paraId="5B9839AE" w14:textId="77777777" w:rsidR="00367200" w:rsidRDefault="00367200" w:rsidP="466EFB64">
      <w:pPr>
        <w:spacing w:after="0" w:line="240" w:lineRule="auto"/>
        <w:contextualSpacing/>
        <w:rPr>
          <w:rFonts w:ascii="Arial" w:eastAsia="Arial" w:hAnsi="Arial" w:cs="Arial"/>
          <w:color w:val="000000" w:themeColor="text1"/>
        </w:rPr>
      </w:pPr>
    </w:p>
    <w:p w14:paraId="229257AA" w14:textId="5F5C95C3" w:rsidR="466EFB64" w:rsidRDefault="466EFB64" w:rsidP="466EFB64">
      <w:pPr>
        <w:spacing w:after="0" w:line="240" w:lineRule="auto"/>
        <w:contextualSpacing/>
        <w:rPr>
          <w:rFonts w:ascii="Arial" w:eastAsia="Arial" w:hAnsi="Arial" w:cs="Arial"/>
          <w:b/>
          <w:bCs/>
          <w:color w:val="000000" w:themeColor="text1"/>
        </w:rPr>
      </w:pPr>
    </w:p>
    <w:p w14:paraId="29E8D292" w14:textId="79E9C018" w:rsidR="00367200" w:rsidRPr="00ED2DD3" w:rsidRDefault="3F77A0A7" w:rsidP="466EFB64">
      <w:pPr>
        <w:spacing w:after="0" w:line="240" w:lineRule="auto"/>
        <w:contextualSpacing/>
        <w:rPr>
          <w:rFonts w:ascii="Arial" w:eastAsia="Arial" w:hAnsi="Arial" w:cs="Arial"/>
          <w:b/>
          <w:bCs/>
          <w:color w:val="000000" w:themeColor="text1"/>
        </w:rPr>
      </w:pPr>
      <w:r w:rsidRPr="466EFB64">
        <w:rPr>
          <w:rFonts w:ascii="Arial" w:eastAsia="Arial" w:hAnsi="Arial" w:cs="Arial"/>
          <w:b/>
          <w:bCs/>
          <w:color w:val="000000" w:themeColor="text1"/>
        </w:rPr>
        <w:t>Other Accounts</w:t>
      </w:r>
    </w:p>
    <w:p w14:paraId="6FE7404F" w14:textId="77777777" w:rsidR="00367200" w:rsidRDefault="3F77A0A7" w:rsidP="466EFB64">
      <w:pPr>
        <w:pStyle w:val="ListParagraph"/>
        <w:numPr>
          <w:ilvl w:val="0"/>
          <w:numId w:val="4"/>
        </w:numPr>
        <w:spacing w:after="0" w:line="240" w:lineRule="auto"/>
        <w:rPr>
          <w:rFonts w:ascii="Arial" w:eastAsia="Arial" w:hAnsi="Arial" w:cs="Arial"/>
          <w:color w:val="000000" w:themeColor="text1"/>
        </w:rPr>
      </w:pPr>
      <w:r w:rsidRPr="466EFB64">
        <w:rPr>
          <w:rFonts w:ascii="Arial" w:eastAsia="Arial" w:hAnsi="Arial" w:cs="Arial"/>
          <w:color w:val="000000" w:themeColor="text1"/>
        </w:rPr>
        <w:t>7010-0012 METCO Grants is funded at $35M which is a $5M increase from FY27 H.2 and FY26 GAA.</w:t>
      </w:r>
    </w:p>
    <w:p w14:paraId="395007DF" w14:textId="0A32A2C2" w:rsidR="00970B6D" w:rsidRDefault="789049D8" w:rsidP="466EFB64">
      <w:pPr>
        <w:pStyle w:val="ListParagraph"/>
        <w:numPr>
          <w:ilvl w:val="0"/>
          <w:numId w:val="4"/>
        </w:numPr>
        <w:spacing w:after="0" w:line="240" w:lineRule="auto"/>
        <w:rPr>
          <w:rFonts w:ascii="Arial" w:eastAsia="Arial" w:hAnsi="Arial" w:cs="Arial"/>
          <w:color w:val="000000" w:themeColor="text1"/>
        </w:rPr>
      </w:pPr>
      <w:r w:rsidRPr="466EFB64">
        <w:rPr>
          <w:rFonts w:ascii="Arial" w:eastAsia="Arial" w:hAnsi="Arial" w:cs="Arial"/>
          <w:color w:val="000000" w:themeColor="text1"/>
        </w:rPr>
        <w:t>7035-0035 AP Math and Science Programs is funded at $2.25M which is a $250K increase from FY26 GAA</w:t>
      </w:r>
      <w:r w:rsidR="58DF69DD" w:rsidRPr="466EFB64">
        <w:rPr>
          <w:rFonts w:ascii="Arial" w:eastAsia="Arial" w:hAnsi="Arial" w:cs="Arial"/>
          <w:color w:val="000000" w:themeColor="text1"/>
        </w:rPr>
        <w:t>.</w:t>
      </w:r>
    </w:p>
    <w:p w14:paraId="7A857C15" w14:textId="7119213A" w:rsidR="00800DEA" w:rsidRPr="009C1415" w:rsidRDefault="45136482" w:rsidP="466EFB64">
      <w:pPr>
        <w:pStyle w:val="ListParagraph"/>
        <w:numPr>
          <w:ilvl w:val="0"/>
          <w:numId w:val="4"/>
        </w:numPr>
        <w:spacing w:after="0" w:line="240" w:lineRule="auto"/>
        <w:rPr>
          <w:rFonts w:ascii="Arial" w:eastAsia="Arial" w:hAnsi="Arial" w:cs="Arial"/>
          <w:color w:val="000000" w:themeColor="text1"/>
        </w:rPr>
      </w:pPr>
      <w:r w:rsidRPr="466EFB64">
        <w:rPr>
          <w:rFonts w:ascii="Arial" w:eastAsia="Arial" w:hAnsi="Arial" w:cs="Arial"/>
          <w:color w:val="000000" w:themeColor="text1"/>
        </w:rPr>
        <w:t xml:space="preserve">7061-0033 Public School Military Mitigation is funded at $1.43M which is a </w:t>
      </w:r>
      <w:r w:rsidR="4815720F" w:rsidRPr="466EFB64">
        <w:rPr>
          <w:rFonts w:ascii="Arial" w:eastAsia="Arial" w:hAnsi="Arial" w:cs="Arial"/>
          <w:color w:val="000000" w:themeColor="text1"/>
        </w:rPr>
        <w:t>$160K increase from FY27 H.2</w:t>
      </w:r>
      <w:r w:rsidR="58DF69DD" w:rsidRPr="466EFB64">
        <w:rPr>
          <w:rFonts w:ascii="Arial" w:eastAsia="Arial" w:hAnsi="Arial" w:cs="Arial"/>
          <w:color w:val="000000" w:themeColor="text1"/>
        </w:rPr>
        <w:t>.</w:t>
      </w:r>
    </w:p>
    <w:p w14:paraId="2AFF6478" w14:textId="5FF77754" w:rsidR="00367200" w:rsidRDefault="00367200" w:rsidP="466EFB64">
      <w:pPr>
        <w:widowControl w:val="0"/>
        <w:spacing w:after="0" w:line="240" w:lineRule="auto"/>
        <w:ind w:left="180"/>
        <w:rPr>
          <w:rFonts w:ascii="Arial" w:eastAsia="Arial" w:hAnsi="Arial" w:cs="Arial"/>
        </w:rPr>
      </w:pPr>
    </w:p>
    <w:p w14:paraId="712EFCB0" w14:textId="77777777" w:rsidR="00367200" w:rsidRPr="00ED2DD3" w:rsidRDefault="00367200" w:rsidP="466EFB64">
      <w:pPr>
        <w:widowControl w:val="0"/>
        <w:spacing w:after="0" w:line="240" w:lineRule="auto"/>
        <w:ind w:left="180"/>
        <w:rPr>
          <w:rFonts w:ascii="Arial" w:eastAsia="Arial" w:hAnsi="Arial" w:cs="Arial"/>
        </w:rPr>
      </w:pPr>
    </w:p>
    <w:p w14:paraId="07978A45" w14:textId="2C8E9C0C" w:rsidR="00ED2DD3" w:rsidRPr="00ED2DD3" w:rsidRDefault="00ED2DD3" w:rsidP="466EFB64">
      <w:pPr>
        <w:widowControl w:val="0"/>
        <w:spacing w:after="0" w:line="240" w:lineRule="auto"/>
        <w:ind w:left="180"/>
        <w:rPr>
          <w:rFonts w:ascii="Arial" w:eastAsia="Arial" w:hAnsi="Arial" w:cs="Arial"/>
        </w:rPr>
      </w:pPr>
      <w:r w:rsidRPr="466EFB64">
        <w:rPr>
          <w:rFonts w:ascii="Arial" w:eastAsia="Arial" w:hAnsi="Arial" w:cs="Arial"/>
        </w:rPr>
        <w:t>The attached chart summarizes the FY2</w:t>
      </w:r>
      <w:r w:rsidR="00BA4B3B">
        <w:rPr>
          <w:rFonts w:ascii="Arial" w:eastAsia="Arial" w:hAnsi="Arial" w:cs="Arial"/>
        </w:rPr>
        <w:t>7</w:t>
      </w:r>
      <w:r w:rsidRPr="466EFB64">
        <w:rPr>
          <w:rFonts w:ascii="Arial" w:eastAsia="Arial" w:hAnsi="Arial" w:cs="Arial"/>
        </w:rPr>
        <w:t xml:space="preserve"> HWM budget recommendations in comparison to our current and prior year’s appropriation history and identifies variances.   </w:t>
      </w:r>
    </w:p>
    <w:p w14:paraId="5BA03B9A" w14:textId="77777777" w:rsidR="00ED2DD3" w:rsidRPr="00ED2DD3" w:rsidRDefault="00ED2DD3" w:rsidP="466EFB64">
      <w:pPr>
        <w:widowControl w:val="0"/>
        <w:spacing w:after="0" w:line="240" w:lineRule="auto"/>
        <w:ind w:left="180"/>
        <w:rPr>
          <w:rFonts w:ascii="Arial" w:eastAsia="Arial" w:hAnsi="Arial" w:cs="Arial"/>
        </w:rPr>
      </w:pPr>
    </w:p>
    <w:p w14:paraId="2D1B682D" w14:textId="338CA577" w:rsidR="00ED2DD3" w:rsidRPr="00ED2DD3" w:rsidRDefault="00ED2DD3" w:rsidP="466EFB64">
      <w:pPr>
        <w:widowControl w:val="0"/>
        <w:spacing w:after="0" w:line="240" w:lineRule="auto"/>
        <w:ind w:left="180"/>
        <w:rPr>
          <w:rFonts w:ascii="Arial" w:eastAsia="Arial" w:hAnsi="Arial" w:cs="Arial"/>
        </w:rPr>
      </w:pPr>
      <w:r w:rsidRPr="466EFB64">
        <w:rPr>
          <w:rFonts w:ascii="Arial" w:eastAsia="Arial" w:hAnsi="Arial" w:cs="Arial"/>
        </w:rPr>
        <w:t>The House is starting the budget debate during the week of April 28</w:t>
      </w:r>
      <w:r w:rsidRPr="466EFB64">
        <w:rPr>
          <w:rFonts w:ascii="Arial" w:eastAsia="Arial" w:hAnsi="Arial" w:cs="Arial"/>
          <w:vertAlign w:val="superscript"/>
        </w:rPr>
        <w:t>th</w:t>
      </w:r>
      <w:r w:rsidR="12EB189F" w:rsidRPr="466EFB64">
        <w:rPr>
          <w:rFonts w:ascii="Arial" w:eastAsia="Arial" w:hAnsi="Arial" w:cs="Arial"/>
        </w:rPr>
        <w:t>.</w:t>
      </w:r>
    </w:p>
    <w:p w14:paraId="0F78490A" w14:textId="77777777" w:rsidR="00ED2DD3" w:rsidRPr="00ED2DD3" w:rsidRDefault="00ED2DD3" w:rsidP="466EFB64">
      <w:pPr>
        <w:widowControl w:val="0"/>
        <w:spacing w:after="0" w:line="240" w:lineRule="auto"/>
        <w:ind w:left="180"/>
        <w:rPr>
          <w:rFonts w:ascii="Arial" w:eastAsia="Arial" w:hAnsi="Arial" w:cs="Arial"/>
        </w:rPr>
      </w:pPr>
    </w:p>
    <w:p w14:paraId="1496AB13" w14:textId="34B1760C" w:rsidR="00ED2DD3" w:rsidRPr="00ED2DD3" w:rsidRDefault="00ED2DD3" w:rsidP="466EFB64">
      <w:pPr>
        <w:widowControl w:val="0"/>
        <w:spacing w:after="0" w:line="240" w:lineRule="auto"/>
        <w:ind w:left="180"/>
        <w:rPr>
          <w:rFonts w:ascii="Arial" w:eastAsia="Arial" w:hAnsi="Arial" w:cs="Arial"/>
        </w:rPr>
      </w:pPr>
      <w:r w:rsidRPr="0A9EE97C">
        <w:rPr>
          <w:rFonts w:ascii="Arial" w:eastAsia="Arial" w:hAnsi="Arial" w:cs="Arial"/>
        </w:rPr>
        <w:t>Please let me know if you have any questions or concerns. A discussion of the HWM education budget proposal for FY2</w:t>
      </w:r>
      <w:r w:rsidR="5551F648" w:rsidRPr="0A9EE97C">
        <w:rPr>
          <w:rFonts w:ascii="Arial" w:eastAsia="Arial" w:hAnsi="Arial" w:cs="Arial"/>
        </w:rPr>
        <w:t>7</w:t>
      </w:r>
      <w:r w:rsidRPr="0A9EE97C">
        <w:rPr>
          <w:rFonts w:ascii="Arial" w:eastAsia="Arial" w:hAnsi="Arial" w:cs="Arial"/>
        </w:rPr>
        <w:t xml:space="preserve"> will be on the agenda at the Board meeting on April 2</w:t>
      </w:r>
      <w:r w:rsidR="5551F648" w:rsidRPr="0A9EE97C">
        <w:rPr>
          <w:rFonts w:ascii="Arial" w:eastAsia="Arial" w:hAnsi="Arial" w:cs="Arial"/>
        </w:rPr>
        <w:t>8</w:t>
      </w:r>
      <w:r w:rsidRPr="0A9EE97C">
        <w:rPr>
          <w:rFonts w:ascii="Arial" w:eastAsia="Arial" w:hAnsi="Arial" w:cs="Arial"/>
        </w:rPr>
        <w:t>, 202</w:t>
      </w:r>
      <w:r w:rsidR="5551F648" w:rsidRPr="0A9EE97C">
        <w:rPr>
          <w:rFonts w:ascii="Arial" w:eastAsia="Arial" w:hAnsi="Arial" w:cs="Arial"/>
        </w:rPr>
        <w:t>6</w:t>
      </w:r>
      <w:r w:rsidRPr="0A9EE97C">
        <w:rPr>
          <w:rFonts w:ascii="Arial" w:eastAsia="Arial" w:hAnsi="Arial" w:cs="Arial"/>
        </w:rPr>
        <w:t>.</w:t>
      </w:r>
    </w:p>
    <w:p w14:paraId="732DB258" w14:textId="77777777" w:rsidR="00ED2DD3" w:rsidRPr="00ED2DD3" w:rsidRDefault="00ED2DD3" w:rsidP="466EFB64">
      <w:pPr>
        <w:widowControl w:val="0"/>
        <w:spacing w:after="0" w:line="240" w:lineRule="auto"/>
        <w:ind w:left="180"/>
        <w:rPr>
          <w:rFonts w:ascii="Arial" w:eastAsia="Arial" w:hAnsi="Arial" w:cs="Arial"/>
        </w:rPr>
      </w:pPr>
    </w:p>
    <w:p w14:paraId="3B1FCDE2" w14:textId="77777777" w:rsidR="00ED2DD3" w:rsidRPr="00ED2DD3" w:rsidRDefault="00ED2DD3" w:rsidP="466EFB64">
      <w:pPr>
        <w:widowControl w:val="0"/>
        <w:spacing w:after="0" w:line="240" w:lineRule="auto"/>
        <w:ind w:left="180"/>
        <w:rPr>
          <w:rFonts w:ascii="Arial" w:eastAsia="Arial" w:hAnsi="Arial" w:cs="Arial"/>
        </w:rPr>
      </w:pPr>
    </w:p>
    <w:p w14:paraId="4E2A30F1" w14:textId="77777777" w:rsidR="00ED2DD3" w:rsidRPr="00ED2DD3" w:rsidRDefault="00ED2DD3" w:rsidP="466EFB64">
      <w:pPr>
        <w:widowControl w:val="0"/>
        <w:spacing w:after="0" w:line="240" w:lineRule="auto"/>
        <w:ind w:left="180"/>
        <w:rPr>
          <w:rFonts w:ascii="Arial" w:eastAsia="Arial" w:hAnsi="Arial" w:cs="Arial"/>
        </w:rPr>
      </w:pPr>
      <w:r w:rsidRPr="466EFB64">
        <w:rPr>
          <w:rFonts w:ascii="Arial" w:eastAsia="Arial" w:hAnsi="Arial" w:cs="Arial"/>
        </w:rPr>
        <w:t>Attachment</w:t>
      </w:r>
    </w:p>
    <w:p w14:paraId="43A45F39" w14:textId="77777777" w:rsidR="00ED2DD3" w:rsidRPr="00ED2DD3" w:rsidRDefault="00ED2DD3" w:rsidP="466EFB64">
      <w:pPr>
        <w:spacing w:after="0" w:line="240" w:lineRule="auto"/>
        <w:rPr>
          <w:rFonts w:ascii="Arial" w:eastAsia="Arial" w:hAnsi="Arial" w:cs="Arial"/>
        </w:rPr>
      </w:pPr>
    </w:p>
    <w:p w14:paraId="5E9EC04C" w14:textId="77777777" w:rsidR="00725BB6" w:rsidRPr="00482BA2" w:rsidRDefault="00725BB6" w:rsidP="466EFB64">
      <w:pPr>
        <w:spacing w:after="0"/>
        <w:rPr>
          <w:rFonts w:ascii="Arial" w:eastAsia="Arial" w:hAnsi="Arial" w:cs="Arial"/>
        </w:rPr>
      </w:pPr>
    </w:p>
    <w:p w14:paraId="0B4410C9" w14:textId="77777777" w:rsidR="00725BB6" w:rsidRPr="00482BA2" w:rsidRDefault="00725BB6" w:rsidP="00EF2267">
      <w:pPr>
        <w:spacing w:after="0"/>
        <w:rPr>
          <w:rFonts w:ascii="Arial" w:hAnsi="Arial" w:cs="Arial"/>
        </w:rPr>
      </w:pPr>
    </w:p>
    <w:p w14:paraId="4D449515" w14:textId="77777777" w:rsidR="00725BB6" w:rsidRPr="00482BA2" w:rsidRDefault="00725BB6" w:rsidP="00EF2267">
      <w:pPr>
        <w:spacing w:after="0"/>
        <w:rPr>
          <w:rFonts w:ascii="Arial" w:hAnsi="Arial" w:cs="Arial"/>
        </w:rPr>
      </w:pPr>
    </w:p>
    <w:p w14:paraId="5B182AF5" w14:textId="77777777" w:rsidR="00725BB6" w:rsidRPr="00482BA2" w:rsidRDefault="00725BB6" w:rsidP="00EF2267">
      <w:pPr>
        <w:spacing w:after="0"/>
        <w:rPr>
          <w:rFonts w:ascii="Arial" w:hAnsi="Arial" w:cs="Arial"/>
        </w:rPr>
      </w:pPr>
    </w:p>
    <w:p w14:paraId="4934DB29" w14:textId="77777777" w:rsidR="00725BB6" w:rsidRPr="00482BA2" w:rsidRDefault="00725BB6" w:rsidP="00EF2267">
      <w:pPr>
        <w:spacing w:after="0"/>
        <w:rPr>
          <w:rFonts w:ascii="Arial" w:hAnsi="Arial" w:cs="Arial"/>
        </w:rPr>
      </w:pPr>
    </w:p>
    <w:p w14:paraId="0BC88BCA" w14:textId="77777777" w:rsidR="00725BB6" w:rsidRPr="00482BA2" w:rsidRDefault="00725BB6" w:rsidP="00EF2267">
      <w:pPr>
        <w:spacing w:after="0"/>
        <w:rPr>
          <w:rFonts w:ascii="Arial" w:hAnsi="Arial" w:cs="Arial"/>
        </w:rPr>
      </w:pPr>
    </w:p>
    <w:p w14:paraId="27A77A55" w14:textId="77777777" w:rsidR="00725BB6" w:rsidRPr="00482BA2" w:rsidRDefault="00725BB6" w:rsidP="00EF2267">
      <w:pPr>
        <w:spacing w:after="0"/>
        <w:rPr>
          <w:rFonts w:ascii="Arial" w:hAnsi="Arial" w:cs="Arial"/>
        </w:rPr>
      </w:pPr>
    </w:p>
    <w:p w14:paraId="5F0CE053" w14:textId="77777777" w:rsidR="00725BB6" w:rsidRPr="00482BA2" w:rsidRDefault="00725BB6" w:rsidP="00EF2267">
      <w:pPr>
        <w:spacing w:after="0"/>
        <w:rPr>
          <w:rFonts w:ascii="Arial" w:hAnsi="Arial" w:cs="Arial"/>
        </w:rPr>
      </w:pPr>
    </w:p>
    <w:p w14:paraId="0C06BB01" w14:textId="77777777" w:rsidR="00725BB6" w:rsidRPr="00482BA2" w:rsidRDefault="00725BB6" w:rsidP="00EF2267">
      <w:pPr>
        <w:spacing w:after="0"/>
        <w:rPr>
          <w:rFonts w:ascii="Arial" w:hAnsi="Arial" w:cs="Arial"/>
        </w:rPr>
      </w:pPr>
    </w:p>
    <w:p w14:paraId="7940C996" w14:textId="77777777" w:rsidR="00725BB6" w:rsidRPr="00482BA2" w:rsidRDefault="00725BB6" w:rsidP="00EF2267">
      <w:pPr>
        <w:spacing w:after="0"/>
        <w:rPr>
          <w:rFonts w:ascii="Arial" w:hAnsi="Arial" w:cs="Arial"/>
        </w:rPr>
      </w:pPr>
    </w:p>
    <w:p w14:paraId="4582707C" w14:textId="77777777" w:rsidR="00725BB6" w:rsidRPr="00482BA2" w:rsidRDefault="00725BB6" w:rsidP="00EF2267">
      <w:pPr>
        <w:spacing w:after="0"/>
        <w:rPr>
          <w:rFonts w:ascii="Arial" w:hAnsi="Arial" w:cs="Arial"/>
        </w:rPr>
      </w:pPr>
    </w:p>
    <w:p w14:paraId="38221B97" w14:textId="77777777" w:rsidR="00725BB6" w:rsidRPr="00482BA2" w:rsidRDefault="00725BB6" w:rsidP="00EF2267">
      <w:pPr>
        <w:spacing w:after="0"/>
        <w:rPr>
          <w:rFonts w:ascii="Arial" w:hAnsi="Arial" w:cs="Arial"/>
        </w:rPr>
      </w:pPr>
    </w:p>
    <w:p w14:paraId="0F8941D5" w14:textId="77777777" w:rsidR="00725BB6" w:rsidRPr="00482BA2" w:rsidRDefault="00725BB6" w:rsidP="00EF2267">
      <w:pPr>
        <w:spacing w:after="0"/>
        <w:rPr>
          <w:rFonts w:ascii="Arial" w:hAnsi="Arial" w:cs="Arial"/>
        </w:rPr>
      </w:pPr>
    </w:p>
    <w:p w14:paraId="1FAF30EB" w14:textId="77777777" w:rsidR="00725BB6" w:rsidRPr="00482BA2" w:rsidRDefault="00725BB6" w:rsidP="00EF2267">
      <w:pPr>
        <w:spacing w:after="0"/>
        <w:rPr>
          <w:rFonts w:ascii="Arial" w:hAnsi="Arial" w:cs="Arial"/>
        </w:rPr>
      </w:pPr>
    </w:p>
    <w:p w14:paraId="1EF4651D" w14:textId="77777777" w:rsidR="00725BB6" w:rsidRPr="00482BA2" w:rsidRDefault="00725BB6" w:rsidP="00EF2267">
      <w:pPr>
        <w:spacing w:after="0"/>
        <w:rPr>
          <w:rFonts w:ascii="Arial" w:hAnsi="Arial" w:cs="Arial"/>
        </w:rPr>
      </w:pPr>
    </w:p>
    <w:p w14:paraId="20D7D6CA" w14:textId="77777777" w:rsidR="00725BB6" w:rsidRPr="00482BA2" w:rsidRDefault="00725BB6" w:rsidP="00EF2267">
      <w:pPr>
        <w:spacing w:after="0"/>
        <w:rPr>
          <w:rFonts w:ascii="Arial" w:hAnsi="Arial" w:cs="Arial"/>
        </w:rPr>
      </w:pPr>
    </w:p>
    <w:p w14:paraId="1357C147" w14:textId="77777777" w:rsidR="00725BB6" w:rsidRPr="00482BA2" w:rsidRDefault="00725BB6" w:rsidP="00EF2267">
      <w:pPr>
        <w:spacing w:after="0"/>
        <w:rPr>
          <w:rFonts w:ascii="Arial" w:hAnsi="Arial" w:cs="Arial"/>
        </w:rPr>
      </w:pPr>
    </w:p>
    <w:p w14:paraId="38580C99" w14:textId="06D0F9AE" w:rsidR="00725BB6" w:rsidRPr="00482BA2" w:rsidRDefault="00725BB6" w:rsidP="466EFB64">
      <w:pPr>
        <w:spacing w:after="0"/>
        <w:rPr>
          <w:rFonts w:ascii="Arial" w:hAnsi="Arial" w:cs="Arial"/>
        </w:rPr>
      </w:pPr>
    </w:p>
    <w:p w14:paraId="7D257656" w14:textId="3AE0C433" w:rsidR="00E63E19" w:rsidRPr="00482BA2" w:rsidRDefault="00E63E19" w:rsidP="466EFB64">
      <w:pPr>
        <w:spacing w:after="0"/>
        <w:rPr>
          <w:rFonts w:ascii="Arial" w:hAnsi="Arial" w:cs="Arial"/>
        </w:rPr>
      </w:pPr>
    </w:p>
    <w:sectPr w:rsidR="00E63E19" w:rsidRPr="00482BA2"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C27D" w14:textId="77777777" w:rsidR="00687903" w:rsidRDefault="00687903" w:rsidP="00C84EE3">
      <w:pPr>
        <w:spacing w:after="0" w:line="240" w:lineRule="auto"/>
      </w:pPr>
      <w:r>
        <w:separator/>
      </w:r>
    </w:p>
  </w:endnote>
  <w:endnote w:type="continuationSeparator" w:id="0">
    <w:p w14:paraId="41AC0869" w14:textId="77777777" w:rsidR="00687903" w:rsidRDefault="00687903"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84847137"/>
      <w:docPartObj>
        <w:docPartGallery w:val="Page Numbers (Bottom of Page)"/>
        <w:docPartUnique/>
      </w:docPartObj>
    </w:sdtPr>
    <w:sdtEndPr>
      <w:rPr>
        <w:noProof/>
      </w:rPr>
    </w:sdtEndPr>
    <w:sdtContent>
      <w:p w14:paraId="646C2949" w14:textId="77777777" w:rsidR="001B3D3D" w:rsidRPr="00C95D04" w:rsidRDefault="001B3D3D">
        <w:pPr>
          <w:pStyle w:val="Footer"/>
          <w:jc w:val="right"/>
          <w:rPr>
            <w:rFonts w:ascii="Arial" w:hAnsi="Arial" w:cs="Arial"/>
          </w:rPr>
        </w:pPr>
        <w:r w:rsidRPr="00C95D04">
          <w:rPr>
            <w:rFonts w:ascii="Arial" w:hAnsi="Arial" w:cs="Arial"/>
          </w:rPr>
          <w:fldChar w:fldCharType="begin"/>
        </w:r>
        <w:r w:rsidRPr="00C95D04">
          <w:rPr>
            <w:rFonts w:ascii="Arial" w:hAnsi="Arial" w:cs="Arial"/>
          </w:rPr>
          <w:instrText xml:space="preserve"> PAGE   \* MERGEFORMAT </w:instrText>
        </w:r>
        <w:r w:rsidRPr="00C95D04">
          <w:rPr>
            <w:rFonts w:ascii="Arial" w:hAnsi="Arial" w:cs="Arial"/>
          </w:rPr>
          <w:fldChar w:fldCharType="separate"/>
        </w:r>
        <w:r w:rsidRPr="00C95D04">
          <w:rPr>
            <w:rFonts w:ascii="Arial" w:hAnsi="Arial" w:cs="Arial"/>
            <w:noProof/>
          </w:rPr>
          <w:t>2</w:t>
        </w:r>
        <w:r w:rsidRPr="00C95D04">
          <w:rPr>
            <w:rFonts w:ascii="Arial" w:hAnsi="Arial" w:cs="Arial"/>
            <w:noProof/>
          </w:rPr>
          <w:fldChar w:fldCharType="end"/>
        </w:r>
      </w:p>
    </w:sdtContent>
  </w:sdt>
  <w:p w14:paraId="2478B654" w14:textId="77777777" w:rsidR="00BE0EFA" w:rsidRPr="00C95D04"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8BF3" w14:textId="77777777" w:rsidR="00687903" w:rsidRDefault="00687903" w:rsidP="00C84EE3">
      <w:pPr>
        <w:spacing w:after="0" w:line="240" w:lineRule="auto"/>
      </w:pPr>
      <w:r>
        <w:separator/>
      </w:r>
    </w:p>
  </w:footnote>
  <w:footnote w:type="continuationSeparator" w:id="0">
    <w:p w14:paraId="387DA2EA" w14:textId="77777777" w:rsidR="00687903" w:rsidRDefault="00687903" w:rsidP="00C84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206"/>
    <w:multiLevelType w:val="hybridMultilevel"/>
    <w:tmpl w:val="B786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67FCB"/>
    <w:multiLevelType w:val="multilevel"/>
    <w:tmpl w:val="C39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21605"/>
    <w:multiLevelType w:val="hybridMultilevel"/>
    <w:tmpl w:val="E922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D44C4"/>
    <w:multiLevelType w:val="hybridMultilevel"/>
    <w:tmpl w:val="A38A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8164B"/>
    <w:multiLevelType w:val="hybridMultilevel"/>
    <w:tmpl w:val="EC1C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17265"/>
    <w:multiLevelType w:val="hybridMultilevel"/>
    <w:tmpl w:val="C264F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F8705A"/>
    <w:multiLevelType w:val="hybridMultilevel"/>
    <w:tmpl w:val="BADE5C36"/>
    <w:lvl w:ilvl="0" w:tplc="E0CA68C4">
      <w:start w:val="1"/>
      <w:numFmt w:val="upperRoman"/>
      <w:lvlText w:val="%1."/>
      <w:lvlJc w:val="left"/>
      <w:pPr>
        <w:ind w:left="486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02FA2"/>
    <w:multiLevelType w:val="hybridMultilevel"/>
    <w:tmpl w:val="7A20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3701AB"/>
    <w:multiLevelType w:val="hybridMultilevel"/>
    <w:tmpl w:val="39AE4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E7C5CDF"/>
    <w:multiLevelType w:val="multilevel"/>
    <w:tmpl w:val="39501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EE2EC3"/>
    <w:multiLevelType w:val="hybridMultilevel"/>
    <w:tmpl w:val="C97C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106209">
    <w:abstractNumId w:val="6"/>
  </w:num>
  <w:num w:numId="2" w16cid:durableId="755782452">
    <w:abstractNumId w:val="4"/>
  </w:num>
  <w:num w:numId="3" w16cid:durableId="1177689347">
    <w:abstractNumId w:val="3"/>
  </w:num>
  <w:num w:numId="4" w16cid:durableId="683551456">
    <w:abstractNumId w:val="0"/>
  </w:num>
  <w:num w:numId="5" w16cid:durableId="1211459263">
    <w:abstractNumId w:val="10"/>
  </w:num>
  <w:num w:numId="6" w16cid:durableId="1237545629">
    <w:abstractNumId w:val="9"/>
  </w:num>
  <w:num w:numId="7" w16cid:durableId="490951958">
    <w:abstractNumId w:val="1"/>
  </w:num>
  <w:num w:numId="8" w16cid:durableId="113718622">
    <w:abstractNumId w:val="2"/>
  </w:num>
  <w:num w:numId="9" w16cid:durableId="457139585">
    <w:abstractNumId w:val="7"/>
  </w:num>
  <w:num w:numId="10" w16cid:durableId="1535535779">
    <w:abstractNumId w:val="5"/>
  </w:num>
  <w:num w:numId="11" w16cid:durableId="342440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B7"/>
    <w:rsid w:val="00016359"/>
    <w:rsid w:val="00032C6B"/>
    <w:rsid w:val="000437DF"/>
    <w:rsid w:val="00044D19"/>
    <w:rsid w:val="00054A2A"/>
    <w:rsid w:val="00057333"/>
    <w:rsid w:val="000679E8"/>
    <w:rsid w:val="00070613"/>
    <w:rsid w:val="0007147A"/>
    <w:rsid w:val="00082495"/>
    <w:rsid w:val="00083033"/>
    <w:rsid w:val="0009664D"/>
    <w:rsid w:val="000B7084"/>
    <w:rsid w:val="000D146C"/>
    <w:rsid w:val="000D5193"/>
    <w:rsid w:val="000D5A4F"/>
    <w:rsid w:val="000E313C"/>
    <w:rsid w:val="000E566D"/>
    <w:rsid w:val="000F11A7"/>
    <w:rsid w:val="000F64D1"/>
    <w:rsid w:val="001023F1"/>
    <w:rsid w:val="001068F1"/>
    <w:rsid w:val="00115FD7"/>
    <w:rsid w:val="001336AB"/>
    <w:rsid w:val="00137B82"/>
    <w:rsid w:val="0014645E"/>
    <w:rsid w:val="001474B7"/>
    <w:rsid w:val="00153029"/>
    <w:rsid w:val="001536F3"/>
    <w:rsid w:val="00153BFA"/>
    <w:rsid w:val="00175835"/>
    <w:rsid w:val="0018266A"/>
    <w:rsid w:val="001A5D20"/>
    <w:rsid w:val="001A5F2E"/>
    <w:rsid w:val="001A74CB"/>
    <w:rsid w:val="001B1FD9"/>
    <w:rsid w:val="001B3D3D"/>
    <w:rsid w:val="001C210B"/>
    <w:rsid w:val="001C7972"/>
    <w:rsid w:val="001F1D3E"/>
    <w:rsid w:val="001F3C2C"/>
    <w:rsid w:val="00203F9C"/>
    <w:rsid w:val="00211A66"/>
    <w:rsid w:val="00213DCA"/>
    <w:rsid w:val="002148A7"/>
    <w:rsid w:val="0021555D"/>
    <w:rsid w:val="00225061"/>
    <w:rsid w:val="00230B69"/>
    <w:rsid w:val="002437EC"/>
    <w:rsid w:val="00246A56"/>
    <w:rsid w:val="0026054D"/>
    <w:rsid w:val="0027185A"/>
    <w:rsid w:val="00271F33"/>
    <w:rsid w:val="00283F11"/>
    <w:rsid w:val="002B4063"/>
    <w:rsid w:val="002B6C83"/>
    <w:rsid w:val="002C2C63"/>
    <w:rsid w:val="002C45D6"/>
    <w:rsid w:val="002C5AE1"/>
    <w:rsid w:val="002C61A0"/>
    <w:rsid w:val="002D0852"/>
    <w:rsid w:val="002E1642"/>
    <w:rsid w:val="002E4BDE"/>
    <w:rsid w:val="0030256E"/>
    <w:rsid w:val="003117E0"/>
    <w:rsid w:val="00311A71"/>
    <w:rsid w:val="003133B3"/>
    <w:rsid w:val="00324EBB"/>
    <w:rsid w:val="00325C34"/>
    <w:rsid w:val="0033204A"/>
    <w:rsid w:val="00332A74"/>
    <w:rsid w:val="003349A7"/>
    <w:rsid w:val="003350B2"/>
    <w:rsid w:val="00351C55"/>
    <w:rsid w:val="00357D16"/>
    <w:rsid w:val="00367200"/>
    <w:rsid w:val="003708D9"/>
    <w:rsid w:val="00374F55"/>
    <w:rsid w:val="00376AEC"/>
    <w:rsid w:val="00383FFD"/>
    <w:rsid w:val="00386421"/>
    <w:rsid w:val="00393E0C"/>
    <w:rsid w:val="0039604D"/>
    <w:rsid w:val="00396D68"/>
    <w:rsid w:val="003A1E3B"/>
    <w:rsid w:val="003D3CC6"/>
    <w:rsid w:val="003E2FDF"/>
    <w:rsid w:val="003F566B"/>
    <w:rsid w:val="00405E0B"/>
    <w:rsid w:val="00423CD5"/>
    <w:rsid w:val="00451DB7"/>
    <w:rsid w:val="00467530"/>
    <w:rsid w:val="004704F0"/>
    <w:rsid w:val="004724AF"/>
    <w:rsid w:val="00474566"/>
    <w:rsid w:val="00482BA2"/>
    <w:rsid w:val="00487EE8"/>
    <w:rsid w:val="00490D13"/>
    <w:rsid w:val="0049560E"/>
    <w:rsid w:val="004A291D"/>
    <w:rsid w:val="004C048F"/>
    <w:rsid w:val="004C46FB"/>
    <w:rsid w:val="005114BA"/>
    <w:rsid w:val="0052764F"/>
    <w:rsid w:val="00530BC9"/>
    <w:rsid w:val="00530EB5"/>
    <w:rsid w:val="005311D8"/>
    <w:rsid w:val="005331F3"/>
    <w:rsid w:val="00533EB4"/>
    <w:rsid w:val="00560D69"/>
    <w:rsid w:val="0057392E"/>
    <w:rsid w:val="00574C6A"/>
    <w:rsid w:val="00582546"/>
    <w:rsid w:val="00582771"/>
    <w:rsid w:val="00591440"/>
    <w:rsid w:val="00594FE8"/>
    <w:rsid w:val="005A00CE"/>
    <w:rsid w:val="005B2217"/>
    <w:rsid w:val="005C0EE7"/>
    <w:rsid w:val="005C5027"/>
    <w:rsid w:val="005F5F08"/>
    <w:rsid w:val="00600271"/>
    <w:rsid w:val="006024DC"/>
    <w:rsid w:val="00616165"/>
    <w:rsid w:val="00633B15"/>
    <w:rsid w:val="00640000"/>
    <w:rsid w:val="006611F0"/>
    <w:rsid w:val="006738A6"/>
    <w:rsid w:val="006768D3"/>
    <w:rsid w:val="00687903"/>
    <w:rsid w:val="006A6A8D"/>
    <w:rsid w:val="006A6E7F"/>
    <w:rsid w:val="006B3D66"/>
    <w:rsid w:val="006C6177"/>
    <w:rsid w:val="006D125F"/>
    <w:rsid w:val="006D5E03"/>
    <w:rsid w:val="006F27F5"/>
    <w:rsid w:val="006F4B1B"/>
    <w:rsid w:val="00712279"/>
    <w:rsid w:val="0071504D"/>
    <w:rsid w:val="00724BCB"/>
    <w:rsid w:val="00725BB6"/>
    <w:rsid w:val="0072770B"/>
    <w:rsid w:val="007301EB"/>
    <w:rsid w:val="00741277"/>
    <w:rsid w:val="007415A4"/>
    <w:rsid w:val="007614BE"/>
    <w:rsid w:val="007628BB"/>
    <w:rsid w:val="007647E2"/>
    <w:rsid w:val="00782D3F"/>
    <w:rsid w:val="007904D7"/>
    <w:rsid w:val="0079511B"/>
    <w:rsid w:val="007A19C7"/>
    <w:rsid w:val="007A5C76"/>
    <w:rsid w:val="007A6764"/>
    <w:rsid w:val="007B3D2D"/>
    <w:rsid w:val="007C2E84"/>
    <w:rsid w:val="007D1801"/>
    <w:rsid w:val="007E60E2"/>
    <w:rsid w:val="007E799A"/>
    <w:rsid w:val="007E7E33"/>
    <w:rsid w:val="00800DEA"/>
    <w:rsid w:val="00812F66"/>
    <w:rsid w:val="008167DA"/>
    <w:rsid w:val="00816D73"/>
    <w:rsid w:val="00825134"/>
    <w:rsid w:val="0083306A"/>
    <w:rsid w:val="0084624C"/>
    <w:rsid w:val="00855881"/>
    <w:rsid w:val="00864969"/>
    <w:rsid w:val="008649F9"/>
    <w:rsid w:val="00867D43"/>
    <w:rsid w:val="0087076D"/>
    <w:rsid w:val="00871087"/>
    <w:rsid w:val="00885C9A"/>
    <w:rsid w:val="008A20F5"/>
    <w:rsid w:val="008A6F28"/>
    <w:rsid w:val="008B71EC"/>
    <w:rsid w:val="008D2E17"/>
    <w:rsid w:val="008E3A09"/>
    <w:rsid w:val="008E4EAC"/>
    <w:rsid w:val="008F2ECA"/>
    <w:rsid w:val="008F75C1"/>
    <w:rsid w:val="00902297"/>
    <w:rsid w:val="0091541C"/>
    <w:rsid w:val="009172CB"/>
    <w:rsid w:val="00922FD3"/>
    <w:rsid w:val="00932874"/>
    <w:rsid w:val="009531B1"/>
    <w:rsid w:val="009600D2"/>
    <w:rsid w:val="00970B6D"/>
    <w:rsid w:val="0097418E"/>
    <w:rsid w:val="00975A9F"/>
    <w:rsid w:val="00985BFF"/>
    <w:rsid w:val="0099512D"/>
    <w:rsid w:val="009954FE"/>
    <w:rsid w:val="009A28ED"/>
    <w:rsid w:val="009C1415"/>
    <w:rsid w:val="009D566C"/>
    <w:rsid w:val="009D5B3B"/>
    <w:rsid w:val="009E0C94"/>
    <w:rsid w:val="009E64D4"/>
    <w:rsid w:val="009F408B"/>
    <w:rsid w:val="00A15CAC"/>
    <w:rsid w:val="00A164C1"/>
    <w:rsid w:val="00A17BE3"/>
    <w:rsid w:val="00A17EFB"/>
    <w:rsid w:val="00A26FF6"/>
    <w:rsid w:val="00A317FE"/>
    <w:rsid w:val="00A31CA8"/>
    <w:rsid w:val="00A31EC5"/>
    <w:rsid w:val="00A35F0B"/>
    <w:rsid w:val="00A425E8"/>
    <w:rsid w:val="00A432BC"/>
    <w:rsid w:val="00A47614"/>
    <w:rsid w:val="00A47DD9"/>
    <w:rsid w:val="00A51EB5"/>
    <w:rsid w:val="00A8370E"/>
    <w:rsid w:val="00A8617F"/>
    <w:rsid w:val="00A95B69"/>
    <w:rsid w:val="00AA14D6"/>
    <w:rsid w:val="00AB3676"/>
    <w:rsid w:val="00AB547A"/>
    <w:rsid w:val="00AB6B3D"/>
    <w:rsid w:val="00AC2A7B"/>
    <w:rsid w:val="00AD73C3"/>
    <w:rsid w:val="00AF179C"/>
    <w:rsid w:val="00B150A1"/>
    <w:rsid w:val="00B160DF"/>
    <w:rsid w:val="00B22ED4"/>
    <w:rsid w:val="00B35E0D"/>
    <w:rsid w:val="00B4470D"/>
    <w:rsid w:val="00B45B79"/>
    <w:rsid w:val="00B60DA7"/>
    <w:rsid w:val="00B86C3D"/>
    <w:rsid w:val="00B90290"/>
    <w:rsid w:val="00B94B4A"/>
    <w:rsid w:val="00BA4B3B"/>
    <w:rsid w:val="00BB2555"/>
    <w:rsid w:val="00BB3750"/>
    <w:rsid w:val="00BB4196"/>
    <w:rsid w:val="00BE0EFA"/>
    <w:rsid w:val="00BE5695"/>
    <w:rsid w:val="00BF41D9"/>
    <w:rsid w:val="00BF59FE"/>
    <w:rsid w:val="00C15B34"/>
    <w:rsid w:val="00C2211F"/>
    <w:rsid w:val="00C22744"/>
    <w:rsid w:val="00C31524"/>
    <w:rsid w:val="00C34FE4"/>
    <w:rsid w:val="00C3665B"/>
    <w:rsid w:val="00C379EA"/>
    <w:rsid w:val="00C4010C"/>
    <w:rsid w:val="00C454D9"/>
    <w:rsid w:val="00C66248"/>
    <w:rsid w:val="00C824D2"/>
    <w:rsid w:val="00C84EE3"/>
    <w:rsid w:val="00C928F2"/>
    <w:rsid w:val="00C95D04"/>
    <w:rsid w:val="00CA0239"/>
    <w:rsid w:val="00CA3287"/>
    <w:rsid w:val="00CC0714"/>
    <w:rsid w:val="00CC448B"/>
    <w:rsid w:val="00CD7FC2"/>
    <w:rsid w:val="00CE4776"/>
    <w:rsid w:val="00CE5054"/>
    <w:rsid w:val="00D146E8"/>
    <w:rsid w:val="00D27F50"/>
    <w:rsid w:val="00D35BD1"/>
    <w:rsid w:val="00D362E1"/>
    <w:rsid w:val="00D4085A"/>
    <w:rsid w:val="00D443D4"/>
    <w:rsid w:val="00D52FCC"/>
    <w:rsid w:val="00D60125"/>
    <w:rsid w:val="00D78BF4"/>
    <w:rsid w:val="00D916C5"/>
    <w:rsid w:val="00D93CD9"/>
    <w:rsid w:val="00D94D2B"/>
    <w:rsid w:val="00D978D1"/>
    <w:rsid w:val="00DA1051"/>
    <w:rsid w:val="00DA1411"/>
    <w:rsid w:val="00DA1925"/>
    <w:rsid w:val="00DA7853"/>
    <w:rsid w:val="00DC6F17"/>
    <w:rsid w:val="00DD2F98"/>
    <w:rsid w:val="00DF2A31"/>
    <w:rsid w:val="00E0707D"/>
    <w:rsid w:val="00E21D98"/>
    <w:rsid w:val="00E24CF3"/>
    <w:rsid w:val="00E24DF8"/>
    <w:rsid w:val="00E30161"/>
    <w:rsid w:val="00E4778B"/>
    <w:rsid w:val="00E549EA"/>
    <w:rsid w:val="00E57B16"/>
    <w:rsid w:val="00E60944"/>
    <w:rsid w:val="00E63E19"/>
    <w:rsid w:val="00E64782"/>
    <w:rsid w:val="00E67E76"/>
    <w:rsid w:val="00E71998"/>
    <w:rsid w:val="00E76720"/>
    <w:rsid w:val="00E86EFA"/>
    <w:rsid w:val="00EA51FB"/>
    <w:rsid w:val="00EA73CC"/>
    <w:rsid w:val="00EA7B63"/>
    <w:rsid w:val="00ED05DF"/>
    <w:rsid w:val="00ED2DD3"/>
    <w:rsid w:val="00ED5C4B"/>
    <w:rsid w:val="00ED664F"/>
    <w:rsid w:val="00EE25FC"/>
    <w:rsid w:val="00EF2267"/>
    <w:rsid w:val="00F00022"/>
    <w:rsid w:val="00F05C9B"/>
    <w:rsid w:val="00F1143C"/>
    <w:rsid w:val="00F14E1A"/>
    <w:rsid w:val="00F24E91"/>
    <w:rsid w:val="00F32CC8"/>
    <w:rsid w:val="00F65BB6"/>
    <w:rsid w:val="00F77910"/>
    <w:rsid w:val="00F81EF9"/>
    <w:rsid w:val="00F93DAF"/>
    <w:rsid w:val="00F95B01"/>
    <w:rsid w:val="00FA26E6"/>
    <w:rsid w:val="00FA3B94"/>
    <w:rsid w:val="00FA7846"/>
    <w:rsid w:val="00FD7138"/>
    <w:rsid w:val="00FD7566"/>
    <w:rsid w:val="00FF1670"/>
    <w:rsid w:val="0115C827"/>
    <w:rsid w:val="01308B9F"/>
    <w:rsid w:val="016DDD8B"/>
    <w:rsid w:val="03598848"/>
    <w:rsid w:val="03B1F1A4"/>
    <w:rsid w:val="05D679F8"/>
    <w:rsid w:val="077FD72A"/>
    <w:rsid w:val="078FA325"/>
    <w:rsid w:val="0A10D3DA"/>
    <w:rsid w:val="0A9EE97C"/>
    <w:rsid w:val="0AC59799"/>
    <w:rsid w:val="0B23F0C0"/>
    <w:rsid w:val="0B7587BC"/>
    <w:rsid w:val="0BBE0FE2"/>
    <w:rsid w:val="0C59D996"/>
    <w:rsid w:val="0E73425D"/>
    <w:rsid w:val="0EDEEC0C"/>
    <w:rsid w:val="0FBFBBA3"/>
    <w:rsid w:val="10206BA3"/>
    <w:rsid w:val="10AFD17C"/>
    <w:rsid w:val="11982994"/>
    <w:rsid w:val="11B42164"/>
    <w:rsid w:val="12EB189F"/>
    <w:rsid w:val="136041DB"/>
    <w:rsid w:val="13AF53B9"/>
    <w:rsid w:val="13D31019"/>
    <w:rsid w:val="13FD1AD5"/>
    <w:rsid w:val="1439C41D"/>
    <w:rsid w:val="14A871A2"/>
    <w:rsid w:val="15711473"/>
    <w:rsid w:val="15E8D147"/>
    <w:rsid w:val="1640EC44"/>
    <w:rsid w:val="16DC5FF2"/>
    <w:rsid w:val="19E75C0C"/>
    <w:rsid w:val="1A902573"/>
    <w:rsid w:val="1B0A0B83"/>
    <w:rsid w:val="1BCEC780"/>
    <w:rsid w:val="1E1C2620"/>
    <w:rsid w:val="1EE715A3"/>
    <w:rsid w:val="1FA5AE21"/>
    <w:rsid w:val="20551977"/>
    <w:rsid w:val="2186227A"/>
    <w:rsid w:val="220BFF65"/>
    <w:rsid w:val="22BE499C"/>
    <w:rsid w:val="26E6F01F"/>
    <w:rsid w:val="2771511A"/>
    <w:rsid w:val="286E9926"/>
    <w:rsid w:val="29610792"/>
    <w:rsid w:val="2A8A8134"/>
    <w:rsid w:val="2E4CB8C6"/>
    <w:rsid w:val="321B4CC4"/>
    <w:rsid w:val="343F565C"/>
    <w:rsid w:val="3595B53B"/>
    <w:rsid w:val="36520B69"/>
    <w:rsid w:val="382F8A4B"/>
    <w:rsid w:val="38DABD1B"/>
    <w:rsid w:val="3A47F860"/>
    <w:rsid w:val="3A5BB5D5"/>
    <w:rsid w:val="3AA451DD"/>
    <w:rsid w:val="3AE8E676"/>
    <w:rsid w:val="3BDBC4FC"/>
    <w:rsid w:val="3C279D15"/>
    <w:rsid w:val="3CCA9D5C"/>
    <w:rsid w:val="3CD8D103"/>
    <w:rsid w:val="3F77A0A7"/>
    <w:rsid w:val="3FC5803F"/>
    <w:rsid w:val="400E4088"/>
    <w:rsid w:val="41B4505D"/>
    <w:rsid w:val="42E4F53A"/>
    <w:rsid w:val="4367B93C"/>
    <w:rsid w:val="44B5FF32"/>
    <w:rsid w:val="45136482"/>
    <w:rsid w:val="458E00E0"/>
    <w:rsid w:val="45A980F8"/>
    <w:rsid w:val="45C1A1E8"/>
    <w:rsid w:val="466EFB64"/>
    <w:rsid w:val="46A8C622"/>
    <w:rsid w:val="4815720F"/>
    <w:rsid w:val="483D5C6B"/>
    <w:rsid w:val="4856DFE4"/>
    <w:rsid w:val="48D09E74"/>
    <w:rsid w:val="4972DE5B"/>
    <w:rsid w:val="4A3F16DF"/>
    <w:rsid w:val="4A9B3F65"/>
    <w:rsid w:val="4C7E7D2F"/>
    <w:rsid w:val="4E2CDB26"/>
    <w:rsid w:val="4EFDC3DE"/>
    <w:rsid w:val="4FE6F4E7"/>
    <w:rsid w:val="506C9362"/>
    <w:rsid w:val="510C2706"/>
    <w:rsid w:val="51C06E31"/>
    <w:rsid w:val="54537A78"/>
    <w:rsid w:val="5551F648"/>
    <w:rsid w:val="55B73D35"/>
    <w:rsid w:val="576581F6"/>
    <w:rsid w:val="579F8606"/>
    <w:rsid w:val="57DD9852"/>
    <w:rsid w:val="583DFBA9"/>
    <w:rsid w:val="58DF69DD"/>
    <w:rsid w:val="591FF6BB"/>
    <w:rsid w:val="5A35F797"/>
    <w:rsid w:val="5B69D71A"/>
    <w:rsid w:val="5BE8D178"/>
    <w:rsid w:val="5BEF9C21"/>
    <w:rsid w:val="5C06E637"/>
    <w:rsid w:val="5D189766"/>
    <w:rsid w:val="5E53E059"/>
    <w:rsid w:val="5EAF15FF"/>
    <w:rsid w:val="5F348F4A"/>
    <w:rsid w:val="6004C68C"/>
    <w:rsid w:val="603AC8FE"/>
    <w:rsid w:val="60A0FB15"/>
    <w:rsid w:val="62703F46"/>
    <w:rsid w:val="672A875F"/>
    <w:rsid w:val="67AB2A56"/>
    <w:rsid w:val="6A8622C0"/>
    <w:rsid w:val="6C7F4CC6"/>
    <w:rsid w:val="6E206FEB"/>
    <w:rsid w:val="6E29AD99"/>
    <w:rsid w:val="7253843C"/>
    <w:rsid w:val="7490E63A"/>
    <w:rsid w:val="75846418"/>
    <w:rsid w:val="76174D70"/>
    <w:rsid w:val="77639C8C"/>
    <w:rsid w:val="7801FE09"/>
    <w:rsid w:val="789049D8"/>
    <w:rsid w:val="7EC55634"/>
    <w:rsid w:val="7EF407C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BA20"/>
  <w15:chartTrackingRefBased/>
  <w15:docId w15:val="{8404DC0D-59F9-4EA3-B27A-90C06AE8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link w:val="ListParagraphChar"/>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paragraph" w:styleId="TOCHeading">
    <w:name w:val="TOC Heading"/>
    <w:basedOn w:val="Heading1"/>
    <w:next w:val="Normal"/>
    <w:uiPriority w:val="39"/>
    <w:unhideWhenUsed/>
    <w:qFormat/>
    <w:rsid w:val="00EF226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F2267"/>
    <w:pPr>
      <w:spacing w:after="100"/>
    </w:pPr>
  </w:style>
  <w:style w:type="character" w:styleId="Hyperlink">
    <w:name w:val="Hyperlink"/>
    <w:basedOn w:val="DefaultParagraphFont"/>
    <w:uiPriority w:val="99"/>
    <w:unhideWhenUsed/>
    <w:rsid w:val="00EF2267"/>
    <w:rPr>
      <w:color w:val="467886" w:themeColor="hyperlink"/>
      <w:u w:val="single"/>
    </w:rPr>
  </w:style>
  <w:style w:type="paragraph" w:styleId="Revision">
    <w:name w:val="Revision"/>
    <w:hidden/>
    <w:uiPriority w:val="99"/>
    <w:semiHidden/>
    <w:rsid w:val="006024DC"/>
    <w:pPr>
      <w:spacing w:after="0" w:line="240" w:lineRule="auto"/>
    </w:pPr>
  </w:style>
  <w:style w:type="character" w:customStyle="1" w:styleId="ListParagraphChar">
    <w:name w:val="List Paragraph Char"/>
    <w:basedOn w:val="DefaultParagraphFont"/>
    <w:link w:val="ListParagraph"/>
    <w:uiPriority w:val="34"/>
    <w:locked/>
    <w:rsid w:val="00974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ou\Downloads\NEW%20DESE%20Memo%20Commissioner%20Martinez%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82DA4D39-C346-4CBC-96B6-CA3178263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NEW DESE Memo Commissioner Martinez 2026.dotx</Template>
  <TotalTime>2</TotalTime>
  <Pages>6</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BESE April 28, 2026 Regular Meeting Item 5: FY27 House Ways and Means Budget Proposal</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April 28, 2026 Regular Meeting Item 5: FY27 House Ways and Means Budget Proposal</dc:title>
  <dc:subject/>
  <dc:creator>DESE</dc:creator>
  <cp:keywords/>
  <dc:description/>
  <cp:lastModifiedBy>Zou, Dong (EOE)</cp:lastModifiedBy>
  <cp:revision>188</cp:revision>
  <dcterms:created xsi:type="dcterms:W3CDTF">2026-04-16T02:39:00Z</dcterms:created>
  <dcterms:modified xsi:type="dcterms:W3CDTF">2026-04-22T21:45:00Z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22 2026 12:00AM</vt:lpwstr>
  </property>
</Properties>
</file>