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9972" w14:textId="15C46880" w:rsidR="77D9DD77" w:rsidRDefault="77D9DD77" w:rsidP="765BC955">
      <w:pPr>
        <w:rPr>
          <w:rFonts w:ascii="Arial" w:eastAsia="Arial" w:hAnsi="Arial" w:cs="Arial"/>
        </w:rPr>
        <w:sectPr w:rsidR="77D9DD77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482BA2" w:rsidRDefault="00C3665B" w:rsidP="5BEF9C21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DB47B2A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1272747C" w14:textId="77777777" w:rsidR="00C3665B" w:rsidRPr="00482BA2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napToGrid w:val="0"/>
          <w:szCs w:val="20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1395"/>
        <w:gridCol w:w="7965"/>
      </w:tblGrid>
      <w:tr w:rsidR="00C3665B" w:rsidRPr="00482BA2" w14:paraId="30B0F129" w14:textId="77777777" w:rsidTr="351875E9">
        <w:trPr>
          <w:trHeight w:val="300"/>
        </w:trPr>
        <w:tc>
          <w:tcPr>
            <w:tcW w:w="1395" w:type="dxa"/>
          </w:tcPr>
          <w:p w14:paraId="4BEB8732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7965" w:type="dxa"/>
          </w:tcPr>
          <w:p w14:paraId="25AE7450" w14:textId="11F95764" w:rsidR="00C3665B" w:rsidRPr="00482BA2" w:rsidRDefault="00D27E05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D27E05">
              <w:rPr>
                <w:rFonts w:ascii="Arial" w:eastAsia="Aptos" w:hAnsi="Arial" w:cs="Arial"/>
                <w:color w:val="000000" w:themeColor="text1"/>
              </w:rPr>
              <w:t>Members of the Board of Elementary and Secondary Education</w:t>
            </w:r>
            <w:r w:rsidR="0B7587BC" w:rsidRPr="00482BA2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482BA2" w14:paraId="014ADFC2" w14:textId="77777777" w:rsidTr="351875E9">
        <w:trPr>
          <w:trHeight w:val="300"/>
        </w:trPr>
        <w:tc>
          <w:tcPr>
            <w:tcW w:w="1395" w:type="dxa"/>
          </w:tcPr>
          <w:p w14:paraId="0F209268" w14:textId="798AFE7C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965" w:type="dxa"/>
          </w:tcPr>
          <w:p w14:paraId="6F9D5175" w14:textId="6691D35F" w:rsidR="00C3665B" w:rsidRPr="00482BA2" w:rsidRDefault="3F6ED91F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718C6942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718C6942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482BA2" w14:paraId="02FD8403" w14:textId="77777777" w:rsidTr="351875E9">
        <w:trPr>
          <w:trHeight w:val="300"/>
        </w:trPr>
        <w:tc>
          <w:tcPr>
            <w:tcW w:w="1395" w:type="dxa"/>
          </w:tcPr>
          <w:p w14:paraId="3076B878" w14:textId="55E843E3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965" w:type="dxa"/>
          </w:tcPr>
          <w:p w14:paraId="558FA6C4" w14:textId="212F602C" w:rsidR="00C3665B" w:rsidRPr="00482BA2" w:rsidRDefault="00CE7037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351875E9">
              <w:rPr>
                <w:rFonts w:ascii="Arial" w:eastAsia="Arial" w:hAnsi="Arial" w:cs="Arial"/>
              </w:rPr>
              <w:t>May</w:t>
            </w:r>
            <w:r w:rsidR="59A6BAF0" w:rsidRPr="351875E9">
              <w:rPr>
                <w:rFonts w:ascii="Arial" w:eastAsia="Arial" w:hAnsi="Arial" w:cs="Arial"/>
              </w:rPr>
              <w:t xml:space="preserve"> 1</w:t>
            </w:r>
            <w:r w:rsidR="52A91422" w:rsidRPr="351875E9">
              <w:rPr>
                <w:rFonts w:ascii="Arial" w:eastAsia="Arial" w:hAnsi="Arial" w:cs="Arial"/>
              </w:rPr>
              <w:t>4</w:t>
            </w:r>
            <w:r w:rsidR="17E8EB6E" w:rsidRPr="351875E9">
              <w:rPr>
                <w:rFonts w:ascii="Arial" w:eastAsia="Arial" w:hAnsi="Arial" w:cs="Arial"/>
              </w:rPr>
              <w:t>, 2026</w:t>
            </w:r>
          </w:p>
        </w:tc>
      </w:tr>
      <w:tr w:rsidR="00C3665B" w:rsidRPr="00482BA2" w14:paraId="3A43128D" w14:textId="77777777" w:rsidTr="351875E9">
        <w:trPr>
          <w:trHeight w:val="300"/>
        </w:trPr>
        <w:tc>
          <w:tcPr>
            <w:tcW w:w="1395" w:type="dxa"/>
          </w:tcPr>
          <w:p w14:paraId="52BE17F1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7965" w:type="dxa"/>
          </w:tcPr>
          <w:p w14:paraId="61A962E0" w14:textId="16E9671E" w:rsidR="00C3665B" w:rsidRPr="00482BA2" w:rsidRDefault="00CE7037" w:rsidP="2C5E9E37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>Research and Evaluation at DESE</w:t>
            </w:r>
          </w:p>
        </w:tc>
      </w:tr>
    </w:tbl>
    <w:p w14:paraId="3A2B89A2" w14:textId="77777777" w:rsidR="00C3665B" w:rsidRPr="00482BA2" w:rsidRDefault="00C3665B" w:rsidP="00C3665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739CB3E" w14:textId="2FF178FE" w:rsidR="765BC955" w:rsidRDefault="765BC955" w:rsidP="000B6893">
      <w:pPr>
        <w:spacing w:after="0"/>
        <w:rPr>
          <w:rFonts w:ascii="Arial" w:hAnsi="Arial" w:cs="Arial"/>
        </w:rPr>
      </w:pPr>
    </w:p>
    <w:p w14:paraId="39F3F946" w14:textId="7A5EF5C4" w:rsidR="006F270B" w:rsidRDefault="004F1C74" w:rsidP="006F2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14" w:history="1">
        <w:r w:rsidR="006F270B" w:rsidRPr="00266DB2">
          <w:rPr>
            <w:rStyle w:val="Hyperlink"/>
            <w:rFonts w:ascii="Arial" w:hAnsi="Arial" w:cs="Arial"/>
          </w:rPr>
          <w:t>Office of Planning and Research</w:t>
        </w:r>
      </w:hyperlink>
      <w:r w:rsidR="006F270B" w:rsidRPr="7798B319">
        <w:rPr>
          <w:rFonts w:ascii="Arial" w:hAnsi="Arial" w:cs="Arial"/>
        </w:rPr>
        <w:t xml:space="preserve"> (OPR) </w:t>
      </w:r>
      <w:r>
        <w:rPr>
          <w:rFonts w:ascii="Arial" w:hAnsi="Arial" w:cs="Arial"/>
        </w:rPr>
        <w:t>at the Department of Elementary and Secondary Education (</w:t>
      </w:r>
      <w:r w:rsidR="00851524">
        <w:rPr>
          <w:rFonts w:ascii="Arial" w:hAnsi="Arial" w:cs="Arial"/>
        </w:rPr>
        <w:t xml:space="preserve">DESE/Department) </w:t>
      </w:r>
      <w:r w:rsidR="006F270B" w:rsidRPr="7798B319">
        <w:rPr>
          <w:rFonts w:ascii="Arial" w:hAnsi="Arial" w:cs="Arial"/>
        </w:rPr>
        <w:t xml:space="preserve">serves as the </w:t>
      </w:r>
      <w:r w:rsidR="000002DF">
        <w:rPr>
          <w:rFonts w:ascii="Arial" w:hAnsi="Arial" w:cs="Arial"/>
        </w:rPr>
        <w:t>nucleus</w:t>
      </w:r>
      <w:r w:rsidR="006F270B" w:rsidRPr="7798B319">
        <w:rPr>
          <w:rFonts w:ascii="Arial" w:hAnsi="Arial" w:cs="Arial"/>
        </w:rPr>
        <w:t xml:space="preserve"> for the Department’s research and evaluation work. </w:t>
      </w:r>
      <w:r w:rsidR="006F50BE">
        <w:rPr>
          <w:rFonts w:ascii="Arial" w:hAnsi="Arial" w:cs="Arial"/>
        </w:rPr>
        <w:t xml:space="preserve">Through </w:t>
      </w:r>
      <w:r w:rsidR="006F270B" w:rsidRPr="7798B319">
        <w:rPr>
          <w:rFonts w:ascii="Arial" w:hAnsi="Arial" w:cs="Arial"/>
        </w:rPr>
        <w:t>OPR</w:t>
      </w:r>
      <w:r w:rsidR="006F50BE">
        <w:rPr>
          <w:rFonts w:ascii="Arial" w:hAnsi="Arial" w:cs="Arial"/>
        </w:rPr>
        <w:t>, DESE</w:t>
      </w:r>
      <w:r w:rsidR="006C208E">
        <w:rPr>
          <w:rFonts w:ascii="Arial" w:hAnsi="Arial" w:cs="Arial"/>
        </w:rPr>
        <w:t xml:space="preserve"> promotes evidence-based </w:t>
      </w:r>
      <w:r w:rsidR="004D6AA9">
        <w:rPr>
          <w:rFonts w:ascii="Arial" w:hAnsi="Arial" w:cs="Arial"/>
        </w:rPr>
        <w:t>decision making</w:t>
      </w:r>
      <w:r w:rsidR="006F270B" w:rsidRPr="7798B319">
        <w:rPr>
          <w:rFonts w:ascii="Arial" w:hAnsi="Arial" w:cs="Arial"/>
        </w:rPr>
        <w:t xml:space="preserve">, develops and manages research partnerships, supports evaluation design, oversees research-related procurements, manages confidential data access, and translates findings into useful resources for agency </w:t>
      </w:r>
      <w:proofErr w:type="gramStart"/>
      <w:r w:rsidR="006F270B" w:rsidRPr="7798B319">
        <w:rPr>
          <w:rFonts w:ascii="Arial" w:hAnsi="Arial" w:cs="Arial"/>
        </w:rPr>
        <w:t>staff, districts</w:t>
      </w:r>
      <w:proofErr w:type="gramEnd"/>
      <w:r w:rsidR="006F270B" w:rsidRPr="7798B319">
        <w:rPr>
          <w:rFonts w:ascii="Arial" w:hAnsi="Arial" w:cs="Arial"/>
        </w:rPr>
        <w:t>, schools, policymakers, and families.</w:t>
      </w:r>
    </w:p>
    <w:p w14:paraId="2C178694" w14:textId="273426D9" w:rsidR="00F9621D" w:rsidRPr="00085080" w:rsidRDefault="00F9621D" w:rsidP="00F9621D">
      <w:pPr>
        <w:rPr>
          <w:rFonts w:ascii="Arial" w:hAnsi="Arial" w:cs="Arial"/>
        </w:rPr>
      </w:pPr>
      <w:r w:rsidRPr="7798B319">
        <w:rPr>
          <w:rFonts w:ascii="Arial" w:hAnsi="Arial" w:cs="Arial"/>
        </w:rPr>
        <w:t>DESE strives to be a</w:t>
      </w:r>
      <w:r w:rsidR="00F360C8">
        <w:rPr>
          <w:rFonts w:ascii="Arial" w:hAnsi="Arial" w:cs="Arial"/>
        </w:rPr>
        <w:t xml:space="preserve"> learning</w:t>
      </w:r>
      <w:r w:rsidRPr="7798B319">
        <w:rPr>
          <w:rFonts w:ascii="Arial" w:hAnsi="Arial" w:cs="Arial"/>
        </w:rPr>
        <w:t xml:space="preserve"> organization</w:t>
      </w:r>
      <w:r w:rsidR="0037039F">
        <w:rPr>
          <w:rStyle w:val="FootnoteReference"/>
          <w:rFonts w:ascii="Arial" w:hAnsi="Arial" w:cs="Arial"/>
        </w:rPr>
        <w:footnoteReference w:id="1"/>
      </w:r>
      <w:r w:rsidRPr="7798B319">
        <w:rPr>
          <w:rFonts w:ascii="Arial" w:hAnsi="Arial" w:cs="Arial"/>
        </w:rPr>
        <w:t xml:space="preserve">. </w:t>
      </w:r>
      <w:r w:rsidR="00370100" w:rsidRPr="00085080">
        <w:rPr>
          <w:rFonts w:ascii="Arial" w:hAnsi="Arial" w:cs="Arial"/>
        </w:rPr>
        <w:t xml:space="preserve">The Department’s research and evaluation practices are designed to </w:t>
      </w:r>
      <w:r w:rsidR="004D6AA9">
        <w:rPr>
          <w:rFonts w:ascii="Arial" w:hAnsi="Arial" w:cs="Arial"/>
        </w:rPr>
        <w:t xml:space="preserve">use </w:t>
      </w:r>
      <w:r w:rsidR="00370100" w:rsidRPr="00085080">
        <w:rPr>
          <w:rFonts w:ascii="Arial" w:hAnsi="Arial" w:cs="Arial"/>
        </w:rPr>
        <w:t xml:space="preserve">evidence </w:t>
      </w:r>
      <w:r w:rsidR="004D6AA9">
        <w:rPr>
          <w:rFonts w:ascii="Arial" w:hAnsi="Arial" w:cs="Arial"/>
        </w:rPr>
        <w:t xml:space="preserve">at each stage </w:t>
      </w:r>
      <w:r w:rsidR="00370100" w:rsidRPr="00085080">
        <w:rPr>
          <w:rFonts w:ascii="Arial" w:hAnsi="Arial" w:cs="Arial"/>
        </w:rPr>
        <w:t xml:space="preserve">of </w:t>
      </w:r>
      <w:r w:rsidR="009F32E8">
        <w:rPr>
          <w:rFonts w:ascii="Arial" w:hAnsi="Arial" w:cs="Arial"/>
        </w:rPr>
        <w:t xml:space="preserve">our </w:t>
      </w:r>
      <w:r w:rsidR="00370100" w:rsidRPr="00085080">
        <w:rPr>
          <w:rFonts w:ascii="Arial" w:hAnsi="Arial" w:cs="Arial"/>
        </w:rPr>
        <w:t>work—from planning</w:t>
      </w:r>
      <w:r w:rsidR="00EA2327">
        <w:rPr>
          <w:rFonts w:ascii="Arial" w:hAnsi="Arial" w:cs="Arial"/>
        </w:rPr>
        <w:t>, development,</w:t>
      </w:r>
      <w:r w:rsidR="00370100" w:rsidRPr="00085080">
        <w:rPr>
          <w:rFonts w:ascii="Arial" w:hAnsi="Arial" w:cs="Arial"/>
        </w:rPr>
        <w:t xml:space="preserve"> and procurement to implementation, oversight, and dissemination. The result is an agency better positioned to </w:t>
      </w:r>
      <w:r w:rsidR="001F0966" w:rsidRPr="7798B319">
        <w:rPr>
          <w:rFonts w:ascii="Arial" w:hAnsi="Arial" w:cs="Arial"/>
        </w:rPr>
        <w:t>t</w:t>
      </w:r>
      <w:r w:rsidRPr="7798B319">
        <w:rPr>
          <w:rFonts w:ascii="Arial" w:hAnsi="Arial" w:cs="Arial"/>
        </w:rPr>
        <w:t xml:space="preserve">est assumptions, </w:t>
      </w:r>
      <w:r w:rsidR="006109EA" w:rsidRPr="00085080">
        <w:rPr>
          <w:rFonts w:ascii="Arial" w:hAnsi="Arial" w:cs="Arial"/>
        </w:rPr>
        <w:t>adapt when needed</w:t>
      </w:r>
      <w:r w:rsidR="006109EA">
        <w:rPr>
          <w:rFonts w:ascii="Arial" w:hAnsi="Arial" w:cs="Arial"/>
        </w:rPr>
        <w:t xml:space="preserve"> to </w:t>
      </w:r>
      <w:r w:rsidRPr="7798B319">
        <w:rPr>
          <w:rFonts w:ascii="Arial" w:hAnsi="Arial" w:cs="Arial"/>
        </w:rPr>
        <w:t xml:space="preserve">improve implementation, identify inequities, use public resources more effectively, and </w:t>
      </w:r>
      <w:r w:rsidR="00195F2C">
        <w:rPr>
          <w:rFonts w:ascii="Arial" w:hAnsi="Arial" w:cs="Arial"/>
        </w:rPr>
        <w:t>most important</w:t>
      </w:r>
      <w:r w:rsidR="009079B9">
        <w:rPr>
          <w:rFonts w:ascii="Arial" w:hAnsi="Arial" w:cs="Arial"/>
        </w:rPr>
        <w:t>ly</w:t>
      </w:r>
      <w:r w:rsidR="00E935DD">
        <w:rPr>
          <w:rFonts w:ascii="Arial" w:hAnsi="Arial" w:cs="Arial"/>
        </w:rPr>
        <w:t>,</w:t>
      </w:r>
      <w:r w:rsidR="00931CEE">
        <w:rPr>
          <w:rFonts w:ascii="Arial" w:hAnsi="Arial" w:cs="Arial"/>
        </w:rPr>
        <w:t xml:space="preserve"> support better </w:t>
      </w:r>
      <w:r w:rsidR="0011380B">
        <w:rPr>
          <w:rFonts w:ascii="Arial" w:hAnsi="Arial" w:cs="Arial"/>
        </w:rPr>
        <w:t xml:space="preserve">outcomes for students </w:t>
      </w:r>
      <w:r w:rsidR="00DB0402">
        <w:rPr>
          <w:rFonts w:ascii="Arial" w:hAnsi="Arial" w:cs="Arial"/>
        </w:rPr>
        <w:t>across the Commonwealth</w:t>
      </w:r>
      <w:r w:rsidR="00195F2C">
        <w:rPr>
          <w:rFonts w:ascii="Arial" w:hAnsi="Arial" w:cs="Arial"/>
        </w:rPr>
        <w:t xml:space="preserve">, </w:t>
      </w:r>
    </w:p>
    <w:p w14:paraId="218C6B25" w14:textId="475BDB0D" w:rsidR="5CA80888" w:rsidRDefault="5CA80888" w:rsidP="5CA80888">
      <w:pPr>
        <w:rPr>
          <w:rFonts w:ascii="Arial" w:hAnsi="Arial" w:cs="Arial"/>
        </w:rPr>
        <w:sectPr w:rsidR="5CA80888" w:rsidSect="00725BB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189EAF" w14:textId="1E22E252" w:rsidR="00C57F8E" w:rsidRPr="00085080" w:rsidRDefault="00276C1E" w:rsidP="00C57F8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57F8E" w:rsidRPr="00085080">
        <w:rPr>
          <w:rFonts w:ascii="Arial" w:hAnsi="Arial" w:cs="Arial"/>
        </w:rPr>
        <w:t>esearch and evaluation at DESE span</w:t>
      </w:r>
      <w:r w:rsidR="00F8043F">
        <w:rPr>
          <w:rFonts w:ascii="Arial" w:hAnsi="Arial" w:cs="Arial"/>
        </w:rPr>
        <w:t>s</w:t>
      </w:r>
      <w:r w:rsidR="00C57F8E" w:rsidRPr="00085080">
        <w:rPr>
          <w:rFonts w:ascii="Arial" w:hAnsi="Arial" w:cs="Arial"/>
        </w:rPr>
        <w:t xml:space="preserve"> multiple strategic priorities and operate</w:t>
      </w:r>
      <w:r w:rsidR="00F8043F">
        <w:rPr>
          <w:rFonts w:ascii="Arial" w:hAnsi="Arial" w:cs="Arial"/>
        </w:rPr>
        <w:t>s</w:t>
      </w:r>
      <w:r w:rsidR="00C57F8E" w:rsidRPr="00085080">
        <w:rPr>
          <w:rFonts w:ascii="Arial" w:hAnsi="Arial" w:cs="Arial"/>
        </w:rPr>
        <w:t xml:space="preserve"> at several levels. Some work </w:t>
      </w:r>
      <w:r w:rsidR="006D72B9">
        <w:rPr>
          <w:rFonts w:ascii="Arial" w:hAnsi="Arial" w:cs="Arial"/>
        </w:rPr>
        <w:t xml:space="preserve">is fully initiated </w:t>
      </w:r>
      <w:r w:rsidR="004B4E02">
        <w:rPr>
          <w:rFonts w:ascii="Arial" w:hAnsi="Arial" w:cs="Arial"/>
        </w:rPr>
        <w:t xml:space="preserve">by DESE, </w:t>
      </w:r>
      <w:r w:rsidR="00C57F8E" w:rsidRPr="00085080">
        <w:rPr>
          <w:rFonts w:ascii="Arial" w:hAnsi="Arial" w:cs="Arial"/>
        </w:rPr>
        <w:t>focus</w:t>
      </w:r>
      <w:r w:rsidR="004B4E02">
        <w:rPr>
          <w:rFonts w:ascii="Arial" w:hAnsi="Arial" w:cs="Arial"/>
        </w:rPr>
        <w:t>ing</w:t>
      </w:r>
      <w:r w:rsidR="00C57F8E" w:rsidRPr="00085080">
        <w:rPr>
          <w:rFonts w:ascii="Arial" w:hAnsi="Arial" w:cs="Arial"/>
        </w:rPr>
        <w:t xml:space="preserve"> on formal evaluations of state</w:t>
      </w:r>
      <w:r w:rsidR="007F1A78">
        <w:rPr>
          <w:rFonts w:ascii="Arial" w:hAnsi="Arial" w:cs="Arial"/>
        </w:rPr>
        <w:t xml:space="preserve"> or </w:t>
      </w:r>
      <w:r w:rsidR="00A67FAF">
        <w:rPr>
          <w:rFonts w:ascii="Arial" w:hAnsi="Arial" w:cs="Arial"/>
        </w:rPr>
        <w:t>federally sponsored</w:t>
      </w:r>
      <w:r w:rsidR="00C57F8E" w:rsidRPr="00085080">
        <w:rPr>
          <w:rFonts w:ascii="Arial" w:hAnsi="Arial" w:cs="Arial"/>
        </w:rPr>
        <w:t xml:space="preserve"> initiatives and grants. </w:t>
      </w:r>
      <w:r w:rsidR="008863C1">
        <w:rPr>
          <w:rFonts w:ascii="Arial" w:hAnsi="Arial" w:cs="Arial"/>
        </w:rPr>
        <w:t xml:space="preserve">Often this work </w:t>
      </w:r>
      <w:r w:rsidR="00914742" w:rsidRPr="00085080">
        <w:rPr>
          <w:rFonts w:ascii="Arial" w:hAnsi="Arial" w:cs="Arial"/>
        </w:rPr>
        <w:t xml:space="preserve">involves </w:t>
      </w:r>
      <w:r w:rsidR="00B74DBD">
        <w:rPr>
          <w:rFonts w:ascii="Arial" w:hAnsi="Arial" w:cs="Arial"/>
        </w:rPr>
        <w:t xml:space="preserve">crafting research questions and making high-level design decisions, followed by the </w:t>
      </w:r>
      <w:r w:rsidR="00AB6EC1">
        <w:rPr>
          <w:rFonts w:ascii="Arial" w:hAnsi="Arial" w:cs="Arial"/>
        </w:rPr>
        <w:t xml:space="preserve">procurement of a </w:t>
      </w:r>
      <w:r w:rsidR="00775E1E">
        <w:rPr>
          <w:rFonts w:ascii="Arial" w:hAnsi="Arial" w:cs="Arial"/>
        </w:rPr>
        <w:t>third-party</w:t>
      </w:r>
      <w:r w:rsidR="00AB6EC1">
        <w:rPr>
          <w:rFonts w:ascii="Arial" w:hAnsi="Arial" w:cs="Arial"/>
        </w:rPr>
        <w:t xml:space="preserve"> research entity to carry </w:t>
      </w:r>
      <w:r w:rsidR="00B74DBD">
        <w:rPr>
          <w:rFonts w:ascii="Arial" w:hAnsi="Arial" w:cs="Arial"/>
        </w:rPr>
        <w:t xml:space="preserve">out the study. </w:t>
      </w:r>
      <w:r w:rsidR="003B5009">
        <w:rPr>
          <w:rFonts w:ascii="Arial" w:hAnsi="Arial" w:cs="Arial"/>
        </w:rPr>
        <w:t>I</w:t>
      </w:r>
      <w:r w:rsidR="00AB6EC1">
        <w:rPr>
          <w:rFonts w:ascii="Arial" w:hAnsi="Arial" w:cs="Arial"/>
        </w:rPr>
        <w:t xml:space="preserve">t </w:t>
      </w:r>
      <w:r w:rsidR="003B5009">
        <w:rPr>
          <w:rFonts w:ascii="Arial" w:hAnsi="Arial" w:cs="Arial"/>
        </w:rPr>
        <w:t>may also involve the</w:t>
      </w:r>
      <w:r w:rsidR="00914742" w:rsidRPr="00085080">
        <w:rPr>
          <w:rFonts w:ascii="Arial" w:hAnsi="Arial" w:cs="Arial"/>
        </w:rPr>
        <w:t xml:space="preserve"> development of surveys, indicators, and data tools that help </w:t>
      </w:r>
      <w:r w:rsidR="00E83969">
        <w:rPr>
          <w:rFonts w:ascii="Arial" w:hAnsi="Arial" w:cs="Arial"/>
        </w:rPr>
        <w:t xml:space="preserve">DESE staff and </w:t>
      </w:r>
      <w:r w:rsidR="00980ABA">
        <w:rPr>
          <w:rFonts w:ascii="Arial" w:hAnsi="Arial" w:cs="Arial"/>
        </w:rPr>
        <w:t xml:space="preserve">the public to </w:t>
      </w:r>
      <w:r w:rsidR="00914742" w:rsidRPr="00085080">
        <w:rPr>
          <w:rFonts w:ascii="Arial" w:hAnsi="Arial" w:cs="Arial"/>
        </w:rPr>
        <w:t xml:space="preserve">understand implementation, outcomes, and opportunity gaps. </w:t>
      </w:r>
      <w:r w:rsidR="00C57F8E" w:rsidRPr="00085080">
        <w:rPr>
          <w:rFonts w:ascii="Arial" w:hAnsi="Arial" w:cs="Arial"/>
        </w:rPr>
        <w:t xml:space="preserve">Some </w:t>
      </w:r>
      <w:r w:rsidR="004B4E02">
        <w:rPr>
          <w:rFonts w:ascii="Arial" w:hAnsi="Arial" w:cs="Arial"/>
        </w:rPr>
        <w:t xml:space="preserve">work is </w:t>
      </w:r>
      <w:r w:rsidR="00855525">
        <w:rPr>
          <w:rFonts w:ascii="Arial" w:hAnsi="Arial" w:cs="Arial"/>
        </w:rPr>
        <w:t xml:space="preserve">carried out </w:t>
      </w:r>
      <w:r w:rsidR="004B4E02">
        <w:rPr>
          <w:rFonts w:ascii="Arial" w:hAnsi="Arial" w:cs="Arial"/>
        </w:rPr>
        <w:t xml:space="preserve">via </w:t>
      </w:r>
      <w:r w:rsidR="00C57F8E" w:rsidRPr="00085080">
        <w:rPr>
          <w:rFonts w:ascii="Arial" w:hAnsi="Arial" w:cs="Arial"/>
        </w:rPr>
        <w:t>research-practice partnerships with universities and other external organizations</w:t>
      </w:r>
      <w:r w:rsidR="003474E0">
        <w:rPr>
          <w:rFonts w:ascii="Arial" w:hAnsi="Arial" w:cs="Arial"/>
        </w:rPr>
        <w:t xml:space="preserve">, who </w:t>
      </w:r>
      <w:r w:rsidR="000D6CE9">
        <w:rPr>
          <w:rFonts w:ascii="Arial" w:hAnsi="Arial" w:cs="Arial"/>
        </w:rPr>
        <w:t xml:space="preserve">may apply to DESE </w:t>
      </w:r>
      <w:r w:rsidR="00836BF6">
        <w:rPr>
          <w:rFonts w:ascii="Arial" w:hAnsi="Arial" w:cs="Arial"/>
        </w:rPr>
        <w:t>to conduct research aligned to DESE’s research agenda</w:t>
      </w:r>
      <w:r w:rsidR="00C57F8E" w:rsidRPr="00085080">
        <w:rPr>
          <w:rFonts w:ascii="Arial" w:hAnsi="Arial" w:cs="Arial"/>
        </w:rPr>
        <w:t xml:space="preserve">. </w:t>
      </w:r>
    </w:p>
    <w:p w14:paraId="6ADC4493" w14:textId="0FB4AE4B" w:rsidR="003A3B74" w:rsidRDefault="2952DFD5" w:rsidP="00085080">
      <w:pPr>
        <w:rPr>
          <w:rFonts w:ascii="Arial" w:hAnsi="Arial" w:cs="Arial"/>
        </w:rPr>
      </w:pPr>
      <w:r w:rsidRPr="7A1D9F67">
        <w:rPr>
          <w:rFonts w:ascii="Arial" w:hAnsi="Arial" w:cs="Arial"/>
        </w:rPr>
        <w:t xml:space="preserve">At the May 19, </w:t>
      </w:r>
      <w:proofErr w:type="gramStart"/>
      <w:r w:rsidRPr="7A1D9F67">
        <w:rPr>
          <w:rFonts w:ascii="Arial" w:hAnsi="Arial" w:cs="Arial"/>
        </w:rPr>
        <w:t>2026</w:t>
      </w:r>
      <w:proofErr w:type="gramEnd"/>
      <w:r w:rsidRPr="7A1D9F67">
        <w:rPr>
          <w:rFonts w:ascii="Arial" w:hAnsi="Arial" w:cs="Arial"/>
        </w:rPr>
        <w:t> Board meeting, </w:t>
      </w:r>
      <w:r w:rsidR="4DA19ED0" w:rsidRPr="7A1D9F67">
        <w:rPr>
          <w:rFonts w:ascii="Arial" w:hAnsi="Arial" w:cs="Arial"/>
        </w:rPr>
        <w:t>Rob</w:t>
      </w:r>
      <w:r w:rsidR="2325751E" w:rsidRPr="7A1D9F67">
        <w:rPr>
          <w:rFonts w:ascii="Arial" w:hAnsi="Arial" w:cs="Arial"/>
        </w:rPr>
        <w:t xml:space="preserve"> Curtin, Deputy Commissioner, </w:t>
      </w:r>
      <w:r w:rsidRPr="7A1D9F67">
        <w:rPr>
          <w:rFonts w:ascii="Arial" w:hAnsi="Arial" w:cs="Arial"/>
        </w:rPr>
        <w:t xml:space="preserve">Matt Deninger, Associate Commissioner of Planning and Research, and Kendra Winner, </w:t>
      </w:r>
      <w:r w:rsidR="7A2FD06D" w:rsidRPr="7A1D9F67">
        <w:rPr>
          <w:rFonts w:ascii="Arial" w:hAnsi="Arial" w:cs="Arial"/>
        </w:rPr>
        <w:t xml:space="preserve">Research and </w:t>
      </w:r>
      <w:r w:rsidR="7A2FD06D" w:rsidRPr="7A1D9F67">
        <w:rPr>
          <w:rFonts w:ascii="Arial" w:hAnsi="Arial" w:cs="Arial"/>
        </w:rPr>
        <w:lastRenderedPageBreak/>
        <w:t xml:space="preserve">Evaluation Coordinator, </w:t>
      </w:r>
      <w:r w:rsidRPr="7A1D9F67">
        <w:rPr>
          <w:rFonts w:ascii="Arial" w:hAnsi="Arial" w:cs="Arial"/>
        </w:rPr>
        <w:t>will present</w:t>
      </w:r>
      <w:r w:rsidR="37C07126" w:rsidRPr="7A1D9F67">
        <w:rPr>
          <w:rFonts w:ascii="Arial" w:hAnsi="Arial" w:cs="Arial"/>
        </w:rPr>
        <w:t xml:space="preserve"> </w:t>
      </w:r>
      <w:r w:rsidRPr="7A1D9F67">
        <w:rPr>
          <w:rFonts w:ascii="Arial" w:hAnsi="Arial" w:cs="Arial"/>
        </w:rPr>
        <w:t>a</w:t>
      </w:r>
      <w:r w:rsidR="6E18235C" w:rsidRPr="7A1D9F67">
        <w:rPr>
          <w:rFonts w:ascii="Arial" w:hAnsi="Arial" w:cs="Arial"/>
        </w:rPr>
        <w:t>n overview of the agency’s research and evaluation functions</w:t>
      </w:r>
      <w:r w:rsidR="00775E1E" w:rsidRPr="7A1D9F67">
        <w:rPr>
          <w:rFonts w:ascii="Arial" w:hAnsi="Arial" w:cs="Arial"/>
        </w:rPr>
        <w:t xml:space="preserve"> and answer questions</w:t>
      </w:r>
      <w:r w:rsidR="18930759" w:rsidRPr="7A1D9F67">
        <w:rPr>
          <w:rFonts w:ascii="Arial" w:hAnsi="Arial" w:cs="Arial"/>
        </w:rPr>
        <w:t xml:space="preserve"> from Board members</w:t>
      </w:r>
      <w:r w:rsidRPr="7A1D9F67">
        <w:rPr>
          <w:rFonts w:ascii="Arial" w:hAnsi="Arial" w:cs="Arial"/>
        </w:rPr>
        <w:t>.</w:t>
      </w:r>
    </w:p>
    <w:sectPr w:rsidR="003A3B74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FBED" w14:textId="77777777" w:rsidR="002A6A5C" w:rsidRDefault="002A6A5C" w:rsidP="00C84EE3">
      <w:pPr>
        <w:spacing w:after="0" w:line="240" w:lineRule="auto"/>
      </w:pPr>
      <w:r>
        <w:separator/>
      </w:r>
    </w:p>
  </w:endnote>
  <w:endnote w:type="continuationSeparator" w:id="0">
    <w:p w14:paraId="23CCA70B" w14:textId="77777777" w:rsidR="002A6A5C" w:rsidRDefault="002A6A5C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17EA221F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D277" w14:textId="6F5E0238" w:rsidR="004C46FB" w:rsidRDefault="00E63E1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291FC6C5" wp14:editId="1F2FCD0A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F86CD6C" w14:textId="65256FE2" w:rsidR="00C84EE3" w:rsidRDefault="00C84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21F5" w14:textId="0D681FA1" w:rsidR="001B3D3D" w:rsidRDefault="001B3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19B2" w14:textId="2A560FD0" w:rsidR="00BE0EFA" w:rsidRDefault="00BE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4DBE" w14:textId="77777777" w:rsidR="002A6A5C" w:rsidRDefault="002A6A5C" w:rsidP="00C84EE3">
      <w:pPr>
        <w:spacing w:after="0" w:line="240" w:lineRule="auto"/>
      </w:pPr>
      <w:r>
        <w:separator/>
      </w:r>
    </w:p>
  </w:footnote>
  <w:footnote w:type="continuationSeparator" w:id="0">
    <w:p w14:paraId="0B854281" w14:textId="77777777" w:rsidR="002A6A5C" w:rsidRDefault="002A6A5C" w:rsidP="00C84EE3">
      <w:pPr>
        <w:spacing w:after="0" w:line="240" w:lineRule="auto"/>
      </w:pPr>
      <w:r>
        <w:continuationSeparator/>
      </w:r>
    </w:p>
  </w:footnote>
  <w:footnote w:id="1">
    <w:p w14:paraId="74199D12" w14:textId="3A19C6BB" w:rsidR="0037039F" w:rsidRPr="00526E84" w:rsidRDefault="0037039F">
      <w:pPr>
        <w:pStyle w:val="FootnoteText"/>
        <w:rPr>
          <w:rFonts w:ascii="Arial" w:hAnsi="Arial" w:cs="Arial"/>
          <w:sz w:val="18"/>
          <w:szCs w:val="18"/>
        </w:rPr>
      </w:pPr>
      <w:r w:rsidRPr="00526E84">
        <w:rPr>
          <w:rStyle w:val="FootnoteReference"/>
          <w:rFonts w:ascii="Arial" w:hAnsi="Arial" w:cs="Arial"/>
          <w:sz w:val="18"/>
          <w:szCs w:val="18"/>
        </w:rPr>
        <w:footnoteRef/>
      </w:r>
      <w:r w:rsidRPr="00526E84">
        <w:rPr>
          <w:rFonts w:ascii="Arial" w:hAnsi="Arial" w:cs="Arial"/>
          <w:sz w:val="18"/>
          <w:szCs w:val="18"/>
        </w:rPr>
        <w:t xml:space="preserve"> Recent </w:t>
      </w:r>
      <w:r w:rsidR="009E69B6">
        <w:rPr>
          <w:rFonts w:ascii="Arial" w:hAnsi="Arial" w:cs="Arial"/>
          <w:sz w:val="18"/>
          <w:szCs w:val="18"/>
        </w:rPr>
        <w:t xml:space="preserve">examples </w:t>
      </w:r>
      <w:r w:rsidR="00715129">
        <w:rPr>
          <w:rFonts w:ascii="Arial" w:hAnsi="Arial" w:cs="Arial"/>
          <w:sz w:val="18"/>
          <w:szCs w:val="18"/>
        </w:rPr>
        <w:t xml:space="preserve">where research has informed </w:t>
      </w:r>
      <w:r w:rsidR="00DB1E62">
        <w:rPr>
          <w:rFonts w:ascii="Arial" w:hAnsi="Arial" w:cs="Arial"/>
          <w:sz w:val="18"/>
          <w:szCs w:val="18"/>
        </w:rPr>
        <w:t xml:space="preserve">DESE </w:t>
      </w:r>
      <w:r w:rsidR="007A1041">
        <w:rPr>
          <w:rFonts w:ascii="Arial" w:hAnsi="Arial" w:cs="Arial"/>
          <w:sz w:val="18"/>
          <w:szCs w:val="18"/>
        </w:rPr>
        <w:t xml:space="preserve">thinking and </w:t>
      </w:r>
      <w:r w:rsidR="00715129">
        <w:rPr>
          <w:rFonts w:ascii="Arial" w:hAnsi="Arial" w:cs="Arial"/>
          <w:sz w:val="18"/>
          <w:szCs w:val="18"/>
        </w:rPr>
        <w:t>BESE delib</w:t>
      </w:r>
      <w:r w:rsidR="007A1041">
        <w:rPr>
          <w:rFonts w:ascii="Arial" w:hAnsi="Arial" w:cs="Arial"/>
          <w:sz w:val="18"/>
          <w:szCs w:val="18"/>
        </w:rPr>
        <w:t xml:space="preserve">erations include </w:t>
      </w:r>
      <w:r w:rsidR="008E79C3">
        <w:rPr>
          <w:rFonts w:ascii="Arial" w:hAnsi="Arial" w:cs="Arial"/>
          <w:sz w:val="18"/>
          <w:szCs w:val="18"/>
        </w:rPr>
        <w:t xml:space="preserve">the </w:t>
      </w:r>
      <w:r w:rsidR="00161DE2">
        <w:rPr>
          <w:rFonts w:ascii="Arial" w:hAnsi="Arial" w:cs="Arial"/>
          <w:sz w:val="18"/>
          <w:szCs w:val="18"/>
        </w:rPr>
        <w:t>January 20</w:t>
      </w:r>
      <w:r w:rsidR="005433FC">
        <w:rPr>
          <w:rFonts w:ascii="Arial" w:hAnsi="Arial" w:cs="Arial"/>
          <w:sz w:val="18"/>
          <w:szCs w:val="18"/>
        </w:rPr>
        <w:t>26</w:t>
      </w:r>
      <w:r w:rsidR="008E79C3">
        <w:rPr>
          <w:rFonts w:ascii="Arial" w:hAnsi="Arial" w:cs="Arial"/>
          <w:sz w:val="18"/>
          <w:szCs w:val="18"/>
        </w:rPr>
        <w:t xml:space="preserve"> </w:t>
      </w:r>
      <w:r w:rsidR="000E7929">
        <w:rPr>
          <w:rFonts w:ascii="Arial" w:hAnsi="Arial" w:cs="Arial"/>
          <w:sz w:val="18"/>
          <w:szCs w:val="18"/>
        </w:rPr>
        <w:t xml:space="preserve">BESE </w:t>
      </w:r>
      <w:r w:rsidR="004D355A">
        <w:rPr>
          <w:rFonts w:ascii="Arial" w:hAnsi="Arial" w:cs="Arial"/>
          <w:sz w:val="18"/>
          <w:szCs w:val="18"/>
        </w:rPr>
        <w:t xml:space="preserve">update </w:t>
      </w:r>
      <w:r w:rsidR="000E7929">
        <w:rPr>
          <w:rFonts w:ascii="Arial" w:hAnsi="Arial" w:cs="Arial"/>
          <w:sz w:val="18"/>
          <w:szCs w:val="18"/>
        </w:rPr>
        <w:t xml:space="preserve">on </w:t>
      </w:r>
      <w:r w:rsidR="00E546F1" w:rsidRPr="00E546F1">
        <w:rPr>
          <w:rFonts w:ascii="Arial" w:hAnsi="Arial" w:cs="Arial"/>
          <w:sz w:val="18"/>
          <w:szCs w:val="18"/>
        </w:rPr>
        <w:t xml:space="preserve">Accelerated Early Literacy </w:t>
      </w:r>
      <w:r w:rsidR="004D355A">
        <w:rPr>
          <w:rFonts w:ascii="Arial" w:hAnsi="Arial" w:cs="Arial"/>
          <w:sz w:val="18"/>
          <w:szCs w:val="18"/>
        </w:rPr>
        <w:t xml:space="preserve">Preparation </w:t>
      </w:r>
      <w:r w:rsidR="00E546F1" w:rsidRPr="00E546F1">
        <w:rPr>
          <w:rFonts w:ascii="Arial" w:hAnsi="Arial" w:cs="Arial"/>
          <w:sz w:val="18"/>
          <w:szCs w:val="18"/>
        </w:rPr>
        <w:t>Program Reviews</w:t>
      </w:r>
      <w:r w:rsidR="00032AA6">
        <w:rPr>
          <w:rFonts w:ascii="Arial" w:hAnsi="Arial" w:cs="Arial"/>
          <w:sz w:val="18"/>
          <w:szCs w:val="18"/>
        </w:rPr>
        <w:t xml:space="preserve"> and</w:t>
      </w:r>
      <w:r w:rsidR="009B4F5B">
        <w:rPr>
          <w:rFonts w:ascii="Arial" w:hAnsi="Arial" w:cs="Arial"/>
          <w:sz w:val="18"/>
          <w:szCs w:val="18"/>
        </w:rPr>
        <w:t xml:space="preserve"> </w:t>
      </w:r>
      <w:r w:rsidR="00545F6B">
        <w:rPr>
          <w:rFonts w:ascii="Arial" w:hAnsi="Arial" w:cs="Arial"/>
          <w:sz w:val="18"/>
          <w:szCs w:val="18"/>
        </w:rPr>
        <w:t>t</w:t>
      </w:r>
      <w:r w:rsidR="00CA7EF8">
        <w:rPr>
          <w:rFonts w:ascii="Arial" w:hAnsi="Arial" w:cs="Arial"/>
          <w:sz w:val="18"/>
          <w:szCs w:val="18"/>
        </w:rPr>
        <w:t xml:space="preserve">he </w:t>
      </w:r>
      <w:r w:rsidR="00032AA6">
        <w:rPr>
          <w:rFonts w:ascii="Arial" w:hAnsi="Arial" w:cs="Arial"/>
          <w:sz w:val="18"/>
          <w:szCs w:val="18"/>
        </w:rPr>
        <w:t xml:space="preserve">February </w:t>
      </w:r>
      <w:r w:rsidR="00CA7EF8">
        <w:rPr>
          <w:rFonts w:ascii="Arial" w:hAnsi="Arial" w:cs="Arial"/>
          <w:sz w:val="18"/>
          <w:szCs w:val="18"/>
        </w:rPr>
        <w:t xml:space="preserve">2026 BESE agenda item on Early Literacy </w:t>
      </w:r>
      <w:r w:rsidR="00032AA6">
        <w:rPr>
          <w:rFonts w:ascii="Arial" w:hAnsi="Arial" w:cs="Arial"/>
          <w:sz w:val="18"/>
          <w:szCs w:val="18"/>
        </w:rPr>
        <w:t>U</w:t>
      </w:r>
      <w:r w:rsidR="00CA7EF8">
        <w:rPr>
          <w:rFonts w:ascii="Arial" w:hAnsi="Arial" w:cs="Arial"/>
          <w:sz w:val="18"/>
          <w:szCs w:val="18"/>
        </w:rPr>
        <w:t xml:space="preserve">pdates, </w:t>
      </w:r>
      <w:r w:rsidR="00B41A89">
        <w:rPr>
          <w:rFonts w:ascii="Arial" w:hAnsi="Arial" w:cs="Arial"/>
          <w:sz w:val="18"/>
          <w:szCs w:val="18"/>
        </w:rPr>
        <w:t>among others.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338710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569"/>
    <w:multiLevelType w:val="multilevel"/>
    <w:tmpl w:val="3E908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456194"/>
    <w:multiLevelType w:val="multilevel"/>
    <w:tmpl w:val="56B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B77A4"/>
    <w:multiLevelType w:val="hybridMultilevel"/>
    <w:tmpl w:val="05828D48"/>
    <w:lvl w:ilvl="0" w:tplc="9CF0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C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64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1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C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EF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142"/>
    <w:multiLevelType w:val="multilevel"/>
    <w:tmpl w:val="D758D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DF0C1B"/>
    <w:multiLevelType w:val="multilevel"/>
    <w:tmpl w:val="46B64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BBB5AC0"/>
    <w:multiLevelType w:val="multilevel"/>
    <w:tmpl w:val="8696B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52875762">
    <w:abstractNumId w:val="2"/>
  </w:num>
  <w:num w:numId="2" w16cid:durableId="604045969">
    <w:abstractNumId w:val="1"/>
  </w:num>
  <w:num w:numId="3" w16cid:durableId="6370022">
    <w:abstractNumId w:val="4"/>
  </w:num>
  <w:num w:numId="4" w16cid:durableId="580915761">
    <w:abstractNumId w:val="5"/>
  </w:num>
  <w:num w:numId="5" w16cid:durableId="1434402621">
    <w:abstractNumId w:val="0"/>
  </w:num>
  <w:num w:numId="6" w16cid:durableId="2062483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02DF"/>
    <w:rsid w:val="00000ED3"/>
    <w:rsid w:val="00015387"/>
    <w:rsid w:val="000206BF"/>
    <w:rsid w:val="00025953"/>
    <w:rsid w:val="0002744C"/>
    <w:rsid w:val="00032AA6"/>
    <w:rsid w:val="00032C6B"/>
    <w:rsid w:val="000338E6"/>
    <w:rsid w:val="00053449"/>
    <w:rsid w:val="000733CA"/>
    <w:rsid w:val="000834E3"/>
    <w:rsid w:val="00084FA3"/>
    <w:rsid w:val="00085080"/>
    <w:rsid w:val="000853ED"/>
    <w:rsid w:val="000A0175"/>
    <w:rsid w:val="000A5B65"/>
    <w:rsid w:val="000B6893"/>
    <w:rsid w:val="000C2768"/>
    <w:rsid w:val="000C2B02"/>
    <w:rsid w:val="000C5B65"/>
    <w:rsid w:val="000D0DBE"/>
    <w:rsid w:val="000D304B"/>
    <w:rsid w:val="000D6CE9"/>
    <w:rsid w:val="000E011A"/>
    <w:rsid w:val="000E7929"/>
    <w:rsid w:val="000F11A7"/>
    <w:rsid w:val="000F512B"/>
    <w:rsid w:val="00104D41"/>
    <w:rsid w:val="0010529E"/>
    <w:rsid w:val="0010788D"/>
    <w:rsid w:val="001112D5"/>
    <w:rsid w:val="0011380B"/>
    <w:rsid w:val="00120EEE"/>
    <w:rsid w:val="0012745A"/>
    <w:rsid w:val="001327D5"/>
    <w:rsid w:val="00133078"/>
    <w:rsid w:val="00161DE2"/>
    <w:rsid w:val="00163312"/>
    <w:rsid w:val="00165B08"/>
    <w:rsid w:val="001715AB"/>
    <w:rsid w:val="00184A6E"/>
    <w:rsid w:val="00187799"/>
    <w:rsid w:val="001921C0"/>
    <w:rsid w:val="00195F2C"/>
    <w:rsid w:val="00196206"/>
    <w:rsid w:val="00197C43"/>
    <w:rsid w:val="001A1493"/>
    <w:rsid w:val="001B3D3D"/>
    <w:rsid w:val="001B52E9"/>
    <w:rsid w:val="001B71B7"/>
    <w:rsid w:val="001C2E03"/>
    <w:rsid w:val="001D3592"/>
    <w:rsid w:val="001D6377"/>
    <w:rsid w:val="001E01B9"/>
    <w:rsid w:val="001E3FB2"/>
    <w:rsid w:val="001F0966"/>
    <w:rsid w:val="001F4785"/>
    <w:rsid w:val="001F4E3C"/>
    <w:rsid w:val="001F78A4"/>
    <w:rsid w:val="00200ACE"/>
    <w:rsid w:val="00214B94"/>
    <w:rsid w:val="00221989"/>
    <w:rsid w:val="002240CF"/>
    <w:rsid w:val="0022441F"/>
    <w:rsid w:val="00225FD5"/>
    <w:rsid w:val="00226E66"/>
    <w:rsid w:val="00227554"/>
    <w:rsid w:val="0023664B"/>
    <w:rsid w:val="0023752F"/>
    <w:rsid w:val="00241780"/>
    <w:rsid w:val="0024566B"/>
    <w:rsid w:val="002510D2"/>
    <w:rsid w:val="002512EF"/>
    <w:rsid w:val="00261265"/>
    <w:rsid w:val="00261605"/>
    <w:rsid w:val="00266DB2"/>
    <w:rsid w:val="00276C1E"/>
    <w:rsid w:val="00292387"/>
    <w:rsid w:val="00296065"/>
    <w:rsid w:val="00296836"/>
    <w:rsid w:val="002A36F6"/>
    <w:rsid w:val="002A3A71"/>
    <w:rsid w:val="002A6A5C"/>
    <w:rsid w:val="002ADD96"/>
    <w:rsid w:val="002B7E3D"/>
    <w:rsid w:val="002C1EBF"/>
    <w:rsid w:val="002C220D"/>
    <w:rsid w:val="002C4E87"/>
    <w:rsid w:val="002C6C02"/>
    <w:rsid w:val="002D68B6"/>
    <w:rsid w:val="002E4BDE"/>
    <w:rsid w:val="002F415D"/>
    <w:rsid w:val="002F57B7"/>
    <w:rsid w:val="003045E0"/>
    <w:rsid w:val="00321B43"/>
    <w:rsid w:val="00326FD6"/>
    <w:rsid w:val="0033088E"/>
    <w:rsid w:val="003365BE"/>
    <w:rsid w:val="003474E0"/>
    <w:rsid w:val="00355B95"/>
    <w:rsid w:val="00355E5C"/>
    <w:rsid w:val="00356597"/>
    <w:rsid w:val="003634BA"/>
    <w:rsid w:val="00370100"/>
    <w:rsid w:val="0037039F"/>
    <w:rsid w:val="00370F37"/>
    <w:rsid w:val="003747FA"/>
    <w:rsid w:val="003757C2"/>
    <w:rsid w:val="00386AD4"/>
    <w:rsid w:val="00391110"/>
    <w:rsid w:val="00391DD8"/>
    <w:rsid w:val="00394EA8"/>
    <w:rsid w:val="003A3B74"/>
    <w:rsid w:val="003B23C3"/>
    <w:rsid w:val="003B5009"/>
    <w:rsid w:val="003C1672"/>
    <w:rsid w:val="003D31E4"/>
    <w:rsid w:val="003E1D57"/>
    <w:rsid w:val="003E2FDF"/>
    <w:rsid w:val="003E7485"/>
    <w:rsid w:val="003EEC02"/>
    <w:rsid w:val="003F2FF1"/>
    <w:rsid w:val="003F4E99"/>
    <w:rsid w:val="003F65BF"/>
    <w:rsid w:val="00400E89"/>
    <w:rsid w:val="00403864"/>
    <w:rsid w:val="00420346"/>
    <w:rsid w:val="0042221B"/>
    <w:rsid w:val="00422EC0"/>
    <w:rsid w:val="0042465D"/>
    <w:rsid w:val="004252FC"/>
    <w:rsid w:val="0042715C"/>
    <w:rsid w:val="004273B6"/>
    <w:rsid w:val="00430707"/>
    <w:rsid w:val="00430D65"/>
    <w:rsid w:val="00431627"/>
    <w:rsid w:val="004426A0"/>
    <w:rsid w:val="0044300E"/>
    <w:rsid w:val="004459FA"/>
    <w:rsid w:val="004475BF"/>
    <w:rsid w:val="0045373B"/>
    <w:rsid w:val="00457B94"/>
    <w:rsid w:val="0045A88F"/>
    <w:rsid w:val="00462496"/>
    <w:rsid w:val="00465238"/>
    <w:rsid w:val="00466145"/>
    <w:rsid w:val="00467044"/>
    <w:rsid w:val="004767FA"/>
    <w:rsid w:val="0047726D"/>
    <w:rsid w:val="00482879"/>
    <w:rsid w:val="00482BA2"/>
    <w:rsid w:val="0048529D"/>
    <w:rsid w:val="00487045"/>
    <w:rsid w:val="00490D13"/>
    <w:rsid w:val="004929C2"/>
    <w:rsid w:val="00492DA2"/>
    <w:rsid w:val="004931D8"/>
    <w:rsid w:val="004932C1"/>
    <w:rsid w:val="00493C1C"/>
    <w:rsid w:val="004A0E9C"/>
    <w:rsid w:val="004A7E8F"/>
    <w:rsid w:val="004B00DE"/>
    <w:rsid w:val="004B4E02"/>
    <w:rsid w:val="004B6DD3"/>
    <w:rsid w:val="004C46FB"/>
    <w:rsid w:val="004C5233"/>
    <w:rsid w:val="004D2DD3"/>
    <w:rsid w:val="004D355A"/>
    <w:rsid w:val="004D6AA9"/>
    <w:rsid w:val="004D714E"/>
    <w:rsid w:val="004F1C74"/>
    <w:rsid w:val="004F4B90"/>
    <w:rsid w:val="005017B8"/>
    <w:rsid w:val="00504DC5"/>
    <w:rsid w:val="00511688"/>
    <w:rsid w:val="0051347C"/>
    <w:rsid w:val="00516D1D"/>
    <w:rsid w:val="00521CDE"/>
    <w:rsid w:val="00523891"/>
    <w:rsid w:val="00526E84"/>
    <w:rsid w:val="00540919"/>
    <w:rsid w:val="005433FC"/>
    <w:rsid w:val="00545F6B"/>
    <w:rsid w:val="005526B7"/>
    <w:rsid w:val="00554202"/>
    <w:rsid w:val="00560D69"/>
    <w:rsid w:val="005635E1"/>
    <w:rsid w:val="00563C34"/>
    <w:rsid w:val="005736B1"/>
    <w:rsid w:val="00574334"/>
    <w:rsid w:val="00577C81"/>
    <w:rsid w:val="00581D2B"/>
    <w:rsid w:val="00581EAD"/>
    <w:rsid w:val="00595AA3"/>
    <w:rsid w:val="005963EE"/>
    <w:rsid w:val="00596AC6"/>
    <w:rsid w:val="005A09B0"/>
    <w:rsid w:val="005C280A"/>
    <w:rsid w:val="005C62A4"/>
    <w:rsid w:val="005C6656"/>
    <w:rsid w:val="005C7091"/>
    <w:rsid w:val="005E585D"/>
    <w:rsid w:val="005F2770"/>
    <w:rsid w:val="0060031A"/>
    <w:rsid w:val="0060149A"/>
    <w:rsid w:val="00601F6F"/>
    <w:rsid w:val="0060496B"/>
    <w:rsid w:val="006109EA"/>
    <w:rsid w:val="00624A78"/>
    <w:rsid w:val="00632E6B"/>
    <w:rsid w:val="006331C1"/>
    <w:rsid w:val="00635276"/>
    <w:rsid w:val="00652973"/>
    <w:rsid w:val="00653915"/>
    <w:rsid w:val="0067356B"/>
    <w:rsid w:val="00677778"/>
    <w:rsid w:val="00682B1A"/>
    <w:rsid w:val="006836AE"/>
    <w:rsid w:val="006837F3"/>
    <w:rsid w:val="006955E8"/>
    <w:rsid w:val="00697A35"/>
    <w:rsid w:val="006A0191"/>
    <w:rsid w:val="006A1022"/>
    <w:rsid w:val="006A3992"/>
    <w:rsid w:val="006A409F"/>
    <w:rsid w:val="006A62F9"/>
    <w:rsid w:val="006C208E"/>
    <w:rsid w:val="006D72B9"/>
    <w:rsid w:val="006F270B"/>
    <w:rsid w:val="006F42A9"/>
    <w:rsid w:val="006F50BE"/>
    <w:rsid w:val="006F7727"/>
    <w:rsid w:val="00701472"/>
    <w:rsid w:val="00706ACF"/>
    <w:rsid w:val="00707BB0"/>
    <w:rsid w:val="00715129"/>
    <w:rsid w:val="00715221"/>
    <w:rsid w:val="0072063D"/>
    <w:rsid w:val="00723C3D"/>
    <w:rsid w:val="00725BB6"/>
    <w:rsid w:val="00730A8E"/>
    <w:rsid w:val="007334B0"/>
    <w:rsid w:val="007350C9"/>
    <w:rsid w:val="007415A4"/>
    <w:rsid w:val="007441A2"/>
    <w:rsid w:val="007463C7"/>
    <w:rsid w:val="00757EE6"/>
    <w:rsid w:val="00761321"/>
    <w:rsid w:val="0076380B"/>
    <w:rsid w:val="007647E2"/>
    <w:rsid w:val="00775E1E"/>
    <w:rsid w:val="00783F6C"/>
    <w:rsid w:val="007912D0"/>
    <w:rsid w:val="007940EA"/>
    <w:rsid w:val="00794E8D"/>
    <w:rsid w:val="007952F3"/>
    <w:rsid w:val="007A1041"/>
    <w:rsid w:val="007B73EC"/>
    <w:rsid w:val="007C5FFD"/>
    <w:rsid w:val="007C7D07"/>
    <w:rsid w:val="007D6771"/>
    <w:rsid w:val="007E044E"/>
    <w:rsid w:val="007E5A04"/>
    <w:rsid w:val="007E68D1"/>
    <w:rsid w:val="007E71AD"/>
    <w:rsid w:val="007F1A78"/>
    <w:rsid w:val="00802713"/>
    <w:rsid w:val="0080487A"/>
    <w:rsid w:val="008053A3"/>
    <w:rsid w:val="008062B8"/>
    <w:rsid w:val="008140B2"/>
    <w:rsid w:val="00820FC4"/>
    <w:rsid w:val="008264D2"/>
    <w:rsid w:val="008331F9"/>
    <w:rsid w:val="008353DD"/>
    <w:rsid w:val="00835EC8"/>
    <w:rsid w:val="00836BF6"/>
    <w:rsid w:val="00837E08"/>
    <w:rsid w:val="00837F19"/>
    <w:rsid w:val="00842FF3"/>
    <w:rsid w:val="008442E7"/>
    <w:rsid w:val="0084669E"/>
    <w:rsid w:val="00851524"/>
    <w:rsid w:val="00851E6F"/>
    <w:rsid w:val="00855525"/>
    <w:rsid w:val="00860BCF"/>
    <w:rsid w:val="00861668"/>
    <w:rsid w:val="00867E48"/>
    <w:rsid w:val="00870438"/>
    <w:rsid w:val="008863C1"/>
    <w:rsid w:val="00886A56"/>
    <w:rsid w:val="00886CA6"/>
    <w:rsid w:val="00890CFD"/>
    <w:rsid w:val="00893589"/>
    <w:rsid w:val="00894C03"/>
    <w:rsid w:val="008958E2"/>
    <w:rsid w:val="008A5F43"/>
    <w:rsid w:val="008B18A0"/>
    <w:rsid w:val="008C1099"/>
    <w:rsid w:val="008E79C3"/>
    <w:rsid w:val="008F089E"/>
    <w:rsid w:val="008F3470"/>
    <w:rsid w:val="008F5697"/>
    <w:rsid w:val="008F73B9"/>
    <w:rsid w:val="00900C9A"/>
    <w:rsid w:val="009020E4"/>
    <w:rsid w:val="009079B9"/>
    <w:rsid w:val="00911501"/>
    <w:rsid w:val="00911514"/>
    <w:rsid w:val="00914742"/>
    <w:rsid w:val="00922BD6"/>
    <w:rsid w:val="00922FD3"/>
    <w:rsid w:val="0092546E"/>
    <w:rsid w:val="00931CEE"/>
    <w:rsid w:val="00934338"/>
    <w:rsid w:val="00937791"/>
    <w:rsid w:val="00937E44"/>
    <w:rsid w:val="009411E7"/>
    <w:rsid w:val="00943C76"/>
    <w:rsid w:val="009609E4"/>
    <w:rsid w:val="00966F9A"/>
    <w:rsid w:val="00980ABA"/>
    <w:rsid w:val="00990E48"/>
    <w:rsid w:val="00993C5F"/>
    <w:rsid w:val="009A28ED"/>
    <w:rsid w:val="009A52F0"/>
    <w:rsid w:val="009A587B"/>
    <w:rsid w:val="009B4F5B"/>
    <w:rsid w:val="009C1345"/>
    <w:rsid w:val="009C1660"/>
    <w:rsid w:val="009C563C"/>
    <w:rsid w:val="009C5E3F"/>
    <w:rsid w:val="009E0C11"/>
    <w:rsid w:val="009E57EB"/>
    <w:rsid w:val="009E5C82"/>
    <w:rsid w:val="009E69B6"/>
    <w:rsid w:val="009E6F28"/>
    <w:rsid w:val="009F32E8"/>
    <w:rsid w:val="009F4183"/>
    <w:rsid w:val="00A137E0"/>
    <w:rsid w:val="00A17BC1"/>
    <w:rsid w:val="00A22A3A"/>
    <w:rsid w:val="00A23EF5"/>
    <w:rsid w:val="00A4146D"/>
    <w:rsid w:val="00A42B22"/>
    <w:rsid w:val="00A44CF7"/>
    <w:rsid w:val="00A4649C"/>
    <w:rsid w:val="00A47614"/>
    <w:rsid w:val="00A51198"/>
    <w:rsid w:val="00A524D2"/>
    <w:rsid w:val="00A5281C"/>
    <w:rsid w:val="00A56DF5"/>
    <w:rsid w:val="00A642C8"/>
    <w:rsid w:val="00A67FAF"/>
    <w:rsid w:val="00A80CC7"/>
    <w:rsid w:val="00A81548"/>
    <w:rsid w:val="00A85C12"/>
    <w:rsid w:val="00A91A46"/>
    <w:rsid w:val="00A961EA"/>
    <w:rsid w:val="00A962C7"/>
    <w:rsid w:val="00A974E4"/>
    <w:rsid w:val="00AA6D09"/>
    <w:rsid w:val="00AB055F"/>
    <w:rsid w:val="00AB547A"/>
    <w:rsid w:val="00AB6EC1"/>
    <w:rsid w:val="00AB7C6C"/>
    <w:rsid w:val="00AC2A7B"/>
    <w:rsid w:val="00AC4FE9"/>
    <w:rsid w:val="00AC6021"/>
    <w:rsid w:val="00AD43AD"/>
    <w:rsid w:val="00AD715F"/>
    <w:rsid w:val="00AE3971"/>
    <w:rsid w:val="00AE590A"/>
    <w:rsid w:val="00AE59C9"/>
    <w:rsid w:val="00B11F56"/>
    <w:rsid w:val="00B150A1"/>
    <w:rsid w:val="00B26A3A"/>
    <w:rsid w:val="00B4044D"/>
    <w:rsid w:val="00B41A89"/>
    <w:rsid w:val="00B4383C"/>
    <w:rsid w:val="00B531EF"/>
    <w:rsid w:val="00B542DB"/>
    <w:rsid w:val="00B54AD0"/>
    <w:rsid w:val="00B64582"/>
    <w:rsid w:val="00B65A83"/>
    <w:rsid w:val="00B74DBD"/>
    <w:rsid w:val="00B752CF"/>
    <w:rsid w:val="00B762F2"/>
    <w:rsid w:val="00B800C4"/>
    <w:rsid w:val="00B93DE6"/>
    <w:rsid w:val="00B968FF"/>
    <w:rsid w:val="00BA0E2D"/>
    <w:rsid w:val="00BB14BC"/>
    <w:rsid w:val="00BB1BC1"/>
    <w:rsid w:val="00BC0CB6"/>
    <w:rsid w:val="00BC2BEB"/>
    <w:rsid w:val="00BC5D1B"/>
    <w:rsid w:val="00BD1718"/>
    <w:rsid w:val="00BD318E"/>
    <w:rsid w:val="00BD31F2"/>
    <w:rsid w:val="00BD41C6"/>
    <w:rsid w:val="00BD4897"/>
    <w:rsid w:val="00BD5A23"/>
    <w:rsid w:val="00BE0EFA"/>
    <w:rsid w:val="00BE289E"/>
    <w:rsid w:val="00BE5695"/>
    <w:rsid w:val="00BE5876"/>
    <w:rsid w:val="00BE78AE"/>
    <w:rsid w:val="00BF0339"/>
    <w:rsid w:val="00BF0C78"/>
    <w:rsid w:val="00BF3E69"/>
    <w:rsid w:val="00BF6038"/>
    <w:rsid w:val="00BF74BB"/>
    <w:rsid w:val="00C01D0A"/>
    <w:rsid w:val="00C05D09"/>
    <w:rsid w:val="00C111DA"/>
    <w:rsid w:val="00C20201"/>
    <w:rsid w:val="00C20C96"/>
    <w:rsid w:val="00C22D10"/>
    <w:rsid w:val="00C232F9"/>
    <w:rsid w:val="00C25F59"/>
    <w:rsid w:val="00C2669C"/>
    <w:rsid w:val="00C3665B"/>
    <w:rsid w:val="00C41605"/>
    <w:rsid w:val="00C45FD4"/>
    <w:rsid w:val="00C5235D"/>
    <w:rsid w:val="00C57F8E"/>
    <w:rsid w:val="00C62B17"/>
    <w:rsid w:val="00C71B9E"/>
    <w:rsid w:val="00C824D2"/>
    <w:rsid w:val="00C84EE3"/>
    <w:rsid w:val="00C862F1"/>
    <w:rsid w:val="00C92A3D"/>
    <w:rsid w:val="00CA13EA"/>
    <w:rsid w:val="00CA620A"/>
    <w:rsid w:val="00CA7EF8"/>
    <w:rsid w:val="00CB490F"/>
    <w:rsid w:val="00CC1A61"/>
    <w:rsid w:val="00CD17B5"/>
    <w:rsid w:val="00CD2E0A"/>
    <w:rsid w:val="00CE7037"/>
    <w:rsid w:val="00CF4160"/>
    <w:rsid w:val="00CF456C"/>
    <w:rsid w:val="00D100A3"/>
    <w:rsid w:val="00D112DF"/>
    <w:rsid w:val="00D134AA"/>
    <w:rsid w:val="00D15021"/>
    <w:rsid w:val="00D16237"/>
    <w:rsid w:val="00D211B8"/>
    <w:rsid w:val="00D21CF6"/>
    <w:rsid w:val="00D27E05"/>
    <w:rsid w:val="00D44222"/>
    <w:rsid w:val="00D4466E"/>
    <w:rsid w:val="00D47EF5"/>
    <w:rsid w:val="00D56EAC"/>
    <w:rsid w:val="00D64FA2"/>
    <w:rsid w:val="00D65B6C"/>
    <w:rsid w:val="00D73710"/>
    <w:rsid w:val="00D76F7E"/>
    <w:rsid w:val="00D83F8B"/>
    <w:rsid w:val="00D8570D"/>
    <w:rsid w:val="00D877AC"/>
    <w:rsid w:val="00D90414"/>
    <w:rsid w:val="00D91666"/>
    <w:rsid w:val="00D95DBE"/>
    <w:rsid w:val="00DA04F7"/>
    <w:rsid w:val="00DA2233"/>
    <w:rsid w:val="00DA2538"/>
    <w:rsid w:val="00DA33A6"/>
    <w:rsid w:val="00DB0402"/>
    <w:rsid w:val="00DB1E62"/>
    <w:rsid w:val="00DC0896"/>
    <w:rsid w:val="00DC2A5B"/>
    <w:rsid w:val="00DC397C"/>
    <w:rsid w:val="00DE349D"/>
    <w:rsid w:val="00DE53F7"/>
    <w:rsid w:val="00DF4D53"/>
    <w:rsid w:val="00DF66D1"/>
    <w:rsid w:val="00E0707D"/>
    <w:rsid w:val="00E25386"/>
    <w:rsid w:val="00E36462"/>
    <w:rsid w:val="00E450E8"/>
    <w:rsid w:val="00E50C23"/>
    <w:rsid w:val="00E52260"/>
    <w:rsid w:val="00E531E7"/>
    <w:rsid w:val="00E546F1"/>
    <w:rsid w:val="00E54E31"/>
    <w:rsid w:val="00E5696B"/>
    <w:rsid w:val="00E62AEC"/>
    <w:rsid w:val="00E63E19"/>
    <w:rsid w:val="00E6513B"/>
    <w:rsid w:val="00E66C89"/>
    <w:rsid w:val="00E677AB"/>
    <w:rsid w:val="00E67E86"/>
    <w:rsid w:val="00E7421B"/>
    <w:rsid w:val="00E76D59"/>
    <w:rsid w:val="00E82A95"/>
    <w:rsid w:val="00E83969"/>
    <w:rsid w:val="00E86C32"/>
    <w:rsid w:val="00E915AA"/>
    <w:rsid w:val="00E927E5"/>
    <w:rsid w:val="00E935DD"/>
    <w:rsid w:val="00E94653"/>
    <w:rsid w:val="00E9623C"/>
    <w:rsid w:val="00EA0F7F"/>
    <w:rsid w:val="00EA2327"/>
    <w:rsid w:val="00EA2F0C"/>
    <w:rsid w:val="00EA5B5C"/>
    <w:rsid w:val="00EB748E"/>
    <w:rsid w:val="00EC0DFA"/>
    <w:rsid w:val="00EC2F36"/>
    <w:rsid w:val="00EC6D34"/>
    <w:rsid w:val="00ED0518"/>
    <w:rsid w:val="00ED603F"/>
    <w:rsid w:val="00ED6C5C"/>
    <w:rsid w:val="00ED7910"/>
    <w:rsid w:val="00EE1003"/>
    <w:rsid w:val="00EE2666"/>
    <w:rsid w:val="00EE4762"/>
    <w:rsid w:val="00EE73EC"/>
    <w:rsid w:val="00F00022"/>
    <w:rsid w:val="00F00FAA"/>
    <w:rsid w:val="00F05A3E"/>
    <w:rsid w:val="00F1785D"/>
    <w:rsid w:val="00F21B62"/>
    <w:rsid w:val="00F24E91"/>
    <w:rsid w:val="00F360C8"/>
    <w:rsid w:val="00F37412"/>
    <w:rsid w:val="00F44411"/>
    <w:rsid w:val="00F61FBA"/>
    <w:rsid w:val="00F8043F"/>
    <w:rsid w:val="00F95146"/>
    <w:rsid w:val="00F9621D"/>
    <w:rsid w:val="00F9649F"/>
    <w:rsid w:val="00F97359"/>
    <w:rsid w:val="00FA0A25"/>
    <w:rsid w:val="00FA0EE1"/>
    <w:rsid w:val="00FD1F4B"/>
    <w:rsid w:val="00FD6CB0"/>
    <w:rsid w:val="00FE03F2"/>
    <w:rsid w:val="00FE38D0"/>
    <w:rsid w:val="00FE5AC9"/>
    <w:rsid w:val="00FF61A1"/>
    <w:rsid w:val="00FF677C"/>
    <w:rsid w:val="0157323C"/>
    <w:rsid w:val="016851A3"/>
    <w:rsid w:val="021BCBAA"/>
    <w:rsid w:val="0235FA62"/>
    <w:rsid w:val="0268E4A3"/>
    <w:rsid w:val="02DF84B5"/>
    <w:rsid w:val="02F67EBB"/>
    <w:rsid w:val="059EA9E6"/>
    <w:rsid w:val="076D213D"/>
    <w:rsid w:val="084BF2F2"/>
    <w:rsid w:val="085F7CA6"/>
    <w:rsid w:val="08B68E96"/>
    <w:rsid w:val="08F7C434"/>
    <w:rsid w:val="09231825"/>
    <w:rsid w:val="0A16F8A6"/>
    <w:rsid w:val="0A41290B"/>
    <w:rsid w:val="0B23F0C0"/>
    <w:rsid w:val="0B46B215"/>
    <w:rsid w:val="0B7587BC"/>
    <w:rsid w:val="0C3EE44E"/>
    <w:rsid w:val="0CA3472A"/>
    <w:rsid w:val="0E346663"/>
    <w:rsid w:val="0EAC1DAC"/>
    <w:rsid w:val="0EDE0692"/>
    <w:rsid w:val="0EE69FCA"/>
    <w:rsid w:val="0EF63256"/>
    <w:rsid w:val="10938FF1"/>
    <w:rsid w:val="10CB212A"/>
    <w:rsid w:val="10DA6D52"/>
    <w:rsid w:val="10EF9A73"/>
    <w:rsid w:val="1146DF5F"/>
    <w:rsid w:val="115930CF"/>
    <w:rsid w:val="115CCD8B"/>
    <w:rsid w:val="1176C435"/>
    <w:rsid w:val="127A14B9"/>
    <w:rsid w:val="12C37EB2"/>
    <w:rsid w:val="12F96727"/>
    <w:rsid w:val="1350B724"/>
    <w:rsid w:val="138FD034"/>
    <w:rsid w:val="13B5CC16"/>
    <w:rsid w:val="141D4A69"/>
    <w:rsid w:val="1455153B"/>
    <w:rsid w:val="150F0A6E"/>
    <w:rsid w:val="1546987B"/>
    <w:rsid w:val="15F62EC7"/>
    <w:rsid w:val="16AC93E1"/>
    <w:rsid w:val="16F65D3E"/>
    <w:rsid w:val="1725C9D4"/>
    <w:rsid w:val="17BD8EE0"/>
    <w:rsid w:val="17E8EB6E"/>
    <w:rsid w:val="180252CF"/>
    <w:rsid w:val="18596D57"/>
    <w:rsid w:val="18930759"/>
    <w:rsid w:val="19113837"/>
    <w:rsid w:val="196406FF"/>
    <w:rsid w:val="19A77D31"/>
    <w:rsid w:val="19C7F810"/>
    <w:rsid w:val="1A188459"/>
    <w:rsid w:val="1A706C4C"/>
    <w:rsid w:val="1D0A62D0"/>
    <w:rsid w:val="1D9B21DA"/>
    <w:rsid w:val="1DB47B2A"/>
    <w:rsid w:val="1DBBD215"/>
    <w:rsid w:val="1DE732F6"/>
    <w:rsid w:val="20076472"/>
    <w:rsid w:val="20551977"/>
    <w:rsid w:val="21CF2939"/>
    <w:rsid w:val="2210658B"/>
    <w:rsid w:val="223137DC"/>
    <w:rsid w:val="2271C7AF"/>
    <w:rsid w:val="2288F1D6"/>
    <w:rsid w:val="23240999"/>
    <w:rsid w:val="2325751E"/>
    <w:rsid w:val="234CD506"/>
    <w:rsid w:val="2382B385"/>
    <w:rsid w:val="23B0134D"/>
    <w:rsid w:val="23C2BED1"/>
    <w:rsid w:val="23C6150E"/>
    <w:rsid w:val="24B595F5"/>
    <w:rsid w:val="25E3181C"/>
    <w:rsid w:val="262029E4"/>
    <w:rsid w:val="268FDD10"/>
    <w:rsid w:val="27130582"/>
    <w:rsid w:val="27C317B4"/>
    <w:rsid w:val="27CE4E62"/>
    <w:rsid w:val="27CF2DF0"/>
    <w:rsid w:val="27D84204"/>
    <w:rsid w:val="27D9A961"/>
    <w:rsid w:val="28C52CF2"/>
    <w:rsid w:val="28ECC89B"/>
    <w:rsid w:val="28F7469F"/>
    <w:rsid w:val="28F7971B"/>
    <w:rsid w:val="2943FA91"/>
    <w:rsid w:val="2952DFD5"/>
    <w:rsid w:val="29610792"/>
    <w:rsid w:val="2A90F77E"/>
    <w:rsid w:val="2B41A6F4"/>
    <w:rsid w:val="2B99FD76"/>
    <w:rsid w:val="2BEB5B13"/>
    <w:rsid w:val="2BF98C17"/>
    <w:rsid w:val="2C5E9E37"/>
    <w:rsid w:val="2E6EB01A"/>
    <w:rsid w:val="2ECB7D90"/>
    <w:rsid w:val="2FCDB1D8"/>
    <w:rsid w:val="316648E8"/>
    <w:rsid w:val="31F64904"/>
    <w:rsid w:val="32A8B23E"/>
    <w:rsid w:val="345AF62F"/>
    <w:rsid w:val="34FE83D9"/>
    <w:rsid w:val="34FEA667"/>
    <w:rsid w:val="351875E9"/>
    <w:rsid w:val="358B1E25"/>
    <w:rsid w:val="35AC1508"/>
    <w:rsid w:val="3676DBAE"/>
    <w:rsid w:val="36D94995"/>
    <w:rsid w:val="37567FF3"/>
    <w:rsid w:val="37A059A0"/>
    <w:rsid w:val="37AD76C1"/>
    <w:rsid w:val="37C07126"/>
    <w:rsid w:val="383E4AE9"/>
    <w:rsid w:val="38A1F398"/>
    <w:rsid w:val="38BA548D"/>
    <w:rsid w:val="3935186B"/>
    <w:rsid w:val="39691267"/>
    <w:rsid w:val="39B64275"/>
    <w:rsid w:val="39BBCF06"/>
    <w:rsid w:val="39F4D590"/>
    <w:rsid w:val="3B298275"/>
    <w:rsid w:val="3C153584"/>
    <w:rsid w:val="3CC7C0DE"/>
    <w:rsid w:val="3D2FC9B1"/>
    <w:rsid w:val="3DA652A1"/>
    <w:rsid w:val="3E0A74B1"/>
    <w:rsid w:val="3E0B0334"/>
    <w:rsid w:val="3EAAD8E2"/>
    <w:rsid w:val="3F6ED91F"/>
    <w:rsid w:val="416C0A79"/>
    <w:rsid w:val="41F81AA1"/>
    <w:rsid w:val="4204CB30"/>
    <w:rsid w:val="424034E3"/>
    <w:rsid w:val="433A35A1"/>
    <w:rsid w:val="436B80E6"/>
    <w:rsid w:val="437B4E80"/>
    <w:rsid w:val="4401232A"/>
    <w:rsid w:val="441B024A"/>
    <w:rsid w:val="44DD8FBC"/>
    <w:rsid w:val="4536815F"/>
    <w:rsid w:val="45A980F8"/>
    <w:rsid w:val="46041C63"/>
    <w:rsid w:val="46A8C622"/>
    <w:rsid w:val="46FF7AF3"/>
    <w:rsid w:val="470796F5"/>
    <w:rsid w:val="473D48D8"/>
    <w:rsid w:val="484A577F"/>
    <w:rsid w:val="485E8AE9"/>
    <w:rsid w:val="487229A8"/>
    <w:rsid w:val="48FD52A7"/>
    <w:rsid w:val="4A08DA7C"/>
    <w:rsid w:val="4A2BCCB2"/>
    <w:rsid w:val="4AAC60D5"/>
    <w:rsid w:val="4AEC9029"/>
    <w:rsid w:val="4B591B9A"/>
    <w:rsid w:val="4C7C3950"/>
    <w:rsid w:val="4D0E81A9"/>
    <w:rsid w:val="4D5BE221"/>
    <w:rsid w:val="4D5F7E85"/>
    <w:rsid w:val="4DA19ED0"/>
    <w:rsid w:val="4E7A98BC"/>
    <w:rsid w:val="4EAEE358"/>
    <w:rsid w:val="4FA4913A"/>
    <w:rsid w:val="51195883"/>
    <w:rsid w:val="514C2C6E"/>
    <w:rsid w:val="51A8C548"/>
    <w:rsid w:val="52291F23"/>
    <w:rsid w:val="5271076D"/>
    <w:rsid w:val="52A91422"/>
    <w:rsid w:val="52C98039"/>
    <w:rsid w:val="538B2F77"/>
    <w:rsid w:val="54354DC6"/>
    <w:rsid w:val="54537A78"/>
    <w:rsid w:val="5483BCA9"/>
    <w:rsid w:val="55B73D35"/>
    <w:rsid w:val="561C0AF2"/>
    <w:rsid w:val="56817352"/>
    <w:rsid w:val="576581F6"/>
    <w:rsid w:val="57952F2C"/>
    <w:rsid w:val="57F3586A"/>
    <w:rsid w:val="58386B5E"/>
    <w:rsid w:val="5853598C"/>
    <w:rsid w:val="58796D8E"/>
    <w:rsid w:val="5885A292"/>
    <w:rsid w:val="58D36C7D"/>
    <w:rsid w:val="59A6BAF0"/>
    <w:rsid w:val="5A72AD67"/>
    <w:rsid w:val="5B69D71A"/>
    <w:rsid w:val="5BB7CF1E"/>
    <w:rsid w:val="5BC856D9"/>
    <w:rsid w:val="5BEF9C21"/>
    <w:rsid w:val="5CA80888"/>
    <w:rsid w:val="5D1074AC"/>
    <w:rsid w:val="5D7F914B"/>
    <w:rsid w:val="5E37235D"/>
    <w:rsid w:val="5E86A155"/>
    <w:rsid w:val="5EF95DC7"/>
    <w:rsid w:val="5F14275C"/>
    <w:rsid w:val="5F54940F"/>
    <w:rsid w:val="6037EFE7"/>
    <w:rsid w:val="60C8D12C"/>
    <w:rsid w:val="613CA958"/>
    <w:rsid w:val="6183B026"/>
    <w:rsid w:val="62C17662"/>
    <w:rsid w:val="636A8FF7"/>
    <w:rsid w:val="63CD36C4"/>
    <w:rsid w:val="63D326F4"/>
    <w:rsid w:val="64330B4C"/>
    <w:rsid w:val="6592F6DF"/>
    <w:rsid w:val="65B2D29D"/>
    <w:rsid w:val="665BA397"/>
    <w:rsid w:val="66A6BCC1"/>
    <w:rsid w:val="675138C9"/>
    <w:rsid w:val="67663A58"/>
    <w:rsid w:val="67848DDF"/>
    <w:rsid w:val="67B3384B"/>
    <w:rsid w:val="67CDAD16"/>
    <w:rsid w:val="68040384"/>
    <w:rsid w:val="6894C4A3"/>
    <w:rsid w:val="691D8017"/>
    <w:rsid w:val="69C5E5B9"/>
    <w:rsid w:val="6A33934E"/>
    <w:rsid w:val="6B1151AC"/>
    <w:rsid w:val="6BCA648E"/>
    <w:rsid w:val="6C0515A5"/>
    <w:rsid w:val="6C7F4CC6"/>
    <w:rsid w:val="6CE81110"/>
    <w:rsid w:val="6D03B6C0"/>
    <w:rsid w:val="6D3CACB1"/>
    <w:rsid w:val="6D5365ED"/>
    <w:rsid w:val="6D79C2F3"/>
    <w:rsid w:val="6D7C16F8"/>
    <w:rsid w:val="6D9654AC"/>
    <w:rsid w:val="6E18235C"/>
    <w:rsid w:val="6FE18908"/>
    <w:rsid w:val="6FFE8B91"/>
    <w:rsid w:val="70AC221D"/>
    <w:rsid w:val="70B3692C"/>
    <w:rsid w:val="71465F85"/>
    <w:rsid w:val="7163C522"/>
    <w:rsid w:val="71812548"/>
    <w:rsid w:val="718C6942"/>
    <w:rsid w:val="71E19ED2"/>
    <w:rsid w:val="723C618B"/>
    <w:rsid w:val="725B7BCC"/>
    <w:rsid w:val="7490E63A"/>
    <w:rsid w:val="7598E8E2"/>
    <w:rsid w:val="76275B8E"/>
    <w:rsid w:val="765BC955"/>
    <w:rsid w:val="7682699F"/>
    <w:rsid w:val="7697AED8"/>
    <w:rsid w:val="76A211EA"/>
    <w:rsid w:val="7795C25D"/>
    <w:rsid w:val="7798B319"/>
    <w:rsid w:val="77D75D9C"/>
    <w:rsid w:val="77D9DD77"/>
    <w:rsid w:val="77F8B312"/>
    <w:rsid w:val="78014BF0"/>
    <w:rsid w:val="7922516A"/>
    <w:rsid w:val="795389DF"/>
    <w:rsid w:val="79709DBB"/>
    <w:rsid w:val="79F1237E"/>
    <w:rsid w:val="7A11F889"/>
    <w:rsid w:val="7A1D9F67"/>
    <w:rsid w:val="7A2FD06D"/>
    <w:rsid w:val="7A9F2902"/>
    <w:rsid w:val="7AA33822"/>
    <w:rsid w:val="7B0049CA"/>
    <w:rsid w:val="7B775282"/>
    <w:rsid w:val="7B880619"/>
    <w:rsid w:val="7B9358C0"/>
    <w:rsid w:val="7EBD2A61"/>
    <w:rsid w:val="7F9EC4BE"/>
    <w:rsid w:val="7FD260A1"/>
    <w:rsid w:val="7FF9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6CCAB6D6-F1A1-4942-BCE5-4ABCD5A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3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2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2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52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4BC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resear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CA640-94AE-4403-8E70-FA2D9FA73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02EA0-67CE-4634-A20A-41AAFAEA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May 19, 2026 Regular Meeting Item 2: Research and Evaluation at DESE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May 19, 2026 Regular Meeting Item 2: Research and Evaluation at DESE</dc:title>
  <dc:subject/>
  <dc:creator>DESE</dc:creator>
  <cp:keywords/>
  <dc:description/>
  <cp:lastModifiedBy>Zou, Dong (EOE)</cp:lastModifiedBy>
  <cp:revision>4</cp:revision>
  <dcterms:created xsi:type="dcterms:W3CDTF">2026-05-14T20:33:00Z</dcterms:created>
  <dcterms:modified xsi:type="dcterms:W3CDTF">2026-05-14T21:40:00Z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14 2026 12:00AM</vt:lpwstr>
  </property>
</Properties>
</file>