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D88C" w14:textId="00A45F10" w:rsidR="0A1739C7" w:rsidRPr="008D5537" w:rsidRDefault="4C46C5A1" w:rsidP="008D5537">
      <w:pPr>
        <w:pStyle w:val="Heading1"/>
      </w:pPr>
      <w:r w:rsidRPr="008D5537">
        <w:t xml:space="preserve">Summary of Public Comments on Proposed Changes to the </w:t>
      </w:r>
      <w:r w:rsidR="2780AA3E" w:rsidRPr="008D5537">
        <w:t xml:space="preserve">Regulations on </w:t>
      </w:r>
      <w:r w:rsidR="00C7520F" w:rsidRPr="008D5537">
        <w:t>Special Education</w:t>
      </w:r>
      <w:r w:rsidR="3D92AAF5" w:rsidRPr="008D5537">
        <w:t xml:space="preserve">, 603 </w:t>
      </w:r>
      <w:r w:rsidR="00232825" w:rsidRPr="008D5537">
        <w:t>C</w:t>
      </w:r>
      <w:r w:rsidR="3D92AAF5" w:rsidRPr="008D5537">
        <w:t xml:space="preserve">MR </w:t>
      </w:r>
      <w:r w:rsidR="00C7520F" w:rsidRPr="008D5537">
        <w:t>28.00</w:t>
      </w:r>
    </w:p>
    <w:p w14:paraId="35760F6F" w14:textId="241715C7" w:rsidR="004F5D0D" w:rsidRPr="004F5D0D" w:rsidRDefault="4E461AD2" w:rsidP="008D5537">
      <w:pPr>
        <w:pStyle w:val="Heading2"/>
      </w:pPr>
      <w:r w:rsidRPr="00C469A6">
        <w:t>Introduction</w:t>
      </w:r>
    </w:p>
    <w:p w14:paraId="6848C501" w14:textId="6B061C88" w:rsidR="6BCDC171" w:rsidRDefault="1B9D41A5" w:rsidP="1835491B">
      <w:pPr>
        <w:rPr>
          <w:rFonts w:ascii="Arial" w:eastAsia="Aptos" w:hAnsi="Arial" w:cs="Arial"/>
        </w:rPr>
      </w:pPr>
      <w:r w:rsidRPr="00971442">
        <w:rPr>
          <w:rFonts w:ascii="Arial" w:eastAsia="Aptos" w:hAnsi="Arial" w:cs="Arial"/>
        </w:rPr>
        <w:t xml:space="preserve">On </w:t>
      </w:r>
      <w:r w:rsidR="3CACDEDC" w:rsidRPr="00971442">
        <w:rPr>
          <w:rFonts w:ascii="Arial" w:eastAsia="Aptos" w:hAnsi="Arial" w:cs="Arial"/>
        </w:rPr>
        <w:t>February 24, 2026</w:t>
      </w:r>
      <w:r w:rsidRPr="00971442">
        <w:rPr>
          <w:rFonts w:ascii="Arial" w:eastAsia="Aptos" w:hAnsi="Arial" w:cs="Arial"/>
        </w:rPr>
        <w:t>, t</w:t>
      </w:r>
      <w:r w:rsidR="3B08C671" w:rsidRPr="00971442">
        <w:rPr>
          <w:rFonts w:ascii="Arial" w:eastAsia="Aptos" w:hAnsi="Arial" w:cs="Arial"/>
        </w:rPr>
        <w:t xml:space="preserve">he Massachusetts </w:t>
      </w:r>
      <w:r w:rsidRPr="00971442">
        <w:rPr>
          <w:rFonts w:ascii="Arial" w:eastAsia="Aptos" w:hAnsi="Arial" w:cs="Arial"/>
        </w:rPr>
        <w:t xml:space="preserve">Board </w:t>
      </w:r>
      <w:r w:rsidR="3B08C671" w:rsidRPr="00971442">
        <w:rPr>
          <w:rFonts w:ascii="Arial" w:eastAsia="Aptos" w:hAnsi="Arial" w:cs="Arial"/>
        </w:rPr>
        <w:t xml:space="preserve">of Elementary and Secondary Education </w:t>
      </w:r>
      <w:r w:rsidRPr="00971442">
        <w:rPr>
          <w:rFonts w:ascii="Arial" w:eastAsia="Aptos" w:hAnsi="Arial" w:cs="Arial"/>
        </w:rPr>
        <w:t xml:space="preserve">voted to invite </w:t>
      </w:r>
      <w:r w:rsidR="3B08C671" w:rsidRPr="00971442">
        <w:rPr>
          <w:rFonts w:ascii="Arial" w:eastAsia="Aptos" w:hAnsi="Arial" w:cs="Arial"/>
        </w:rPr>
        <w:t>public feedback on proposed changes to the state’s Regulations on</w:t>
      </w:r>
      <w:r w:rsidR="3B08C671" w:rsidRPr="3985FBC9">
        <w:rPr>
          <w:rFonts w:ascii="Arial" w:eastAsia="Aptos" w:hAnsi="Arial" w:cs="Arial"/>
        </w:rPr>
        <w:t xml:space="preserve"> </w:t>
      </w:r>
      <w:r w:rsidR="00C7520F">
        <w:rPr>
          <w:rFonts w:ascii="Arial" w:eastAsia="Aptos" w:hAnsi="Arial" w:cs="Arial"/>
        </w:rPr>
        <w:t>Special Education</w:t>
      </w:r>
      <w:r w:rsidR="0E4617C2" w:rsidRPr="3985FBC9">
        <w:rPr>
          <w:rFonts w:ascii="Arial" w:eastAsia="Aptos" w:hAnsi="Arial" w:cs="Arial"/>
        </w:rPr>
        <w:t xml:space="preserve">, </w:t>
      </w:r>
      <w:r w:rsidR="3B08C671" w:rsidRPr="3985FBC9">
        <w:rPr>
          <w:rFonts w:ascii="Arial" w:eastAsia="Aptos" w:hAnsi="Arial" w:cs="Arial"/>
        </w:rPr>
        <w:t xml:space="preserve">603 CMR </w:t>
      </w:r>
      <w:r w:rsidR="00C7520F">
        <w:rPr>
          <w:rFonts w:ascii="Arial" w:eastAsia="Aptos" w:hAnsi="Arial" w:cs="Arial"/>
        </w:rPr>
        <w:t>28.00</w:t>
      </w:r>
      <w:r w:rsidR="3B08C671" w:rsidRPr="3985FBC9">
        <w:rPr>
          <w:rFonts w:ascii="Arial" w:eastAsia="Aptos" w:hAnsi="Arial" w:cs="Arial"/>
        </w:rPr>
        <w:t xml:space="preserve">. </w:t>
      </w:r>
      <w:r w:rsidR="3413D493" w:rsidRPr="138934CF">
        <w:rPr>
          <w:rFonts w:ascii="Arial" w:eastAsia="Aptos" w:hAnsi="Arial" w:cs="Arial"/>
        </w:rPr>
        <w:t>During th</w:t>
      </w:r>
      <w:r w:rsidR="17381521" w:rsidRPr="138934CF">
        <w:rPr>
          <w:rFonts w:ascii="Arial" w:eastAsia="Aptos" w:hAnsi="Arial" w:cs="Arial"/>
        </w:rPr>
        <w:t xml:space="preserve">e </w:t>
      </w:r>
      <w:r w:rsidR="17381521" w:rsidRPr="1970D52E">
        <w:rPr>
          <w:rFonts w:ascii="Arial" w:eastAsia="Aptos" w:hAnsi="Arial" w:cs="Arial"/>
        </w:rPr>
        <w:t>public</w:t>
      </w:r>
      <w:r w:rsidR="17381521" w:rsidRPr="138934CF">
        <w:rPr>
          <w:rFonts w:ascii="Arial" w:eastAsia="Aptos" w:hAnsi="Arial" w:cs="Arial"/>
        </w:rPr>
        <w:t xml:space="preserve"> comment </w:t>
      </w:r>
      <w:r w:rsidR="17381521" w:rsidRPr="6357C540">
        <w:rPr>
          <w:rFonts w:ascii="Arial" w:eastAsia="Aptos" w:hAnsi="Arial" w:cs="Arial"/>
        </w:rPr>
        <w:t>period</w:t>
      </w:r>
      <w:r w:rsidR="3413D493" w:rsidRPr="3985FBC9">
        <w:rPr>
          <w:rFonts w:ascii="Arial" w:eastAsia="Aptos" w:hAnsi="Arial" w:cs="Arial"/>
        </w:rPr>
        <w:t xml:space="preserve">, a total of </w:t>
      </w:r>
      <w:r w:rsidR="00494FE0">
        <w:rPr>
          <w:rFonts w:ascii="Arial" w:eastAsia="Aptos" w:hAnsi="Arial" w:cs="Arial"/>
        </w:rPr>
        <w:t xml:space="preserve">fourteen </w:t>
      </w:r>
      <w:r w:rsidR="3413D493" w:rsidRPr="3985FBC9">
        <w:rPr>
          <w:rFonts w:ascii="Arial" w:eastAsia="Aptos" w:hAnsi="Arial" w:cs="Arial"/>
        </w:rPr>
        <w:t>individuals submitted written comments;</w:t>
      </w:r>
      <w:r w:rsidR="00536DF4">
        <w:rPr>
          <w:rFonts w:ascii="Arial" w:eastAsia="Aptos" w:hAnsi="Arial" w:cs="Arial"/>
        </w:rPr>
        <w:t xml:space="preserve"> </w:t>
      </w:r>
      <w:r w:rsidR="00494FE0">
        <w:rPr>
          <w:rFonts w:ascii="Arial" w:eastAsia="Aptos" w:hAnsi="Arial" w:cs="Arial"/>
        </w:rPr>
        <w:t>thirteen</w:t>
      </w:r>
      <w:r w:rsidR="00494FE0" w:rsidRPr="3985FBC9">
        <w:rPr>
          <w:rFonts w:ascii="Arial" w:eastAsia="Aptos" w:hAnsi="Arial" w:cs="Arial"/>
        </w:rPr>
        <w:t xml:space="preserve"> </w:t>
      </w:r>
      <w:r w:rsidR="3413D493" w:rsidRPr="3985FBC9">
        <w:rPr>
          <w:rFonts w:ascii="Arial" w:eastAsia="Aptos" w:hAnsi="Arial" w:cs="Arial"/>
        </w:rPr>
        <w:t xml:space="preserve">individuals submitted comments via email and </w:t>
      </w:r>
      <w:r w:rsidR="00536DF4">
        <w:rPr>
          <w:rFonts w:ascii="Arial" w:eastAsia="Aptos" w:hAnsi="Arial" w:cs="Arial"/>
        </w:rPr>
        <w:t xml:space="preserve">one </w:t>
      </w:r>
      <w:r w:rsidR="3413D493" w:rsidRPr="3985FBC9">
        <w:rPr>
          <w:rFonts w:ascii="Arial" w:eastAsia="Aptos" w:hAnsi="Arial" w:cs="Arial"/>
        </w:rPr>
        <w:t>individual submitted comments through a dedicated public comment survey tool</w:t>
      </w:r>
      <w:r w:rsidR="3B08C671" w:rsidRPr="3985FBC9">
        <w:rPr>
          <w:rFonts w:ascii="Arial" w:eastAsia="Aptos" w:hAnsi="Arial" w:cs="Arial"/>
        </w:rPr>
        <w:t>.</w:t>
      </w:r>
      <w:r w:rsidR="4D79C9FD" w:rsidRPr="3985FBC9">
        <w:rPr>
          <w:rFonts w:ascii="Arial" w:eastAsia="Aptos" w:hAnsi="Arial" w:cs="Arial"/>
        </w:rPr>
        <w:t xml:space="preserve"> </w:t>
      </w:r>
      <w:r w:rsidR="057094E1" w:rsidRPr="3985FBC9">
        <w:rPr>
          <w:rFonts w:ascii="Arial" w:eastAsia="Aptos" w:hAnsi="Arial" w:cs="Arial"/>
        </w:rPr>
        <w:t>All survey responses and emails, with personal data redacted as required, are available upon</w:t>
      </w:r>
      <w:r w:rsidR="40F5AF14" w:rsidRPr="3985FBC9">
        <w:rPr>
          <w:rFonts w:ascii="Arial" w:eastAsia="Aptos" w:hAnsi="Arial" w:cs="Arial"/>
        </w:rPr>
        <w:t xml:space="preserve"> request.</w:t>
      </w:r>
      <w:r w:rsidR="057094E1" w:rsidRPr="3985FBC9">
        <w:rPr>
          <w:rFonts w:ascii="Arial" w:eastAsia="Aptos" w:hAnsi="Arial" w:cs="Arial"/>
        </w:rPr>
        <w:t xml:space="preserve"> </w:t>
      </w:r>
    </w:p>
    <w:p w14:paraId="059B88E6" w14:textId="279CC814" w:rsidR="601F49F8" w:rsidRPr="008D5537" w:rsidRDefault="601F49F8" w:rsidP="008D5537">
      <w:pPr>
        <w:pStyle w:val="Heading2"/>
      </w:pPr>
      <w:r w:rsidRPr="008D5537">
        <w:t>Summary of Public Comment</w:t>
      </w:r>
    </w:p>
    <w:p w14:paraId="30F55C3A" w14:textId="7901C740" w:rsidR="008D5537" w:rsidRDefault="008D5537" w:rsidP="008D5537">
      <w:pPr>
        <w:rPr>
          <w:rFonts w:ascii="Arial" w:eastAsia="Aptos" w:hAnsi="Arial" w:cs="Arial"/>
          <w:b/>
          <w:bCs/>
          <w:szCs w:val="24"/>
        </w:rPr>
      </w:pPr>
      <w:r w:rsidRPr="00C469A6">
        <w:rPr>
          <w:rFonts w:ascii="Arial" w:eastAsia="Aptos" w:hAnsi="Arial" w:cs="Arial"/>
          <w:b/>
          <w:bCs/>
          <w:szCs w:val="24"/>
        </w:rPr>
        <w:t>Summary of Public Comment Themes and Department of Elementary and Secondary Education (DESE or Department) Responses</w:t>
      </w:r>
    </w:p>
    <w:p w14:paraId="679F9AA5" w14:textId="77777777" w:rsidR="008D5537" w:rsidRPr="008D5537" w:rsidRDefault="008D5537" w:rsidP="008D5537">
      <w:pPr>
        <w:pStyle w:val="Heading3"/>
      </w:pPr>
      <w:r w:rsidRPr="008D5537">
        <w:t>603 CMR 28.02 Definition of IEP Team</w:t>
      </w:r>
    </w:p>
    <w:tbl>
      <w:tblPr>
        <w:tblStyle w:val="TableGrid"/>
        <w:tblW w:w="14400" w:type="dxa"/>
        <w:tblInd w:w="-5" w:type="dxa"/>
        <w:tblLook w:val="06A0" w:firstRow="1" w:lastRow="0" w:firstColumn="1" w:lastColumn="0" w:noHBand="1" w:noVBand="1"/>
      </w:tblPr>
      <w:tblGrid>
        <w:gridCol w:w="9120"/>
        <w:gridCol w:w="5280"/>
      </w:tblGrid>
      <w:tr w:rsidR="008D5537" w:rsidRPr="00C469A6" w14:paraId="1D35A24F"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5E0CEB" w14:textId="77777777" w:rsidR="008D5537" w:rsidRPr="00C469A6" w:rsidRDefault="008D5537"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22481E" w14:textId="77777777" w:rsidR="008D5537" w:rsidRPr="00C469A6" w:rsidRDefault="008D5537" w:rsidP="0028380E">
            <w:pPr>
              <w:rPr>
                <w:rFonts w:ascii="Arial" w:eastAsia="Aptos" w:hAnsi="Arial" w:cs="Arial"/>
                <w:b/>
                <w:bCs/>
              </w:rPr>
            </w:pPr>
            <w:r w:rsidRPr="00C469A6">
              <w:rPr>
                <w:rFonts w:ascii="Arial" w:eastAsia="Aptos" w:hAnsi="Arial" w:cs="Arial"/>
                <w:b/>
                <w:bCs/>
              </w:rPr>
              <w:t>Department’s Response</w:t>
            </w:r>
          </w:p>
        </w:tc>
      </w:tr>
      <w:tr w:rsidR="008D5537" w:rsidRPr="00C469A6" w14:paraId="17D41CB3" w14:textId="77777777" w:rsidTr="0028380E">
        <w:trPr>
          <w:trHeight w:val="300"/>
        </w:trPr>
        <w:tc>
          <w:tcPr>
            <w:tcW w:w="9120" w:type="dxa"/>
          </w:tcPr>
          <w:p w14:paraId="4AB3A996" w14:textId="77777777" w:rsidR="008D5537" w:rsidRPr="00F3064D" w:rsidRDefault="008D5537" w:rsidP="0028380E">
            <w:pPr>
              <w:rPr>
                <w:rFonts w:ascii="Arial" w:eastAsia="Aptos" w:hAnsi="Arial" w:cs="Arial"/>
              </w:rPr>
            </w:pPr>
            <w:r w:rsidRPr="19FBA3FD">
              <w:rPr>
                <w:rFonts w:ascii="Arial" w:eastAsia="Aptos" w:hAnsi="Arial" w:cs="Arial"/>
                <w:b/>
                <w:bCs/>
              </w:rPr>
              <w:t>Commenters</w:t>
            </w:r>
            <w:r w:rsidRPr="0008625F">
              <w:rPr>
                <w:rFonts w:ascii="Arial" w:eastAsia="Aptos" w:hAnsi="Arial" w:cs="Arial"/>
                <w:b/>
                <w:bCs/>
              </w:rPr>
              <w:t xml:space="preserve"> recommend revising the definition of “Team” in 603 CMR 28.02 to explicitly incorporate the Protect Education Equity Act </w:t>
            </w:r>
            <w:r w:rsidRPr="19FBA3FD">
              <w:rPr>
                <w:rFonts w:ascii="Arial" w:eastAsia="Aptos" w:hAnsi="Arial" w:cs="Arial"/>
                <w:b/>
                <w:bCs/>
              </w:rPr>
              <w:t>provision</w:t>
            </w:r>
            <w:r w:rsidRPr="00887E2E">
              <w:rPr>
                <w:rFonts w:ascii="Arial" w:eastAsia="Aptos" w:hAnsi="Arial" w:cs="Arial"/>
              </w:rPr>
              <w:t xml:space="preserve"> </w:t>
            </w:r>
            <w:r>
              <w:rPr>
                <w:rFonts w:ascii="Arial" w:eastAsia="Aptos" w:hAnsi="Arial" w:cs="Arial"/>
              </w:rPr>
              <w:t>requiring</w:t>
            </w:r>
            <w:r w:rsidRPr="19FBA3FD">
              <w:rPr>
                <w:rFonts w:ascii="Arial" w:eastAsia="Aptos" w:hAnsi="Arial" w:cs="Arial"/>
              </w:rPr>
              <w:t xml:space="preserve"> IEP Team</w:t>
            </w:r>
            <w:r w:rsidRPr="00887E2E">
              <w:rPr>
                <w:rFonts w:ascii="Arial" w:eastAsia="Aptos" w:hAnsi="Arial" w:cs="Arial"/>
              </w:rPr>
              <w:t xml:space="preserve"> participation </w:t>
            </w:r>
            <w:r w:rsidRPr="19FBA3FD">
              <w:rPr>
                <w:rFonts w:ascii="Arial" w:eastAsia="Aptos" w:hAnsi="Arial" w:cs="Arial"/>
              </w:rPr>
              <w:t>by</w:t>
            </w:r>
            <w:r w:rsidRPr="00887E2E">
              <w:rPr>
                <w:rFonts w:ascii="Arial" w:eastAsia="Aptos" w:hAnsi="Arial" w:cs="Arial"/>
              </w:rPr>
              <w:t xml:space="preserve"> individuals with expertise in second language acquisition, language needs, and the distinction between language acquisition and disability, </w:t>
            </w:r>
            <w:r w:rsidRPr="19FBA3FD">
              <w:rPr>
                <w:rFonts w:ascii="Arial" w:eastAsia="Aptos" w:hAnsi="Arial" w:cs="Arial"/>
              </w:rPr>
              <w:t xml:space="preserve">or the submission of a report to the Team </w:t>
            </w:r>
            <w:r w:rsidRPr="00887E2E">
              <w:rPr>
                <w:rFonts w:ascii="Arial" w:eastAsia="Aptos" w:hAnsi="Arial" w:cs="Arial"/>
              </w:rPr>
              <w:t>in order to promote consistent implementation and reduce inequities in identification and services for multilingual learners.</w:t>
            </w:r>
          </w:p>
        </w:tc>
        <w:tc>
          <w:tcPr>
            <w:tcW w:w="5280" w:type="dxa"/>
          </w:tcPr>
          <w:p w14:paraId="697DBD4D" w14:textId="77777777" w:rsidR="008D5537" w:rsidRPr="00C469A6" w:rsidRDefault="008D5537" w:rsidP="0028380E">
            <w:pPr>
              <w:autoSpaceDE w:val="0"/>
              <w:autoSpaceDN w:val="0"/>
              <w:adjustRightInd w:val="0"/>
              <w:rPr>
                <w:rFonts w:ascii="Arial" w:hAnsi="Arial" w:cs="Arial"/>
              </w:rPr>
            </w:pPr>
            <w:r>
              <w:rPr>
                <w:rFonts w:ascii="Arial" w:hAnsi="Arial" w:cs="Arial"/>
              </w:rPr>
              <w:t xml:space="preserve">No change. The Protect Education Equity Act made changes to the IEP development process, including </w:t>
            </w:r>
            <w:r w:rsidRPr="00887E2E">
              <w:rPr>
                <w:rFonts w:ascii="Arial" w:eastAsia="Aptos" w:hAnsi="Arial" w:cs="Arial"/>
              </w:rPr>
              <w:t>participation of individuals with expertise in second language acquisition, language needs, and the distinction between language acquisition and disability</w:t>
            </w:r>
            <w:r>
              <w:rPr>
                <w:rFonts w:ascii="Arial" w:eastAsia="Aptos" w:hAnsi="Arial" w:cs="Arial"/>
              </w:rPr>
              <w:t xml:space="preserve">. This participation or submission requirement did not change the required Team members. </w:t>
            </w:r>
            <w:r>
              <w:rPr>
                <w:rFonts w:ascii="Arial" w:hAnsi="Arial" w:cs="Arial"/>
              </w:rPr>
              <w:t xml:space="preserve"> </w:t>
            </w:r>
          </w:p>
        </w:tc>
      </w:tr>
    </w:tbl>
    <w:p w14:paraId="4EBA044F" w14:textId="77777777" w:rsidR="00E57079" w:rsidRDefault="00E57079" w:rsidP="00E57079"/>
    <w:p w14:paraId="41FD65F6" w14:textId="51442224" w:rsidR="008D5537" w:rsidRDefault="008D5537" w:rsidP="00E57079">
      <w:pPr>
        <w:pStyle w:val="Heading3"/>
      </w:pPr>
      <w:r w:rsidRPr="00AE0FCE">
        <w:t>603 CMR 28.</w:t>
      </w:r>
      <w:r w:rsidRPr="19FBA3FD">
        <w:t>03</w:t>
      </w:r>
      <w:r w:rsidRPr="00AE0FCE">
        <w:t xml:space="preserve"> District Training</w:t>
      </w:r>
    </w:p>
    <w:tbl>
      <w:tblPr>
        <w:tblStyle w:val="TableGrid"/>
        <w:tblW w:w="14400" w:type="dxa"/>
        <w:tblInd w:w="-5" w:type="dxa"/>
        <w:tblLook w:val="06A0" w:firstRow="1" w:lastRow="0" w:firstColumn="1" w:lastColumn="0" w:noHBand="1" w:noVBand="1"/>
      </w:tblPr>
      <w:tblGrid>
        <w:gridCol w:w="9120"/>
        <w:gridCol w:w="5280"/>
      </w:tblGrid>
      <w:tr w:rsidR="008D5537" w:rsidRPr="00C469A6" w14:paraId="3F500337"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D654ED" w14:textId="77777777" w:rsidR="008D5537" w:rsidRPr="00C469A6" w:rsidRDefault="008D5537"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84D0ED" w14:textId="77777777" w:rsidR="008D5537" w:rsidRPr="00C469A6" w:rsidRDefault="008D5537" w:rsidP="0028380E">
            <w:pPr>
              <w:rPr>
                <w:rFonts w:ascii="Arial" w:eastAsia="Aptos" w:hAnsi="Arial" w:cs="Arial"/>
                <w:b/>
                <w:bCs/>
              </w:rPr>
            </w:pPr>
            <w:r w:rsidRPr="00C469A6">
              <w:rPr>
                <w:rFonts w:ascii="Arial" w:eastAsia="Aptos" w:hAnsi="Arial" w:cs="Arial"/>
                <w:b/>
                <w:bCs/>
              </w:rPr>
              <w:t>Department’s Response</w:t>
            </w:r>
          </w:p>
        </w:tc>
      </w:tr>
      <w:tr w:rsidR="008D5537" w:rsidRPr="00C469A6" w14:paraId="37F5C0C1" w14:textId="77777777" w:rsidTr="0028380E">
        <w:trPr>
          <w:trHeight w:val="300"/>
        </w:trPr>
        <w:tc>
          <w:tcPr>
            <w:tcW w:w="9120" w:type="dxa"/>
          </w:tcPr>
          <w:p w14:paraId="09C2EC4E" w14:textId="77777777" w:rsidR="008D5537" w:rsidRDefault="008D5537" w:rsidP="0028380E">
            <w:pPr>
              <w:rPr>
                <w:rFonts w:ascii="Arial" w:eastAsia="Aptos" w:hAnsi="Arial" w:cs="Arial"/>
              </w:rPr>
            </w:pPr>
            <w:r w:rsidRPr="19FBA3FD">
              <w:rPr>
                <w:rFonts w:ascii="Arial" w:eastAsia="Aptos" w:hAnsi="Arial" w:cs="Arial"/>
                <w:b/>
                <w:bCs/>
              </w:rPr>
              <w:t>Commenters</w:t>
            </w:r>
            <w:r w:rsidRPr="0008625F">
              <w:rPr>
                <w:rFonts w:ascii="Arial" w:eastAsia="Aptos" w:hAnsi="Arial" w:cs="Arial"/>
                <w:b/>
                <w:bCs/>
              </w:rPr>
              <w:t xml:space="preserve"> recommend </w:t>
            </w:r>
            <w:r w:rsidRPr="19FBA3FD">
              <w:rPr>
                <w:rFonts w:ascii="Arial" w:eastAsia="Aptos" w:hAnsi="Arial" w:cs="Arial"/>
              </w:rPr>
              <w:t>explicitly adding</w:t>
            </w:r>
            <w:r w:rsidRPr="007E5474">
              <w:rPr>
                <w:rFonts w:ascii="Arial" w:eastAsia="Aptos" w:hAnsi="Arial" w:cs="Arial"/>
              </w:rPr>
              <w:t xml:space="preserve"> ESL educators</w:t>
            </w:r>
            <w:r w:rsidRPr="19FBA3FD">
              <w:rPr>
                <w:rFonts w:ascii="Arial" w:eastAsia="Aptos" w:hAnsi="Arial" w:cs="Arial"/>
              </w:rPr>
              <w:t xml:space="preserve"> to the listed school district personnel required to </w:t>
            </w:r>
            <w:r>
              <w:rPr>
                <w:rFonts w:ascii="Arial" w:eastAsia="Aptos" w:hAnsi="Arial" w:cs="Arial"/>
              </w:rPr>
              <w:t>receive</w:t>
            </w:r>
            <w:r w:rsidRPr="19FBA3FD">
              <w:rPr>
                <w:rFonts w:ascii="Arial" w:eastAsia="Aptos" w:hAnsi="Arial" w:cs="Arial"/>
              </w:rPr>
              <w:t xml:space="preserve"> training on special education requirements to </w:t>
            </w:r>
            <w:r w:rsidRPr="007E5474">
              <w:rPr>
                <w:rFonts w:ascii="Arial" w:eastAsia="Aptos" w:hAnsi="Arial" w:cs="Arial"/>
              </w:rPr>
              <w:t>strengthen understanding of special education requirements for English learners with disabilities and improve meaningful participation in the IEP process and service delivery.</w:t>
            </w:r>
          </w:p>
        </w:tc>
        <w:tc>
          <w:tcPr>
            <w:tcW w:w="5280" w:type="dxa"/>
          </w:tcPr>
          <w:p w14:paraId="15F01F84" w14:textId="77777777" w:rsidR="008D5537" w:rsidRPr="00C469A6" w:rsidRDefault="008D5537" w:rsidP="0028380E">
            <w:pPr>
              <w:autoSpaceDE w:val="0"/>
              <w:autoSpaceDN w:val="0"/>
              <w:adjustRightInd w:val="0"/>
              <w:rPr>
                <w:rFonts w:ascii="Arial" w:hAnsi="Arial" w:cs="Arial"/>
              </w:rPr>
            </w:pPr>
            <w:r w:rsidRPr="0E0D80C5">
              <w:rPr>
                <w:rFonts w:ascii="Arial" w:hAnsi="Arial" w:cs="Arial"/>
              </w:rPr>
              <w:t>The Department proposes including “English as a second language” educators in the list of those to whom the district must provide training on special education requirements.</w:t>
            </w:r>
          </w:p>
        </w:tc>
      </w:tr>
    </w:tbl>
    <w:p w14:paraId="7237F1B9" w14:textId="77777777" w:rsidR="008D5537" w:rsidRDefault="008D5537" w:rsidP="008D5537">
      <w:pPr>
        <w:rPr>
          <w:rFonts w:ascii="Arial" w:eastAsia="Aptos" w:hAnsi="Arial" w:cs="Arial"/>
          <w:b/>
          <w:bCs/>
        </w:rPr>
      </w:pPr>
    </w:p>
    <w:p w14:paraId="44DC2317" w14:textId="0F4F82D5" w:rsidR="008D5537" w:rsidRDefault="008D5537" w:rsidP="00E57079">
      <w:pPr>
        <w:pStyle w:val="Heading3"/>
      </w:pPr>
      <w:r w:rsidRPr="00810118">
        <w:lastRenderedPageBreak/>
        <w:t>603 CMR 28.</w:t>
      </w:r>
      <w:r w:rsidRPr="19FBA3FD">
        <w:t>04</w:t>
      </w:r>
      <w:r w:rsidRPr="00810118">
        <w:t xml:space="preserve"> English Proficiency &amp; Language Needs of Student (Initial Evaluation of the IEP)</w:t>
      </w:r>
    </w:p>
    <w:tbl>
      <w:tblPr>
        <w:tblStyle w:val="TableGrid"/>
        <w:tblW w:w="14400" w:type="dxa"/>
        <w:tblInd w:w="-5" w:type="dxa"/>
        <w:tblLook w:val="06A0" w:firstRow="1" w:lastRow="0" w:firstColumn="1" w:lastColumn="0" w:noHBand="1" w:noVBand="1"/>
      </w:tblPr>
      <w:tblGrid>
        <w:gridCol w:w="9120"/>
        <w:gridCol w:w="5280"/>
      </w:tblGrid>
      <w:tr w:rsidR="008D5537" w:rsidRPr="00C469A6" w14:paraId="53983EB5"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54118" w14:textId="77777777" w:rsidR="008D5537" w:rsidRPr="00C469A6" w:rsidRDefault="008D5537"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4F2DAF" w14:textId="77777777" w:rsidR="008D5537" w:rsidRPr="00C469A6" w:rsidRDefault="008D5537" w:rsidP="0028380E">
            <w:pPr>
              <w:rPr>
                <w:rFonts w:ascii="Arial" w:eastAsia="Aptos" w:hAnsi="Arial" w:cs="Arial"/>
                <w:b/>
                <w:bCs/>
              </w:rPr>
            </w:pPr>
            <w:r w:rsidRPr="00C469A6">
              <w:rPr>
                <w:rFonts w:ascii="Arial" w:eastAsia="Aptos" w:hAnsi="Arial" w:cs="Arial"/>
                <w:b/>
                <w:bCs/>
              </w:rPr>
              <w:t>Department’s Response</w:t>
            </w:r>
          </w:p>
        </w:tc>
      </w:tr>
      <w:tr w:rsidR="008D5537" w:rsidRPr="00C469A6" w14:paraId="128BBD03" w14:textId="77777777" w:rsidTr="0028380E">
        <w:trPr>
          <w:trHeight w:val="300"/>
        </w:trPr>
        <w:tc>
          <w:tcPr>
            <w:tcW w:w="9120" w:type="dxa"/>
          </w:tcPr>
          <w:p w14:paraId="1A624827" w14:textId="77777777" w:rsidR="008D5537" w:rsidRDefault="008D5537" w:rsidP="0028380E">
            <w:pPr>
              <w:rPr>
                <w:rFonts w:ascii="Arial" w:eastAsia="Aptos" w:hAnsi="Arial" w:cs="Arial"/>
              </w:rPr>
            </w:pPr>
            <w:r w:rsidRPr="19FBA3FD">
              <w:rPr>
                <w:rFonts w:ascii="Arial" w:eastAsia="Aptos" w:hAnsi="Arial" w:cs="Arial"/>
                <w:b/>
                <w:bCs/>
              </w:rPr>
              <w:t>Commenters</w:t>
            </w:r>
            <w:r w:rsidRPr="0008625F">
              <w:rPr>
                <w:rFonts w:ascii="Arial" w:eastAsia="Aptos" w:hAnsi="Arial" w:cs="Arial"/>
                <w:b/>
                <w:bCs/>
              </w:rPr>
              <w:t xml:space="preserve"> recommend revising 603 CMR 28.04 to explicitly </w:t>
            </w:r>
            <w:r w:rsidRPr="19FBA3FD">
              <w:rPr>
                <w:rFonts w:ascii="Arial" w:eastAsia="Aptos" w:hAnsi="Arial" w:cs="Arial"/>
                <w:b/>
                <w:bCs/>
              </w:rPr>
              <w:t>include the language in the Act requiring</w:t>
            </w:r>
            <w:r w:rsidRPr="0008625F">
              <w:rPr>
                <w:rFonts w:ascii="Arial" w:eastAsia="Aptos" w:hAnsi="Arial" w:cs="Arial"/>
                <w:b/>
                <w:bCs/>
              </w:rPr>
              <w:t xml:space="preserve"> districts to consider English language proficiency</w:t>
            </w:r>
            <w:r w:rsidRPr="008D6724">
              <w:rPr>
                <w:rFonts w:ascii="Arial" w:eastAsia="Aptos" w:hAnsi="Arial" w:cs="Arial"/>
              </w:rPr>
              <w:t xml:space="preserve"> during special education evaluations for multilingual learners, including conducting assessments in the student’s primary language and using appropriately trained evaluators, to improve compliance, support accurate identification practices, and reduce inappropriate overidentification in special education.</w:t>
            </w:r>
          </w:p>
        </w:tc>
        <w:tc>
          <w:tcPr>
            <w:tcW w:w="5280" w:type="dxa"/>
          </w:tcPr>
          <w:p w14:paraId="4776BE35" w14:textId="77777777" w:rsidR="008D5537" w:rsidRPr="003A383B" w:rsidDel="001413DB" w:rsidRDefault="008D5537" w:rsidP="0028380E">
            <w:pPr>
              <w:autoSpaceDE w:val="0"/>
              <w:autoSpaceDN w:val="0"/>
              <w:adjustRightInd w:val="0"/>
              <w:rPr>
                <w:rFonts w:ascii="Arial" w:hAnsi="Arial" w:cs="Arial"/>
              </w:rPr>
            </w:pPr>
            <w:r w:rsidRPr="0E0D80C5">
              <w:rPr>
                <w:rFonts w:ascii="Arial" w:hAnsi="Arial" w:cs="Arial"/>
              </w:rPr>
              <w:t>The Department proposes adding to existing 603 CMR 28.04(2) the exact language in the Protect Education Equity Act: “when conducting an evaluation for a student who is an English learner as defined in section 2 of chapter 71A, school districts shall consider the English language proficiency of the student. Assessments and other evaluation materials used to evaluate said student shall be provided and administered in the student’s primary language and in the form most likely to yield accurate information on what the student knows and can do academically, developmentally, and functionally.”</w:t>
            </w:r>
          </w:p>
          <w:p w14:paraId="316BE061" w14:textId="77777777" w:rsidR="008D5537" w:rsidRPr="00C469A6" w:rsidRDefault="008D5537" w:rsidP="0028380E">
            <w:pPr>
              <w:autoSpaceDE w:val="0"/>
              <w:autoSpaceDN w:val="0"/>
              <w:adjustRightInd w:val="0"/>
              <w:rPr>
                <w:rFonts w:ascii="Arial" w:hAnsi="Arial" w:cs="Arial"/>
              </w:rPr>
            </w:pPr>
          </w:p>
        </w:tc>
      </w:tr>
      <w:tr w:rsidR="008D5537" w:rsidRPr="00C469A6" w14:paraId="6DD69741" w14:textId="77777777" w:rsidTr="0028380E">
        <w:trPr>
          <w:trHeight w:val="300"/>
        </w:trPr>
        <w:tc>
          <w:tcPr>
            <w:tcW w:w="9120" w:type="dxa"/>
          </w:tcPr>
          <w:p w14:paraId="6427EF8C" w14:textId="076B1AFE" w:rsidR="008D5537" w:rsidRPr="19FBA3FD" w:rsidRDefault="008D5537" w:rsidP="008D5537">
            <w:pPr>
              <w:rPr>
                <w:rFonts w:ascii="Arial" w:eastAsia="Aptos" w:hAnsi="Arial" w:cs="Arial"/>
                <w:b/>
                <w:bCs/>
              </w:rPr>
            </w:pPr>
            <w:r w:rsidRPr="0008625F">
              <w:rPr>
                <w:rFonts w:ascii="Arial" w:eastAsia="Aptos" w:hAnsi="Arial" w:cs="Arial"/>
                <w:b/>
                <w:bCs/>
              </w:rPr>
              <w:t xml:space="preserve">Some </w:t>
            </w:r>
            <w:r w:rsidRPr="19FBA3FD">
              <w:rPr>
                <w:rFonts w:ascii="Arial" w:eastAsia="Aptos" w:hAnsi="Arial" w:cs="Arial"/>
                <w:b/>
                <w:bCs/>
              </w:rPr>
              <w:t>commenters</w:t>
            </w:r>
            <w:r w:rsidRPr="0008625F">
              <w:rPr>
                <w:rFonts w:ascii="Arial" w:eastAsia="Aptos" w:hAnsi="Arial" w:cs="Arial"/>
                <w:b/>
                <w:bCs/>
              </w:rPr>
              <w:t xml:space="preserve"> emphasized that evaluations, eligibility determinations, and IEP development</w:t>
            </w:r>
            <w:r w:rsidRPr="00BA041D">
              <w:rPr>
                <w:rFonts w:ascii="Arial" w:eastAsia="Aptos" w:hAnsi="Arial" w:cs="Arial"/>
              </w:rPr>
              <w:t xml:space="preserve"> must meaningfully consider students’ English language proficiency and language acquisition need</w:t>
            </w:r>
            <w:r w:rsidRPr="19FBA3FD">
              <w:rPr>
                <w:rFonts w:ascii="Arial" w:eastAsia="Aptos" w:hAnsi="Arial" w:cs="Arial"/>
              </w:rPr>
              <w:t xml:space="preserve"> and include th</w:t>
            </w:r>
            <w:r>
              <w:rPr>
                <w:rFonts w:ascii="Arial" w:eastAsia="Aptos" w:hAnsi="Arial" w:cs="Arial"/>
              </w:rPr>
              <w:t>e language services</w:t>
            </w:r>
            <w:r w:rsidRPr="19FBA3FD">
              <w:rPr>
                <w:rFonts w:ascii="Arial" w:eastAsia="Aptos" w:hAnsi="Arial" w:cs="Arial"/>
              </w:rPr>
              <w:t xml:space="preserve"> in the IEP document. </w:t>
            </w:r>
          </w:p>
        </w:tc>
        <w:tc>
          <w:tcPr>
            <w:tcW w:w="5280" w:type="dxa"/>
          </w:tcPr>
          <w:p w14:paraId="6B1DB5DC" w14:textId="32F73021" w:rsidR="008D5537" w:rsidRPr="0E0D80C5" w:rsidRDefault="008D5537" w:rsidP="008D5537">
            <w:pPr>
              <w:autoSpaceDE w:val="0"/>
              <w:autoSpaceDN w:val="0"/>
              <w:adjustRightInd w:val="0"/>
              <w:rPr>
                <w:rFonts w:ascii="Arial" w:hAnsi="Arial" w:cs="Arial"/>
              </w:rPr>
            </w:pPr>
            <w:r>
              <w:rPr>
                <w:rFonts w:ascii="Arial" w:hAnsi="Arial" w:cs="Arial"/>
              </w:rPr>
              <w:t>No change. The IEP Team is required by both state and federal law to consider the English language proficiency and language needs of an eligible student during the IEP process. Additionally, the participation requirement added by the Protect Education Equity Act ensures those needs are specifically represented at the Team meeting.</w:t>
            </w:r>
          </w:p>
        </w:tc>
      </w:tr>
    </w:tbl>
    <w:p w14:paraId="20EE20F6" w14:textId="5E136977" w:rsidR="00E57079" w:rsidRDefault="00E57079">
      <w:pPr>
        <w:rPr>
          <w:rFonts w:ascii="Arial" w:eastAsia="Aptos" w:hAnsi="Arial" w:cs="Arial"/>
          <w:b/>
          <w:bCs/>
        </w:rPr>
      </w:pPr>
    </w:p>
    <w:p w14:paraId="491F5AE1" w14:textId="77777777" w:rsidR="008D5537" w:rsidRDefault="008D5537" w:rsidP="00E57079">
      <w:pPr>
        <w:pStyle w:val="Heading3"/>
      </w:pPr>
      <w:r>
        <w:t>603 CMR 28.11 Clearer Definitions: Change of Placement</w:t>
      </w:r>
      <w:r w:rsidRPr="19FBA3FD">
        <w:t>, Dangerous Weapon and Serious Bodily Injury</w:t>
      </w:r>
    </w:p>
    <w:tbl>
      <w:tblPr>
        <w:tblStyle w:val="TableGrid"/>
        <w:tblW w:w="14400" w:type="dxa"/>
        <w:tblInd w:w="-5" w:type="dxa"/>
        <w:tblLook w:val="06A0" w:firstRow="1" w:lastRow="0" w:firstColumn="1" w:lastColumn="0" w:noHBand="1" w:noVBand="1"/>
      </w:tblPr>
      <w:tblGrid>
        <w:gridCol w:w="9120"/>
        <w:gridCol w:w="5280"/>
      </w:tblGrid>
      <w:tr w:rsidR="008D5537" w:rsidRPr="00C469A6" w14:paraId="13D911B3"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DDB51A" w14:textId="77777777" w:rsidR="008D5537" w:rsidRPr="00C469A6" w:rsidRDefault="008D5537"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7991BF" w14:textId="77777777" w:rsidR="008D5537" w:rsidRPr="00C469A6" w:rsidRDefault="008D5537" w:rsidP="0028380E">
            <w:pPr>
              <w:rPr>
                <w:rFonts w:ascii="Arial" w:eastAsia="Aptos" w:hAnsi="Arial" w:cs="Arial"/>
                <w:b/>
                <w:bCs/>
              </w:rPr>
            </w:pPr>
            <w:r w:rsidRPr="00C469A6">
              <w:rPr>
                <w:rFonts w:ascii="Arial" w:eastAsia="Aptos" w:hAnsi="Arial" w:cs="Arial"/>
                <w:b/>
                <w:bCs/>
              </w:rPr>
              <w:t>Department’s Response</w:t>
            </w:r>
          </w:p>
        </w:tc>
      </w:tr>
      <w:tr w:rsidR="008D5537" w:rsidRPr="00047F36" w14:paraId="5E9BAA2A" w14:textId="77777777" w:rsidTr="0028380E">
        <w:trPr>
          <w:trHeight w:val="1511"/>
        </w:trPr>
        <w:tc>
          <w:tcPr>
            <w:tcW w:w="9120" w:type="dxa"/>
          </w:tcPr>
          <w:p w14:paraId="6F1756F1" w14:textId="77777777" w:rsidR="008D5537" w:rsidRDefault="008D5537" w:rsidP="0028380E">
            <w:pPr>
              <w:rPr>
                <w:rFonts w:ascii="Arial" w:eastAsia="Aptos" w:hAnsi="Arial" w:cs="Arial"/>
              </w:rPr>
            </w:pPr>
            <w:r>
              <w:rPr>
                <w:rFonts w:ascii="Arial" w:eastAsia="Aptos" w:hAnsi="Arial" w:cs="Arial"/>
              </w:rPr>
              <w:t>Most c</w:t>
            </w:r>
            <w:r w:rsidRPr="00091220">
              <w:rPr>
                <w:rFonts w:ascii="Arial" w:eastAsia="Aptos" w:hAnsi="Arial" w:cs="Arial"/>
              </w:rPr>
              <w:t>ommenters emphasized the need for</w:t>
            </w:r>
            <w:r w:rsidRPr="0028659E">
              <w:rPr>
                <w:rFonts w:ascii="Arial" w:eastAsia="Aptos" w:hAnsi="Arial" w:cs="Arial"/>
                <w:b/>
                <w:bCs/>
              </w:rPr>
              <w:t xml:space="preserve"> clearer definitions,</w:t>
            </w:r>
            <w:r w:rsidRPr="00091220">
              <w:rPr>
                <w:rFonts w:ascii="Arial" w:eastAsia="Aptos" w:hAnsi="Arial" w:cs="Arial"/>
              </w:rPr>
              <w:t xml:space="preserve"> </w:t>
            </w:r>
            <w:r>
              <w:rPr>
                <w:rFonts w:ascii="Arial" w:eastAsia="Aptos" w:hAnsi="Arial" w:cs="Arial"/>
              </w:rPr>
              <w:t xml:space="preserve">particularly related to </w:t>
            </w:r>
            <w:r w:rsidRPr="00B11CEA">
              <w:rPr>
                <w:rFonts w:ascii="Arial" w:eastAsia="Aptos" w:hAnsi="Arial" w:cs="Arial"/>
                <w:b/>
                <w:bCs/>
              </w:rPr>
              <w:t>change of placement or remova</w:t>
            </w:r>
            <w:r w:rsidRPr="19FBA3FD">
              <w:rPr>
                <w:rFonts w:ascii="Arial" w:eastAsia="Aptos" w:hAnsi="Arial" w:cs="Arial"/>
                <w:b/>
                <w:bCs/>
              </w:rPr>
              <w:t>l, controlled substances, serious bodily injury, an</w:t>
            </w:r>
            <w:r>
              <w:rPr>
                <w:rFonts w:ascii="Arial" w:eastAsia="Aptos" w:hAnsi="Arial" w:cs="Arial"/>
                <w:b/>
                <w:bCs/>
              </w:rPr>
              <w:t>d</w:t>
            </w:r>
            <w:r w:rsidRPr="19FBA3FD">
              <w:rPr>
                <w:rFonts w:ascii="Arial" w:eastAsia="Aptos" w:hAnsi="Arial" w:cs="Arial"/>
                <w:b/>
                <w:bCs/>
              </w:rPr>
              <w:t xml:space="preserve"> </w:t>
            </w:r>
            <w:r>
              <w:rPr>
                <w:rFonts w:ascii="Arial" w:eastAsia="Aptos" w:hAnsi="Arial" w:cs="Arial"/>
                <w:b/>
                <w:bCs/>
              </w:rPr>
              <w:t xml:space="preserve">a </w:t>
            </w:r>
            <w:r w:rsidRPr="19FBA3FD">
              <w:rPr>
                <w:rFonts w:ascii="Arial" w:eastAsia="Aptos" w:hAnsi="Arial" w:cs="Arial"/>
                <w:b/>
                <w:bCs/>
              </w:rPr>
              <w:t>dangerous weapon.</w:t>
            </w:r>
          </w:p>
          <w:p w14:paraId="6D6F5455" w14:textId="77777777" w:rsidR="008D5537" w:rsidRDefault="008D5537" w:rsidP="0028380E">
            <w:pPr>
              <w:rPr>
                <w:rFonts w:ascii="Arial" w:eastAsia="Aptos" w:hAnsi="Arial" w:cs="Arial"/>
              </w:rPr>
            </w:pPr>
          </w:p>
        </w:tc>
        <w:tc>
          <w:tcPr>
            <w:tcW w:w="5280" w:type="dxa"/>
          </w:tcPr>
          <w:p w14:paraId="63033996" w14:textId="77777777" w:rsidR="008D5537" w:rsidRDefault="008D5537" w:rsidP="0028380E">
            <w:pPr>
              <w:shd w:val="clear" w:color="auto" w:fill="FFFFFF" w:themeFill="background1"/>
              <w:spacing w:afterAutospacing="1"/>
              <w:rPr>
                <w:rFonts w:asciiTheme="minorBidi" w:hAnsiTheme="minorBidi"/>
              </w:rPr>
            </w:pPr>
            <w:r w:rsidRPr="001D66B2">
              <w:rPr>
                <w:rStyle w:val="cf01"/>
                <w:rFonts w:asciiTheme="minorBidi" w:hAnsiTheme="minorBidi" w:cstheme="minorBidi"/>
                <w:sz w:val="22"/>
                <w:szCs w:val="22"/>
              </w:rPr>
              <w:t xml:space="preserve">The Department proposes </w:t>
            </w:r>
            <w:r w:rsidRPr="001D66B2">
              <w:rPr>
                <w:rFonts w:asciiTheme="minorBidi" w:hAnsiTheme="minorBidi"/>
              </w:rPr>
              <w:t xml:space="preserve">streamlining the definition of "change in placement" in 603 CMR 28.11(7) to instances where: "a removal is for more than 10 consecutive school days; or "the student has been subjected to removals totaling more than 10 cumulative school days over the course of a school year” as explicitly </w:t>
            </w:r>
            <w:r w:rsidRPr="001D66B2">
              <w:rPr>
                <w:rFonts w:asciiTheme="minorBidi" w:hAnsiTheme="minorBidi"/>
              </w:rPr>
              <w:lastRenderedPageBreak/>
              <w:t>prescribed in the IDEA statute.</w:t>
            </w:r>
            <w:r>
              <w:rPr>
                <w:rFonts w:asciiTheme="minorBidi" w:hAnsiTheme="minorBidi"/>
              </w:rPr>
              <w:t xml:space="preserve"> This would provide better alignment with state discipline law. To provide for consistent application of this updated definition, the Department proposes striking 603 CMR 28.11(d)(3).</w:t>
            </w:r>
          </w:p>
          <w:p w14:paraId="0DC52150" w14:textId="77777777" w:rsidR="008D5537" w:rsidRPr="00047F36" w:rsidRDefault="008D5537" w:rsidP="0028380E">
            <w:pPr>
              <w:shd w:val="clear" w:color="auto" w:fill="FFFFFF" w:themeFill="background1"/>
              <w:spacing w:afterAutospacing="1"/>
              <w:rPr>
                <w:rStyle w:val="cf01"/>
                <w:rFonts w:asciiTheme="minorBidi" w:hAnsiTheme="minorBidi" w:cstheme="minorBidi"/>
                <w:sz w:val="22"/>
                <w:szCs w:val="22"/>
              </w:rPr>
            </w:pPr>
            <w:r>
              <w:rPr>
                <w:rFonts w:asciiTheme="minorBidi" w:hAnsiTheme="minorBidi"/>
              </w:rPr>
              <w:t>The Department proposes amending the subsection to fully align with the IDEA regulatory language, including adding definitions for “controlled substance,” “illegal drug,” “serious bodily injury,” and “weapon.”</w:t>
            </w:r>
          </w:p>
        </w:tc>
      </w:tr>
    </w:tbl>
    <w:p w14:paraId="0C0806FF" w14:textId="77777777" w:rsidR="008D5537" w:rsidRDefault="008D5537" w:rsidP="008D5537">
      <w:pPr>
        <w:rPr>
          <w:rFonts w:ascii="Arial" w:eastAsia="Aptos" w:hAnsi="Arial" w:cs="Arial"/>
          <w:b/>
          <w:bCs/>
        </w:rPr>
      </w:pPr>
    </w:p>
    <w:p w14:paraId="2E01C9DC" w14:textId="2B035DAB" w:rsidR="00E57079" w:rsidRDefault="00E57079" w:rsidP="00E57079">
      <w:pPr>
        <w:pStyle w:val="Heading3"/>
      </w:pPr>
      <w:r>
        <w:t>603 CMR 28.11 (h) Notification Requirements</w:t>
      </w:r>
    </w:p>
    <w:tbl>
      <w:tblPr>
        <w:tblStyle w:val="TableGrid"/>
        <w:tblW w:w="14400" w:type="dxa"/>
        <w:tblInd w:w="-5" w:type="dxa"/>
        <w:tblLook w:val="06A0" w:firstRow="1" w:lastRow="0" w:firstColumn="1" w:lastColumn="0" w:noHBand="1" w:noVBand="1"/>
      </w:tblPr>
      <w:tblGrid>
        <w:gridCol w:w="9120"/>
        <w:gridCol w:w="5280"/>
      </w:tblGrid>
      <w:tr w:rsidR="00E57079" w:rsidRPr="00C469A6" w14:paraId="675F35D7"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EFCC32"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95283"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65D6EFBB" w14:textId="77777777" w:rsidTr="0028380E">
        <w:trPr>
          <w:trHeight w:val="300"/>
        </w:trPr>
        <w:tc>
          <w:tcPr>
            <w:tcW w:w="9120" w:type="dxa"/>
          </w:tcPr>
          <w:p w14:paraId="2C1C42C1" w14:textId="77777777" w:rsidR="00E57079" w:rsidRPr="00BC5B50" w:rsidRDefault="00E57079" w:rsidP="0028380E">
            <w:pPr>
              <w:rPr>
                <w:rFonts w:ascii="Arial" w:eastAsia="Aptos" w:hAnsi="Arial" w:cs="Arial"/>
              </w:rPr>
            </w:pPr>
            <w:r>
              <w:rPr>
                <w:rFonts w:ascii="Arial" w:eastAsia="Aptos" w:hAnsi="Arial" w:cs="Arial"/>
                <w:b/>
                <w:bCs/>
              </w:rPr>
              <w:t>C</w:t>
            </w:r>
            <w:r w:rsidRPr="000C34F9">
              <w:rPr>
                <w:rFonts w:ascii="Arial" w:eastAsia="Aptos" w:hAnsi="Arial" w:cs="Arial"/>
                <w:b/>
                <w:bCs/>
              </w:rPr>
              <w:t xml:space="preserve">ommenters </w:t>
            </w:r>
            <w:r>
              <w:rPr>
                <w:rFonts w:ascii="Arial" w:eastAsia="Aptos" w:hAnsi="Arial" w:cs="Arial"/>
              </w:rPr>
              <w:t>suggested that DESE amend the notice language from the IDEA regulatory language to the broader federal statutory language and include explicit language in the regulation regarding the required contents of the</w:t>
            </w:r>
            <w:r w:rsidRPr="00D2135D">
              <w:rPr>
                <w:rFonts w:ascii="Arial" w:eastAsia="Aptos" w:hAnsi="Arial" w:cs="Arial"/>
              </w:rPr>
              <w:t xml:space="preserve"> </w:t>
            </w:r>
            <w:r>
              <w:rPr>
                <w:rFonts w:ascii="Arial" w:eastAsia="Aptos" w:hAnsi="Arial" w:cs="Arial"/>
              </w:rPr>
              <w:t>notice.</w:t>
            </w:r>
          </w:p>
        </w:tc>
        <w:tc>
          <w:tcPr>
            <w:tcW w:w="5280" w:type="dxa"/>
          </w:tcPr>
          <w:p w14:paraId="5339A760"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 xml:space="preserve">The Department proposes amending the notice language to reflect the statutory language, which requires notice for all disciplinary actions permitted by the section and require that all notices comply with state law requirements. </w:t>
            </w:r>
          </w:p>
        </w:tc>
      </w:tr>
    </w:tbl>
    <w:p w14:paraId="61F74B30" w14:textId="29C1F32B" w:rsidR="00E57079" w:rsidRDefault="00E57079">
      <w:pPr>
        <w:rPr>
          <w:rFonts w:ascii="Arial" w:eastAsia="Aptos" w:hAnsi="Arial" w:cs="Arial"/>
          <w:b/>
          <w:bCs/>
        </w:rPr>
      </w:pPr>
    </w:p>
    <w:p w14:paraId="4660E721" w14:textId="6A733CFB" w:rsidR="00E57079" w:rsidRDefault="00E57079" w:rsidP="00E57079">
      <w:pPr>
        <w:pStyle w:val="Heading3"/>
      </w:pPr>
      <w:r>
        <w:t>603 CMR 28.11 (3) Timelines</w:t>
      </w:r>
    </w:p>
    <w:tbl>
      <w:tblPr>
        <w:tblStyle w:val="TableGrid"/>
        <w:tblW w:w="14400" w:type="dxa"/>
        <w:tblInd w:w="-5" w:type="dxa"/>
        <w:tblLook w:val="06A0" w:firstRow="1" w:lastRow="0" w:firstColumn="1" w:lastColumn="0" w:noHBand="1" w:noVBand="1"/>
      </w:tblPr>
      <w:tblGrid>
        <w:gridCol w:w="9120"/>
        <w:gridCol w:w="5280"/>
      </w:tblGrid>
      <w:tr w:rsidR="00E57079" w:rsidRPr="00C469A6" w14:paraId="23814BAC"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ED4D74"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14BAF"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16BD7A7B" w14:textId="77777777" w:rsidTr="0028380E">
        <w:trPr>
          <w:trHeight w:val="300"/>
        </w:trPr>
        <w:tc>
          <w:tcPr>
            <w:tcW w:w="9120" w:type="dxa"/>
          </w:tcPr>
          <w:p w14:paraId="42C5862D" w14:textId="77777777" w:rsidR="00E57079" w:rsidRDefault="00E57079" w:rsidP="0028380E">
            <w:pPr>
              <w:rPr>
                <w:rFonts w:ascii="Arial" w:eastAsia="Aptos" w:hAnsi="Arial" w:cs="Arial"/>
              </w:rPr>
            </w:pPr>
            <w:r w:rsidRPr="33A577C6">
              <w:rPr>
                <w:rFonts w:ascii="Arial" w:eastAsia="Aptos" w:hAnsi="Arial" w:cs="Arial"/>
                <w:b/>
                <w:bCs/>
              </w:rPr>
              <w:t>Commenters suggested including the federal expedited hearing timelines within the regulation itself</w:t>
            </w:r>
            <w:r w:rsidRPr="33A577C6">
              <w:rPr>
                <w:rFonts w:ascii="Arial" w:eastAsia="Aptos" w:hAnsi="Arial" w:cs="Arial"/>
              </w:rPr>
              <w:t>, rather than relying solely on BSEA Hearing Rules.</w:t>
            </w:r>
          </w:p>
        </w:tc>
        <w:tc>
          <w:tcPr>
            <w:tcW w:w="5280" w:type="dxa"/>
          </w:tcPr>
          <w:p w14:paraId="2EB9534D"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 xml:space="preserve">No change. The proposed regulations reflect federal regulatory language and accommodate the federal provision that permits a State to </w:t>
            </w:r>
            <w:r w:rsidRPr="00AB59AA">
              <w:rPr>
                <w:rFonts w:ascii="Arial" w:hAnsi="Arial" w:cs="Arial"/>
              </w:rPr>
              <w:t>establish different State-imposed procedural rules for expedited due process hearings</w:t>
            </w:r>
            <w:r>
              <w:rPr>
                <w:rFonts w:ascii="Arial" w:hAnsi="Arial" w:cs="Arial"/>
              </w:rPr>
              <w:t xml:space="preserve"> so long as they apply with federally imposed timelines. Therefore, the BSEA Hearing Rules will reflect both the federal timelines for an expedited hearing and any additional state procedural rules.</w:t>
            </w:r>
          </w:p>
        </w:tc>
      </w:tr>
      <w:tr w:rsidR="00E57079" w14:paraId="36C72589" w14:textId="77777777" w:rsidTr="0028380E">
        <w:trPr>
          <w:trHeight w:val="300"/>
        </w:trPr>
        <w:tc>
          <w:tcPr>
            <w:tcW w:w="9120" w:type="dxa"/>
          </w:tcPr>
          <w:p w14:paraId="7E107B6D" w14:textId="77777777" w:rsidR="00E57079" w:rsidRPr="00E750CE" w:rsidRDefault="00E57079" w:rsidP="0028380E">
            <w:pPr>
              <w:rPr>
                <w:rFonts w:ascii="Arial" w:eastAsia="Aptos" w:hAnsi="Arial" w:cs="Arial"/>
              </w:rPr>
            </w:pPr>
            <w:r>
              <w:rPr>
                <w:rFonts w:ascii="Arial" w:eastAsia="Aptos" w:hAnsi="Arial" w:cs="Arial"/>
                <w:b/>
                <w:bCs/>
              </w:rPr>
              <w:lastRenderedPageBreak/>
              <w:t>Commenters suggested clarifying the use of the appeals process by districts</w:t>
            </w:r>
            <w:r>
              <w:rPr>
                <w:rFonts w:ascii="Arial" w:eastAsia="Aptos" w:hAnsi="Arial" w:cs="Arial"/>
              </w:rPr>
              <w:t xml:space="preserve"> in 603 CMR 28.11(3)(b)(3) to prevent a reading that would allow districts to continue to file appeals if they do not agree with the initial ruling.</w:t>
            </w:r>
          </w:p>
        </w:tc>
        <w:tc>
          <w:tcPr>
            <w:tcW w:w="5280" w:type="dxa"/>
          </w:tcPr>
          <w:p w14:paraId="595BEE05" w14:textId="77777777" w:rsidR="00E57079"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 xml:space="preserve">The Department proposes inserting language from the Federal Register on regarding the intended purpose of the regulation to clarify that this provision can be used only after an order has been issued removing the student to an interim alternative educational placement if the district believes returning the student to the original placement is substantially likely to result in injury to the student or others. </w:t>
            </w:r>
          </w:p>
        </w:tc>
      </w:tr>
    </w:tbl>
    <w:p w14:paraId="35854127" w14:textId="77777777" w:rsidR="00E57079" w:rsidRDefault="00E57079" w:rsidP="008D5537">
      <w:pPr>
        <w:rPr>
          <w:rFonts w:ascii="Arial" w:eastAsia="Aptos" w:hAnsi="Arial" w:cs="Arial"/>
          <w:b/>
          <w:bCs/>
        </w:rPr>
      </w:pPr>
    </w:p>
    <w:p w14:paraId="4FA7DE4E" w14:textId="77777777" w:rsidR="00E57079" w:rsidRPr="004B79EF" w:rsidRDefault="00E57079" w:rsidP="00E57079">
      <w:pPr>
        <w:pStyle w:val="Heading3"/>
      </w:pPr>
      <w:r w:rsidRPr="004B79EF">
        <w:t>603 CMR 28.11 Reporting Requirements</w:t>
      </w:r>
    </w:p>
    <w:tbl>
      <w:tblPr>
        <w:tblStyle w:val="TableGrid"/>
        <w:tblW w:w="14400" w:type="dxa"/>
        <w:tblInd w:w="-5" w:type="dxa"/>
        <w:tblLook w:val="06A0" w:firstRow="1" w:lastRow="0" w:firstColumn="1" w:lastColumn="0" w:noHBand="1" w:noVBand="1"/>
      </w:tblPr>
      <w:tblGrid>
        <w:gridCol w:w="9120"/>
        <w:gridCol w:w="5280"/>
      </w:tblGrid>
      <w:tr w:rsidR="00E57079" w:rsidRPr="00C469A6" w14:paraId="20771341"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A9ADAA"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780C28"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7533F9" w14:paraId="198B9141" w14:textId="77777777" w:rsidTr="0028380E">
        <w:trPr>
          <w:trHeight w:val="300"/>
        </w:trPr>
        <w:tc>
          <w:tcPr>
            <w:tcW w:w="9120" w:type="dxa"/>
          </w:tcPr>
          <w:p w14:paraId="49647029" w14:textId="77777777" w:rsidR="00E57079" w:rsidRDefault="00E57079" w:rsidP="0028380E">
            <w:pPr>
              <w:rPr>
                <w:rFonts w:ascii="Arial" w:eastAsia="Aptos" w:hAnsi="Arial" w:cs="Arial"/>
              </w:rPr>
            </w:pPr>
            <w:r w:rsidRPr="000C34F9">
              <w:rPr>
                <w:rFonts w:ascii="Arial" w:eastAsia="Aptos" w:hAnsi="Arial" w:cs="Arial"/>
                <w:b/>
                <w:bCs/>
              </w:rPr>
              <w:t xml:space="preserve">Commenters recommend </w:t>
            </w:r>
            <w:r w:rsidRPr="004B14E5">
              <w:rPr>
                <w:rFonts w:ascii="Arial" w:eastAsia="Aptos" w:hAnsi="Arial" w:cs="Arial"/>
                <w:b/>
                <w:bCs/>
              </w:rPr>
              <w:t>adding explicit reporting requirements for LEA</w:t>
            </w:r>
            <w:r w:rsidRPr="00642B07">
              <w:rPr>
                <w:rFonts w:ascii="Arial" w:eastAsia="Aptos" w:hAnsi="Arial" w:cs="Arial"/>
              </w:rPr>
              <w:t>s related to Manifestation Determination Reviews (MDRs)</w:t>
            </w:r>
            <w:r>
              <w:rPr>
                <w:rFonts w:ascii="Arial" w:eastAsia="Aptos" w:hAnsi="Arial" w:cs="Arial"/>
              </w:rPr>
              <w:t>.</w:t>
            </w:r>
            <w:r w:rsidRPr="004B14E5">
              <w:rPr>
                <w:rFonts w:ascii="Arial" w:eastAsia="Aptos" w:hAnsi="Arial" w:cs="Arial"/>
                <w:b/>
                <w:bCs/>
              </w:rPr>
              <w:t xml:space="preserve"> </w:t>
            </w:r>
          </w:p>
        </w:tc>
        <w:tc>
          <w:tcPr>
            <w:tcW w:w="5280" w:type="dxa"/>
          </w:tcPr>
          <w:p w14:paraId="2D2FB04F" w14:textId="77777777" w:rsidR="00E57079" w:rsidRPr="007533F9" w:rsidRDefault="00E57079" w:rsidP="0028380E">
            <w:pPr>
              <w:shd w:val="clear" w:color="auto" w:fill="FFFFFF" w:themeFill="background1"/>
              <w:spacing w:afterAutospacing="1"/>
              <w:rPr>
                <w:rStyle w:val="cf01"/>
                <w:rFonts w:asciiTheme="minorBidi" w:hAnsiTheme="minorBidi" w:cstheme="minorBidi"/>
                <w:sz w:val="22"/>
                <w:szCs w:val="22"/>
              </w:rPr>
            </w:pPr>
            <w:r w:rsidRPr="007533F9">
              <w:rPr>
                <w:rStyle w:val="cf01"/>
                <w:rFonts w:asciiTheme="minorBidi" w:hAnsiTheme="minorBidi" w:cstheme="minorBidi"/>
                <w:sz w:val="22"/>
                <w:szCs w:val="22"/>
              </w:rPr>
              <w:t>No change.</w:t>
            </w:r>
            <w:r>
              <w:rPr>
                <w:rStyle w:val="cf01"/>
                <w:rFonts w:asciiTheme="minorBidi" w:hAnsiTheme="minorBidi" w:cstheme="minorBidi"/>
                <w:sz w:val="22"/>
                <w:szCs w:val="22"/>
              </w:rPr>
              <w:t xml:space="preserve"> T</w:t>
            </w:r>
            <w:r w:rsidRPr="00576A8C">
              <w:rPr>
                <w:rFonts w:asciiTheme="minorBidi" w:hAnsiTheme="minorBidi"/>
              </w:rPr>
              <w:t xml:space="preserve">he suggested changes exceed the scope of the IDEA provision for which the Protect Education </w:t>
            </w:r>
            <w:r>
              <w:rPr>
                <w:rFonts w:asciiTheme="minorBidi" w:hAnsiTheme="minorBidi"/>
              </w:rPr>
              <w:t xml:space="preserve">Equity </w:t>
            </w:r>
            <w:r w:rsidRPr="00576A8C">
              <w:rPr>
                <w:rFonts w:asciiTheme="minorBidi" w:hAnsiTheme="minorBidi"/>
              </w:rPr>
              <w:t>Act required the Department to promulgate regulations.</w:t>
            </w:r>
          </w:p>
        </w:tc>
      </w:tr>
    </w:tbl>
    <w:p w14:paraId="0C1BE65D" w14:textId="4A55FEED" w:rsidR="00E57079" w:rsidRDefault="00E57079" w:rsidP="008D5537">
      <w:pPr>
        <w:rPr>
          <w:rFonts w:ascii="Arial" w:eastAsia="Aptos" w:hAnsi="Arial" w:cs="Arial"/>
          <w:b/>
          <w:bCs/>
        </w:rPr>
      </w:pPr>
    </w:p>
    <w:p w14:paraId="619DFA82" w14:textId="77777777" w:rsidR="00E57079" w:rsidRPr="0075268F" w:rsidRDefault="00E57079" w:rsidP="00E57079">
      <w:pPr>
        <w:pStyle w:val="Heading3"/>
      </w:pPr>
      <w:r>
        <w:t>603 CMR 28.11(5) Students Not Determined Eligible</w:t>
      </w:r>
    </w:p>
    <w:tbl>
      <w:tblPr>
        <w:tblStyle w:val="TableGrid"/>
        <w:tblW w:w="14400" w:type="dxa"/>
        <w:tblInd w:w="-5" w:type="dxa"/>
        <w:tblLook w:val="06A0" w:firstRow="1" w:lastRow="0" w:firstColumn="1" w:lastColumn="0" w:noHBand="1" w:noVBand="1"/>
      </w:tblPr>
      <w:tblGrid>
        <w:gridCol w:w="9120"/>
        <w:gridCol w:w="5280"/>
      </w:tblGrid>
      <w:tr w:rsidR="00E57079" w:rsidRPr="00C469A6" w14:paraId="7361C455"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1595C7"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1FA74B"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7533F9" w14:paraId="27ED6108" w14:textId="77777777" w:rsidTr="0028380E">
        <w:trPr>
          <w:trHeight w:val="300"/>
        </w:trPr>
        <w:tc>
          <w:tcPr>
            <w:tcW w:w="9120" w:type="dxa"/>
          </w:tcPr>
          <w:p w14:paraId="4CD3D9BA" w14:textId="459109D9" w:rsidR="00E57079" w:rsidRPr="00861D7B" w:rsidRDefault="00E57079" w:rsidP="00E57079">
            <w:pPr>
              <w:rPr>
                <w:rFonts w:ascii="Arial" w:eastAsia="Aptos" w:hAnsi="Arial" w:cs="Arial"/>
              </w:rPr>
            </w:pPr>
            <w:r>
              <w:rPr>
                <w:rFonts w:ascii="Arial" w:eastAsia="Aptos" w:hAnsi="Arial" w:cs="Arial"/>
                <w:b/>
                <w:bCs/>
              </w:rPr>
              <w:t>Commenters recommended extending MDRs to students not yet determined eligible</w:t>
            </w:r>
            <w:r>
              <w:rPr>
                <w:rFonts w:ascii="Arial" w:eastAsia="Aptos" w:hAnsi="Arial" w:cs="Arial"/>
              </w:rPr>
              <w:t xml:space="preserve"> if they are later determined to be eligible</w:t>
            </w:r>
          </w:p>
        </w:tc>
        <w:tc>
          <w:tcPr>
            <w:tcW w:w="5280" w:type="dxa"/>
          </w:tcPr>
          <w:p w14:paraId="7654A290" w14:textId="201ACF29" w:rsidR="00E57079" w:rsidRPr="007533F9" w:rsidRDefault="00E57079" w:rsidP="00E57079">
            <w:pPr>
              <w:shd w:val="clear" w:color="auto" w:fill="FFFFFF" w:themeFill="background1"/>
              <w:spacing w:afterAutospacing="1"/>
              <w:rPr>
                <w:rStyle w:val="cf01"/>
                <w:rFonts w:asciiTheme="minorBidi" w:hAnsiTheme="minorBidi" w:cstheme="minorBidi"/>
                <w:sz w:val="22"/>
                <w:szCs w:val="22"/>
              </w:rPr>
            </w:pPr>
            <w:r w:rsidRPr="00FF745C">
              <w:rPr>
                <w:rStyle w:val="cf01"/>
                <w:rFonts w:asciiTheme="minorBidi" w:hAnsiTheme="minorBidi" w:cstheme="minorBidi"/>
                <w:sz w:val="22"/>
                <w:szCs w:val="22"/>
              </w:rPr>
              <w:t>No change. The suggested changes exceed the scope of the IDEA provision for which the Protect Education Equity Act required the Department to promulgate regulations</w:t>
            </w:r>
            <w:r>
              <w:rPr>
                <w:rStyle w:val="cf01"/>
                <w:rFonts w:asciiTheme="minorBidi" w:hAnsiTheme="minorBidi" w:cstheme="minorBidi"/>
                <w:sz w:val="22"/>
                <w:szCs w:val="22"/>
              </w:rPr>
              <w:t>.</w:t>
            </w:r>
          </w:p>
        </w:tc>
      </w:tr>
      <w:tr w:rsidR="00E57079" w:rsidRPr="007533F9" w14:paraId="6635C40A" w14:textId="77777777" w:rsidTr="0028380E">
        <w:trPr>
          <w:trHeight w:val="300"/>
        </w:trPr>
        <w:tc>
          <w:tcPr>
            <w:tcW w:w="9120" w:type="dxa"/>
          </w:tcPr>
          <w:p w14:paraId="64D7221E" w14:textId="692BA26B" w:rsidR="00E57079" w:rsidRDefault="00E57079" w:rsidP="00E57079">
            <w:pPr>
              <w:rPr>
                <w:rFonts w:ascii="Arial" w:eastAsia="Aptos" w:hAnsi="Arial" w:cs="Arial"/>
                <w:b/>
                <w:bCs/>
              </w:rPr>
            </w:pPr>
            <w:r>
              <w:rPr>
                <w:rFonts w:ascii="Arial" w:eastAsia="Aptos" w:hAnsi="Arial" w:cs="Arial"/>
                <w:b/>
                <w:bCs/>
              </w:rPr>
              <w:t>Commenters recommended aligning the language in the paragraph (b) to better reflect state practices</w:t>
            </w:r>
            <w:r>
              <w:rPr>
                <w:rFonts w:ascii="Arial" w:eastAsia="Aptos" w:hAnsi="Arial" w:cs="Arial"/>
              </w:rPr>
              <w:t xml:space="preserve"> by including citations to the state regulations on assessments and changing “supervisory personnel” to “school and district administrators.”</w:t>
            </w:r>
          </w:p>
        </w:tc>
        <w:tc>
          <w:tcPr>
            <w:tcW w:w="5280" w:type="dxa"/>
          </w:tcPr>
          <w:p w14:paraId="2C44CB3E" w14:textId="4A02C70D" w:rsidR="00E57079" w:rsidRPr="00FF745C" w:rsidRDefault="00E57079" w:rsidP="00E57079">
            <w:pPr>
              <w:shd w:val="clear" w:color="auto" w:fill="FFFFFF" w:themeFill="background1"/>
              <w:spacing w:afterAutospacing="1"/>
              <w:rPr>
                <w:rStyle w:val="cf01"/>
                <w:rFonts w:asciiTheme="minorBidi" w:hAnsiTheme="minorBidi" w:cstheme="minorBidi"/>
                <w:sz w:val="22"/>
                <w:szCs w:val="22"/>
              </w:rPr>
            </w:pPr>
            <w:r>
              <w:rPr>
                <w:rStyle w:val="cf01"/>
                <w:rFonts w:asciiTheme="minorBidi" w:hAnsiTheme="minorBidi" w:cstheme="minorBidi"/>
                <w:sz w:val="22"/>
                <w:szCs w:val="22"/>
              </w:rPr>
              <w:t>The Department proposes adding citations to 603 CMR 28.04 to instances where the federal regulations regarding evaluations are cited and to change “supervisory personnel” to “school and district administrators.”</w:t>
            </w:r>
          </w:p>
        </w:tc>
      </w:tr>
    </w:tbl>
    <w:p w14:paraId="33C83909" w14:textId="718CF7D7" w:rsidR="0090702A" w:rsidRDefault="0090702A" w:rsidP="008D5537">
      <w:pPr>
        <w:rPr>
          <w:rFonts w:ascii="Arial" w:eastAsia="Aptos" w:hAnsi="Arial" w:cs="Arial"/>
          <w:b/>
          <w:bCs/>
        </w:rPr>
      </w:pPr>
    </w:p>
    <w:p w14:paraId="480CDE1A" w14:textId="77777777" w:rsidR="0090702A" w:rsidRDefault="0090702A">
      <w:pPr>
        <w:rPr>
          <w:rFonts w:ascii="Arial" w:eastAsia="Aptos" w:hAnsi="Arial" w:cs="Arial"/>
          <w:b/>
          <w:bCs/>
        </w:rPr>
      </w:pPr>
      <w:r>
        <w:rPr>
          <w:rFonts w:ascii="Arial" w:eastAsia="Aptos" w:hAnsi="Arial" w:cs="Arial"/>
          <w:b/>
          <w:bCs/>
        </w:rPr>
        <w:br w:type="page"/>
      </w:r>
    </w:p>
    <w:p w14:paraId="134EB794" w14:textId="430C2AAF" w:rsidR="00E57079" w:rsidRDefault="00E57079" w:rsidP="00E57079">
      <w:pPr>
        <w:pStyle w:val="Heading3"/>
      </w:pPr>
      <w:r w:rsidRPr="00B63C7C">
        <w:lastRenderedPageBreak/>
        <w:t>603 CMR 28.</w:t>
      </w:r>
      <w:r w:rsidRPr="00611F66">
        <w:t>11(6)(b)(2)</w:t>
      </w:r>
    </w:p>
    <w:tbl>
      <w:tblPr>
        <w:tblStyle w:val="TableGrid"/>
        <w:tblW w:w="14400" w:type="dxa"/>
        <w:tblInd w:w="-5" w:type="dxa"/>
        <w:tblLook w:val="06A0" w:firstRow="1" w:lastRow="0" w:firstColumn="1" w:lastColumn="0" w:noHBand="1" w:noVBand="1"/>
      </w:tblPr>
      <w:tblGrid>
        <w:gridCol w:w="9120"/>
        <w:gridCol w:w="5280"/>
      </w:tblGrid>
      <w:tr w:rsidR="00E57079" w:rsidRPr="00C469A6" w14:paraId="2EDE5256"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9568F3"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E7F63E"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30D53052" w14:textId="77777777" w:rsidTr="0028380E">
        <w:trPr>
          <w:trHeight w:val="300"/>
        </w:trPr>
        <w:tc>
          <w:tcPr>
            <w:tcW w:w="9120" w:type="dxa"/>
          </w:tcPr>
          <w:p w14:paraId="03D4E41A" w14:textId="77777777" w:rsidR="00E57079" w:rsidRDefault="00E57079" w:rsidP="0028380E">
            <w:pPr>
              <w:rPr>
                <w:rFonts w:ascii="Arial" w:eastAsia="Aptos" w:hAnsi="Arial" w:cs="Arial"/>
              </w:rPr>
            </w:pPr>
            <w:r w:rsidRPr="19FBA3FD">
              <w:rPr>
                <w:rFonts w:ascii="Arial" w:eastAsia="Aptos" w:hAnsi="Arial" w:cs="Arial"/>
              </w:rPr>
              <w:t xml:space="preserve">Commenters suggested adding explicit references to Massachusetts </w:t>
            </w:r>
            <w:r w:rsidRPr="00D757CA">
              <w:rPr>
                <w:rFonts w:ascii="Arial" w:eastAsia="Aptos" w:hAnsi="Arial" w:cs="Arial"/>
                <w:b/>
                <w:bCs/>
              </w:rPr>
              <w:t xml:space="preserve">student privacy protections </w:t>
            </w:r>
            <w:r w:rsidRPr="19FBA3FD">
              <w:rPr>
                <w:rFonts w:ascii="Arial" w:eastAsia="Aptos" w:hAnsi="Arial" w:cs="Arial"/>
                <w:b/>
                <w:bCs/>
              </w:rPr>
              <w:t xml:space="preserve">and records law in addition to federal law </w:t>
            </w:r>
            <w:r w:rsidRPr="00D757CA">
              <w:rPr>
                <w:rFonts w:ascii="Arial" w:eastAsia="Aptos" w:hAnsi="Arial" w:cs="Arial"/>
                <w:b/>
                <w:bCs/>
              </w:rPr>
              <w:t>when records are shared with law enforcement</w:t>
            </w:r>
            <w:r w:rsidRPr="19FBA3FD">
              <w:rPr>
                <w:rFonts w:ascii="Arial" w:eastAsia="Aptos" w:hAnsi="Arial" w:cs="Arial"/>
                <w:b/>
                <w:bCs/>
              </w:rPr>
              <w:t>.</w:t>
            </w:r>
          </w:p>
        </w:tc>
        <w:tc>
          <w:tcPr>
            <w:tcW w:w="5280" w:type="dxa"/>
          </w:tcPr>
          <w:p w14:paraId="193F6A14"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The Department proposes including M.G.L. c. 71, § 37L, regarding the transfer of student records to law enforcement, to ensure student privacy when records are shared with law enforcement.</w:t>
            </w:r>
          </w:p>
        </w:tc>
      </w:tr>
    </w:tbl>
    <w:p w14:paraId="3AF1B235" w14:textId="77777777" w:rsidR="00E57079" w:rsidRDefault="00E57079" w:rsidP="008D5537">
      <w:pPr>
        <w:rPr>
          <w:rFonts w:asciiTheme="minorBidi" w:eastAsia="Aptos" w:hAnsiTheme="minorBidi"/>
          <w:b/>
        </w:rPr>
      </w:pPr>
    </w:p>
    <w:p w14:paraId="0B28EB56" w14:textId="6C0E0DF2" w:rsidR="00E57079" w:rsidRDefault="00E57079" w:rsidP="00E57079">
      <w:pPr>
        <w:pStyle w:val="Heading3"/>
      </w:pPr>
      <w:r w:rsidRPr="00195294">
        <w:t>603 CMR 28.1</w:t>
      </w:r>
      <w:r>
        <w:t xml:space="preserve">1 FAPE &amp; </w:t>
      </w:r>
      <w:r w:rsidRPr="00576A8C">
        <w:t xml:space="preserve">Educational </w:t>
      </w:r>
      <w:r w:rsidRPr="00195294">
        <w:t>Services During Removal</w:t>
      </w:r>
    </w:p>
    <w:tbl>
      <w:tblPr>
        <w:tblStyle w:val="TableGrid"/>
        <w:tblW w:w="14400" w:type="dxa"/>
        <w:tblInd w:w="-5" w:type="dxa"/>
        <w:tblLook w:val="06A0" w:firstRow="1" w:lastRow="0" w:firstColumn="1" w:lastColumn="0" w:noHBand="1" w:noVBand="1"/>
      </w:tblPr>
      <w:tblGrid>
        <w:gridCol w:w="9120"/>
        <w:gridCol w:w="5280"/>
      </w:tblGrid>
      <w:tr w:rsidR="00E57079" w:rsidRPr="00C469A6" w14:paraId="46E1CA6A"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0FB980"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4C5EE9"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0A50D704" w14:textId="77777777" w:rsidTr="0028380E">
        <w:trPr>
          <w:trHeight w:val="300"/>
        </w:trPr>
        <w:tc>
          <w:tcPr>
            <w:tcW w:w="9120" w:type="dxa"/>
          </w:tcPr>
          <w:p w14:paraId="3B258C70" w14:textId="77777777" w:rsidR="00E57079" w:rsidRDefault="00E57079" w:rsidP="0028380E">
            <w:pPr>
              <w:rPr>
                <w:rFonts w:ascii="Arial" w:eastAsia="Aptos" w:hAnsi="Arial" w:cs="Arial"/>
              </w:rPr>
            </w:pPr>
            <w:r w:rsidRPr="000C34F9">
              <w:rPr>
                <w:rFonts w:ascii="Arial" w:eastAsia="Aptos" w:hAnsi="Arial" w:cs="Arial"/>
                <w:b/>
                <w:bCs/>
              </w:rPr>
              <w:t>Most commenters emphasized that students with disabilities remain entitled to FAPE during disciplinary removals and exclusions</w:t>
            </w:r>
            <w:r w:rsidRPr="00CB6ADA">
              <w:rPr>
                <w:rFonts w:ascii="Arial" w:eastAsia="Aptos" w:hAnsi="Arial" w:cs="Arial"/>
              </w:rPr>
              <w:t>, including continuity of educational services, access to curriculum, progress toward IEP goals, maintenance of accommodations and supports, and restoration of services before additional discipline occurs</w:t>
            </w:r>
            <w:r>
              <w:rPr>
                <w:rFonts w:ascii="Arial" w:eastAsia="Aptos" w:hAnsi="Arial" w:cs="Arial"/>
              </w:rPr>
              <w:t>.</w:t>
            </w:r>
          </w:p>
          <w:p w14:paraId="2A896C19" w14:textId="77777777" w:rsidR="00E57079" w:rsidRDefault="00E57079" w:rsidP="0028380E">
            <w:pPr>
              <w:rPr>
                <w:rFonts w:ascii="Arial" w:eastAsia="Aptos" w:hAnsi="Arial" w:cs="Arial"/>
              </w:rPr>
            </w:pPr>
          </w:p>
          <w:p w14:paraId="7504B287" w14:textId="77777777" w:rsidR="00E57079" w:rsidRPr="00F65A61" w:rsidRDefault="00E57079" w:rsidP="0028380E">
            <w:pPr>
              <w:rPr>
                <w:rFonts w:ascii="Arial" w:eastAsia="Aptos" w:hAnsi="Arial" w:cs="Arial"/>
              </w:rPr>
            </w:pPr>
          </w:p>
        </w:tc>
        <w:tc>
          <w:tcPr>
            <w:tcW w:w="5280" w:type="dxa"/>
          </w:tcPr>
          <w:p w14:paraId="5041CEC4" w14:textId="77777777" w:rsidR="00E57079"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No change. The proposed regulations already provide for the continuation of educational services, including the provision of FAPE, during disciplinary removals consistent with state and federal law.</w:t>
            </w:r>
          </w:p>
          <w:p w14:paraId="07A61A6F"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The additional requested changes exceed the scope of the IDEA provision for which the Protect Education Equity Act required the Department to promulgate regulations.</w:t>
            </w:r>
          </w:p>
        </w:tc>
      </w:tr>
    </w:tbl>
    <w:p w14:paraId="27C8696A" w14:textId="102901A3" w:rsidR="00E57079" w:rsidRDefault="00E57079">
      <w:pPr>
        <w:rPr>
          <w:rFonts w:ascii="Arial" w:eastAsia="Aptos" w:hAnsi="Arial" w:cs="Arial"/>
          <w:b/>
          <w:bCs/>
        </w:rPr>
      </w:pPr>
    </w:p>
    <w:p w14:paraId="0F629DE5" w14:textId="7D487259" w:rsidR="00E57079" w:rsidRDefault="00E57079" w:rsidP="00E57079">
      <w:pPr>
        <w:pStyle w:val="Heading3"/>
      </w:pPr>
      <w:r w:rsidRPr="00CA335E">
        <w:t>603 CMR 28.11 Reduce Reliance on Exclusionary Discipline</w:t>
      </w:r>
    </w:p>
    <w:tbl>
      <w:tblPr>
        <w:tblStyle w:val="TableGrid"/>
        <w:tblW w:w="14400" w:type="dxa"/>
        <w:tblInd w:w="-5" w:type="dxa"/>
        <w:tblLook w:val="06A0" w:firstRow="1" w:lastRow="0" w:firstColumn="1" w:lastColumn="0" w:noHBand="1" w:noVBand="1"/>
      </w:tblPr>
      <w:tblGrid>
        <w:gridCol w:w="9120"/>
        <w:gridCol w:w="5280"/>
      </w:tblGrid>
      <w:tr w:rsidR="00E57079" w:rsidRPr="00C469A6" w14:paraId="10C76D88"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856E4F"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E5CBC7"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799A2381" w14:textId="77777777" w:rsidTr="0028380E">
        <w:trPr>
          <w:trHeight w:val="300"/>
        </w:trPr>
        <w:tc>
          <w:tcPr>
            <w:tcW w:w="9120" w:type="dxa"/>
          </w:tcPr>
          <w:p w14:paraId="08985F44" w14:textId="77777777" w:rsidR="00E57079" w:rsidRPr="00F65A61" w:rsidRDefault="00E57079" w:rsidP="0028380E">
            <w:pPr>
              <w:rPr>
                <w:rFonts w:ascii="Arial" w:eastAsia="Aptos" w:hAnsi="Arial" w:cs="Arial"/>
              </w:rPr>
            </w:pPr>
            <w:r w:rsidRPr="000C34F9">
              <w:rPr>
                <w:rFonts w:ascii="Arial" w:eastAsia="Aptos" w:hAnsi="Arial" w:cs="Arial"/>
                <w:b/>
                <w:bCs/>
              </w:rPr>
              <w:t>M</w:t>
            </w:r>
            <w:r>
              <w:rPr>
                <w:rFonts w:ascii="Arial" w:eastAsia="Aptos" w:hAnsi="Arial" w:cs="Arial"/>
                <w:b/>
                <w:bCs/>
              </w:rPr>
              <w:t xml:space="preserve">any </w:t>
            </w:r>
            <w:r w:rsidRPr="000C34F9">
              <w:rPr>
                <w:rFonts w:ascii="Arial" w:eastAsia="Aptos" w:hAnsi="Arial" w:cs="Arial"/>
                <w:b/>
                <w:bCs/>
              </w:rPr>
              <w:t>commenters supported reducing reliance on exclusionary discipline</w:t>
            </w:r>
            <w:r w:rsidRPr="00AE1788">
              <w:rPr>
                <w:rFonts w:ascii="Arial" w:eastAsia="Aptos" w:hAnsi="Arial" w:cs="Arial"/>
              </w:rPr>
              <w:t xml:space="preserve"> through stronger behavioral supports, non-exclusionary interventions, F</w:t>
            </w:r>
            <w:r>
              <w:rPr>
                <w:rFonts w:ascii="Arial" w:eastAsia="Aptos" w:hAnsi="Arial" w:cs="Arial"/>
              </w:rPr>
              <w:t xml:space="preserve">unctional </w:t>
            </w:r>
            <w:r w:rsidRPr="00AE1788">
              <w:rPr>
                <w:rFonts w:ascii="Arial" w:eastAsia="Aptos" w:hAnsi="Arial" w:cs="Arial"/>
              </w:rPr>
              <w:t>B</w:t>
            </w:r>
            <w:r>
              <w:rPr>
                <w:rFonts w:ascii="Arial" w:eastAsia="Aptos" w:hAnsi="Arial" w:cs="Arial"/>
              </w:rPr>
              <w:t>ehavior Assessments (FBA</w:t>
            </w:r>
            <w:r w:rsidRPr="00AE1788">
              <w:rPr>
                <w:rFonts w:ascii="Arial" w:eastAsia="Aptos" w:hAnsi="Arial" w:cs="Arial"/>
              </w:rPr>
              <w:t>s</w:t>
            </w:r>
            <w:r>
              <w:rPr>
                <w:rFonts w:ascii="Arial" w:eastAsia="Aptos" w:hAnsi="Arial" w:cs="Arial"/>
              </w:rPr>
              <w:t>)</w:t>
            </w:r>
            <w:r w:rsidRPr="00AE1788">
              <w:rPr>
                <w:rFonts w:ascii="Arial" w:eastAsia="Aptos" w:hAnsi="Arial" w:cs="Arial"/>
              </w:rPr>
              <w:t>, B</w:t>
            </w:r>
            <w:r>
              <w:rPr>
                <w:rFonts w:ascii="Arial" w:eastAsia="Aptos" w:hAnsi="Arial" w:cs="Arial"/>
              </w:rPr>
              <w:t xml:space="preserve">ehavioral Intervention </w:t>
            </w:r>
            <w:r w:rsidRPr="00AE1788">
              <w:rPr>
                <w:rFonts w:ascii="Arial" w:eastAsia="Aptos" w:hAnsi="Arial" w:cs="Arial"/>
              </w:rPr>
              <w:t>P</w:t>
            </w:r>
            <w:r>
              <w:rPr>
                <w:rFonts w:ascii="Arial" w:eastAsia="Aptos" w:hAnsi="Arial" w:cs="Arial"/>
              </w:rPr>
              <w:t>lans (BIPs)</w:t>
            </w:r>
            <w:r w:rsidRPr="00AE1788">
              <w:rPr>
                <w:rFonts w:ascii="Arial" w:eastAsia="Aptos" w:hAnsi="Arial" w:cs="Arial"/>
              </w:rPr>
              <w:t>, trauma-informed practices, and improved implementation standards for behavioral supports</w:t>
            </w:r>
            <w:r>
              <w:rPr>
                <w:rFonts w:ascii="Arial" w:eastAsia="Aptos" w:hAnsi="Arial" w:cs="Arial"/>
              </w:rPr>
              <w:t xml:space="preserve">. </w:t>
            </w:r>
          </w:p>
        </w:tc>
        <w:tc>
          <w:tcPr>
            <w:tcW w:w="5280" w:type="dxa"/>
          </w:tcPr>
          <w:p w14:paraId="588B787C"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sidRPr="007533F9">
              <w:rPr>
                <w:rStyle w:val="cf01"/>
                <w:rFonts w:asciiTheme="minorBidi" w:hAnsiTheme="minorBidi" w:cstheme="minorBidi"/>
                <w:sz w:val="22"/>
                <w:szCs w:val="22"/>
              </w:rPr>
              <w:t>No change.</w:t>
            </w:r>
            <w:r>
              <w:rPr>
                <w:rStyle w:val="cf01"/>
                <w:rFonts w:asciiTheme="minorBidi" w:hAnsiTheme="minorBidi" w:cstheme="minorBidi"/>
                <w:sz w:val="22"/>
                <w:szCs w:val="22"/>
              </w:rPr>
              <w:t xml:space="preserve"> T</w:t>
            </w:r>
            <w:r w:rsidRPr="00324815">
              <w:rPr>
                <w:rFonts w:asciiTheme="minorBidi" w:hAnsiTheme="minorBidi"/>
              </w:rPr>
              <w:t xml:space="preserve">he suggested changes exceed the scope of the IDEA provision for which the Protect Education </w:t>
            </w:r>
            <w:r>
              <w:rPr>
                <w:rFonts w:asciiTheme="minorBidi" w:hAnsiTheme="minorBidi"/>
              </w:rPr>
              <w:t xml:space="preserve">Equity </w:t>
            </w:r>
            <w:r w:rsidRPr="00324815">
              <w:rPr>
                <w:rFonts w:asciiTheme="minorBidi" w:hAnsiTheme="minorBidi"/>
              </w:rPr>
              <w:t>Act required the Department to promulgate regulations.</w:t>
            </w:r>
          </w:p>
        </w:tc>
      </w:tr>
    </w:tbl>
    <w:p w14:paraId="5452048D" w14:textId="77777777" w:rsidR="00E57079" w:rsidRDefault="00E57079" w:rsidP="008D5537">
      <w:pPr>
        <w:rPr>
          <w:rFonts w:ascii="Arial" w:eastAsia="Aptos" w:hAnsi="Arial" w:cs="Arial"/>
          <w:b/>
          <w:bCs/>
        </w:rPr>
      </w:pPr>
    </w:p>
    <w:p w14:paraId="26488E57" w14:textId="59BAA1FA" w:rsidR="00E57079" w:rsidRDefault="00E57079" w:rsidP="00E57079">
      <w:pPr>
        <w:pStyle w:val="Heading3"/>
      </w:pPr>
      <w:r w:rsidRPr="00781983">
        <w:t>603 CMR 28.11 Corrective Actions</w:t>
      </w:r>
    </w:p>
    <w:tbl>
      <w:tblPr>
        <w:tblStyle w:val="TableGrid"/>
        <w:tblW w:w="14400" w:type="dxa"/>
        <w:tblInd w:w="-5" w:type="dxa"/>
        <w:tblLook w:val="06A0" w:firstRow="1" w:lastRow="0" w:firstColumn="1" w:lastColumn="0" w:noHBand="1" w:noVBand="1"/>
      </w:tblPr>
      <w:tblGrid>
        <w:gridCol w:w="9120"/>
        <w:gridCol w:w="5280"/>
      </w:tblGrid>
      <w:tr w:rsidR="00E57079" w:rsidRPr="00C469A6" w14:paraId="2129681B" w14:textId="77777777" w:rsidTr="0028380E">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5E8C" w14:textId="77777777" w:rsidR="00E57079" w:rsidRPr="00C469A6" w:rsidRDefault="00E57079" w:rsidP="0028380E">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D9DE13" w14:textId="77777777" w:rsidR="00E57079" w:rsidRPr="00C469A6" w:rsidRDefault="00E57079" w:rsidP="0028380E">
            <w:pPr>
              <w:rPr>
                <w:rFonts w:ascii="Arial" w:eastAsia="Aptos" w:hAnsi="Arial" w:cs="Arial"/>
                <w:b/>
                <w:bCs/>
              </w:rPr>
            </w:pPr>
            <w:r w:rsidRPr="00C469A6">
              <w:rPr>
                <w:rFonts w:ascii="Arial" w:eastAsia="Aptos" w:hAnsi="Arial" w:cs="Arial"/>
                <w:b/>
                <w:bCs/>
              </w:rPr>
              <w:t>Department’s Response</w:t>
            </w:r>
          </w:p>
        </w:tc>
      </w:tr>
      <w:tr w:rsidR="00E57079" w:rsidRPr="00C469A6" w14:paraId="134AF28B" w14:textId="77777777" w:rsidTr="0028380E">
        <w:trPr>
          <w:trHeight w:val="300"/>
        </w:trPr>
        <w:tc>
          <w:tcPr>
            <w:tcW w:w="9120" w:type="dxa"/>
          </w:tcPr>
          <w:p w14:paraId="6B56AA75" w14:textId="77777777" w:rsidR="00E57079" w:rsidRPr="00003DA1" w:rsidRDefault="00E57079" w:rsidP="0028380E">
            <w:pPr>
              <w:rPr>
                <w:rFonts w:ascii="Arial" w:eastAsia="Aptos" w:hAnsi="Arial" w:cs="Arial"/>
              </w:rPr>
            </w:pPr>
            <w:r w:rsidRPr="00C40E59">
              <w:rPr>
                <w:rFonts w:ascii="Arial" w:eastAsia="Aptos" w:hAnsi="Arial" w:cs="Arial"/>
                <w:b/>
                <w:bCs/>
              </w:rPr>
              <w:t>Many commenters supported stronger corrective actions and remedies when districts fail to implement IEPs, deny FAPE, or impose inappropriate discipline,</w:t>
            </w:r>
            <w:r w:rsidRPr="00701594">
              <w:rPr>
                <w:rFonts w:ascii="Arial" w:eastAsia="Aptos" w:hAnsi="Arial" w:cs="Arial"/>
              </w:rPr>
              <w:t xml:space="preserve"> including compensatory services, retroactive review of discipline records, and limitations on future discipline based on disability-related conduct</w:t>
            </w:r>
            <w:r>
              <w:rPr>
                <w:rFonts w:ascii="Arial" w:eastAsia="Aptos" w:hAnsi="Arial" w:cs="Arial"/>
              </w:rPr>
              <w:t xml:space="preserve">. </w:t>
            </w:r>
          </w:p>
        </w:tc>
        <w:tc>
          <w:tcPr>
            <w:tcW w:w="5280" w:type="dxa"/>
          </w:tcPr>
          <w:p w14:paraId="76D638B8"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sidRPr="007533F9">
              <w:rPr>
                <w:rStyle w:val="cf01"/>
                <w:rFonts w:asciiTheme="minorBidi" w:hAnsiTheme="minorBidi" w:cstheme="minorBidi"/>
                <w:sz w:val="22"/>
                <w:szCs w:val="22"/>
              </w:rPr>
              <w:t>No change.</w:t>
            </w:r>
            <w:r>
              <w:rPr>
                <w:rStyle w:val="cf01"/>
                <w:rFonts w:asciiTheme="minorBidi" w:hAnsiTheme="minorBidi" w:cstheme="minorBidi"/>
                <w:sz w:val="22"/>
                <w:szCs w:val="22"/>
              </w:rPr>
              <w:t xml:space="preserve"> T</w:t>
            </w:r>
            <w:r w:rsidRPr="00324815">
              <w:rPr>
                <w:rFonts w:asciiTheme="minorBidi" w:hAnsiTheme="minorBidi"/>
              </w:rPr>
              <w:t xml:space="preserve">he suggested changes exceed the scope of the IDEA provision for which the Protect Education </w:t>
            </w:r>
            <w:r>
              <w:rPr>
                <w:rFonts w:asciiTheme="minorBidi" w:hAnsiTheme="minorBidi"/>
              </w:rPr>
              <w:t xml:space="preserve">Equity </w:t>
            </w:r>
            <w:r w:rsidRPr="00324815">
              <w:rPr>
                <w:rFonts w:asciiTheme="minorBidi" w:hAnsiTheme="minorBidi"/>
              </w:rPr>
              <w:t>Act required the Department to promulgate regulations.</w:t>
            </w:r>
          </w:p>
        </w:tc>
      </w:tr>
      <w:tr w:rsidR="00E57079" w:rsidRPr="00C469A6" w14:paraId="413EF101" w14:textId="77777777" w:rsidTr="0028380E">
        <w:trPr>
          <w:trHeight w:val="300"/>
        </w:trPr>
        <w:tc>
          <w:tcPr>
            <w:tcW w:w="9120" w:type="dxa"/>
          </w:tcPr>
          <w:p w14:paraId="3D47702D" w14:textId="77777777" w:rsidR="00E57079" w:rsidRPr="00701594" w:rsidRDefault="00E57079" w:rsidP="0028380E">
            <w:pPr>
              <w:rPr>
                <w:rFonts w:ascii="Arial" w:eastAsia="Aptos" w:hAnsi="Arial" w:cs="Arial"/>
              </w:rPr>
            </w:pPr>
            <w:r w:rsidRPr="00C40E59">
              <w:rPr>
                <w:rFonts w:ascii="Arial" w:eastAsia="Aptos" w:hAnsi="Arial" w:cs="Arial"/>
                <w:b/>
                <w:bCs/>
              </w:rPr>
              <w:lastRenderedPageBreak/>
              <w:t>Many commenters emphasized the need for equitable disciplinary protections,</w:t>
            </w:r>
            <w:r w:rsidRPr="00E57577">
              <w:rPr>
                <w:rFonts w:ascii="Arial" w:eastAsia="Aptos" w:hAnsi="Arial" w:cs="Arial"/>
              </w:rPr>
              <w:t xml:space="preserve"> fair hearings and appeals processes, safeguards against overly broad exclusionary discipline, and prevention of discriminatory outcomes for students with disabilities</w:t>
            </w:r>
            <w:r>
              <w:rPr>
                <w:rFonts w:ascii="Arial" w:eastAsia="Aptos" w:hAnsi="Arial" w:cs="Arial"/>
              </w:rPr>
              <w:t>.</w:t>
            </w:r>
            <w:r w:rsidRPr="00E57577">
              <w:rPr>
                <w:rFonts w:ascii="Arial" w:eastAsia="Aptos" w:hAnsi="Arial" w:cs="Arial"/>
              </w:rPr>
              <w:t xml:space="preserve"> </w:t>
            </w:r>
          </w:p>
        </w:tc>
        <w:tc>
          <w:tcPr>
            <w:tcW w:w="5280" w:type="dxa"/>
          </w:tcPr>
          <w:p w14:paraId="78A7323B" w14:textId="77777777" w:rsidR="00E57079" w:rsidRPr="00C469A6" w:rsidRDefault="00E57079" w:rsidP="0028380E">
            <w:pPr>
              <w:shd w:val="clear" w:color="auto" w:fill="FFFFFF" w:themeFill="background1"/>
              <w:spacing w:afterAutospacing="1"/>
              <w:rPr>
                <w:rStyle w:val="cf01"/>
                <w:rFonts w:ascii="Arial" w:hAnsi="Arial" w:cs="Arial"/>
                <w:sz w:val="22"/>
                <w:szCs w:val="22"/>
              </w:rPr>
            </w:pPr>
            <w:r>
              <w:rPr>
                <w:rStyle w:val="cf01"/>
                <w:rFonts w:ascii="Arial" w:hAnsi="Arial" w:cs="Arial"/>
                <w:sz w:val="22"/>
                <w:szCs w:val="22"/>
              </w:rPr>
              <w:t>No change. The proposed regulations include the appeals process as prescribed by the IDEA. Students with disabilities are also entitled to all procedural protections in state law disciplinary provisions.</w:t>
            </w:r>
          </w:p>
        </w:tc>
      </w:tr>
    </w:tbl>
    <w:p w14:paraId="525BDF6A" w14:textId="77777777" w:rsidR="00E57079" w:rsidRDefault="00E57079" w:rsidP="008D5537">
      <w:pPr>
        <w:rPr>
          <w:rFonts w:ascii="Arial" w:eastAsia="Aptos" w:hAnsi="Arial" w:cs="Arial"/>
          <w:b/>
          <w:bCs/>
        </w:rPr>
      </w:pPr>
    </w:p>
    <w:p w14:paraId="652178A9" w14:textId="501EC60F" w:rsidR="00E57079" w:rsidRDefault="00E57079" w:rsidP="00E57079">
      <w:pPr>
        <w:pStyle w:val="Heading3"/>
        <w:rPr>
          <w:rFonts w:asciiTheme="minorBidi" w:hAnsiTheme="minorBidi"/>
        </w:rPr>
      </w:pPr>
      <w:r w:rsidRPr="00781983">
        <w:t xml:space="preserve">603 CMR 28.11 </w:t>
      </w:r>
      <w:r w:rsidRPr="00047F36">
        <w:rPr>
          <w:rFonts w:asciiTheme="minorBidi" w:hAnsiTheme="minorBidi"/>
        </w:rPr>
        <w:t>Other</w:t>
      </w:r>
    </w:p>
    <w:tbl>
      <w:tblPr>
        <w:tblStyle w:val="TableGrid"/>
        <w:tblW w:w="14400" w:type="dxa"/>
        <w:tblInd w:w="-5" w:type="dxa"/>
        <w:tblLook w:val="06A0" w:firstRow="1" w:lastRow="0" w:firstColumn="1" w:lastColumn="0" w:noHBand="1" w:noVBand="1"/>
      </w:tblPr>
      <w:tblGrid>
        <w:gridCol w:w="9120"/>
        <w:gridCol w:w="5280"/>
      </w:tblGrid>
      <w:tr w:rsidR="5162ECCA" w:rsidRPr="00C469A6" w14:paraId="558D7ACC" w14:textId="77777777" w:rsidTr="008D5537">
        <w:trPr>
          <w:trHeight w:val="300"/>
          <w:tblHeader/>
        </w:trPr>
        <w:tc>
          <w:tcPr>
            <w:tcW w:w="91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6AB662" w14:textId="75C7E52D" w:rsidR="5162ECCA" w:rsidRPr="00C469A6" w:rsidRDefault="76517BE4" w:rsidP="1835491B">
            <w:pPr>
              <w:rPr>
                <w:rFonts w:ascii="Arial" w:eastAsia="Aptos" w:hAnsi="Arial" w:cs="Arial"/>
                <w:b/>
                <w:bCs/>
              </w:rPr>
            </w:pPr>
            <w:r w:rsidRPr="00C469A6">
              <w:rPr>
                <w:rFonts w:ascii="Arial" w:eastAsia="Aptos" w:hAnsi="Arial" w:cs="Arial"/>
                <w:b/>
                <w:bCs/>
              </w:rPr>
              <w:t>Public Comment Received</w:t>
            </w:r>
          </w:p>
        </w:tc>
        <w:tc>
          <w:tcPr>
            <w:tcW w:w="5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3B8F59" w14:textId="66054BB4" w:rsidR="4FF98916" w:rsidRPr="00C469A6" w:rsidRDefault="1B966ECE" w:rsidP="1835491B">
            <w:pPr>
              <w:rPr>
                <w:rFonts w:ascii="Arial" w:eastAsia="Aptos" w:hAnsi="Arial" w:cs="Arial"/>
                <w:b/>
                <w:bCs/>
              </w:rPr>
            </w:pPr>
            <w:r w:rsidRPr="00C469A6">
              <w:rPr>
                <w:rFonts w:ascii="Arial" w:eastAsia="Aptos" w:hAnsi="Arial" w:cs="Arial"/>
                <w:b/>
                <w:bCs/>
              </w:rPr>
              <w:t>Department’s Response</w:t>
            </w:r>
          </w:p>
        </w:tc>
      </w:tr>
      <w:tr w:rsidR="002958BC" w:rsidRPr="00C469A6" w14:paraId="0BD517FD" w14:textId="77777777" w:rsidTr="008D5537">
        <w:trPr>
          <w:trHeight w:val="300"/>
        </w:trPr>
        <w:tc>
          <w:tcPr>
            <w:tcW w:w="9120" w:type="dxa"/>
          </w:tcPr>
          <w:p w14:paraId="3ABB1002" w14:textId="605BF038" w:rsidR="002958BC" w:rsidRPr="00E57577" w:rsidRDefault="002958BC" w:rsidP="002958BC">
            <w:pPr>
              <w:rPr>
                <w:rFonts w:ascii="Arial" w:eastAsia="Aptos" w:hAnsi="Arial" w:cs="Arial"/>
              </w:rPr>
            </w:pPr>
            <w:r w:rsidRPr="00C40E59">
              <w:rPr>
                <w:rFonts w:ascii="Arial" w:eastAsia="Aptos" w:hAnsi="Arial" w:cs="Arial"/>
                <w:b/>
                <w:bCs/>
              </w:rPr>
              <w:t>Some commenters</w:t>
            </w:r>
            <w:r w:rsidR="002814E4" w:rsidRPr="00C40E59">
              <w:rPr>
                <w:rFonts w:ascii="Arial" w:eastAsia="Aptos" w:hAnsi="Arial" w:cs="Arial"/>
                <w:b/>
                <w:bCs/>
              </w:rPr>
              <w:t>, particularly educators,</w:t>
            </w:r>
            <w:r w:rsidRPr="00C40E59">
              <w:rPr>
                <w:rFonts w:ascii="Arial" w:eastAsia="Aptos" w:hAnsi="Arial" w:cs="Arial"/>
                <w:b/>
                <w:bCs/>
              </w:rPr>
              <w:t xml:space="preserve"> raised concerns regarding educator safety, </w:t>
            </w:r>
            <w:r w:rsidRPr="00170E0D">
              <w:rPr>
                <w:rFonts w:ascii="Arial" w:eastAsia="Aptos" w:hAnsi="Arial" w:cs="Arial"/>
              </w:rPr>
              <w:t>classroom trauma exposure, staffing shortages, crisis-response limitations, and the impact of unsafe learning environments on both students and staff</w:t>
            </w:r>
            <w:r>
              <w:rPr>
                <w:rFonts w:ascii="Arial" w:eastAsia="Aptos" w:hAnsi="Arial" w:cs="Arial"/>
              </w:rPr>
              <w:t xml:space="preserve">. </w:t>
            </w:r>
          </w:p>
        </w:tc>
        <w:tc>
          <w:tcPr>
            <w:tcW w:w="5280" w:type="dxa"/>
          </w:tcPr>
          <w:p w14:paraId="35620135" w14:textId="1E5D535D" w:rsidR="002958BC" w:rsidRPr="00C469A6" w:rsidRDefault="00456722" w:rsidP="002958BC">
            <w:pPr>
              <w:shd w:val="clear" w:color="auto" w:fill="FFFFFF" w:themeFill="background1"/>
              <w:spacing w:afterAutospacing="1"/>
              <w:rPr>
                <w:rStyle w:val="cf01"/>
                <w:rFonts w:ascii="Arial" w:hAnsi="Arial" w:cs="Arial"/>
                <w:sz w:val="22"/>
                <w:szCs w:val="22"/>
              </w:rPr>
            </w:pPr>
            <w:r w:rsidRPr="007533F9">
              <w:rPr>
                <w:rStyle w:val="cf01"/>
                <w:rFonts w:asciiTheme="minorBidi" w:hAnsiTheme="minorBidi" w:cstheme="minorBidi"/>
                <w:sz w:val="22"/>
                <w:szCs w:val="22"/>
              </w:rPr>
              <w:t>No change.</w:t>
            </w:r>
            <w:r>
              <w:rPr>
                <w:rStyle w:val="cf01"/>
                <w:rFonts w:asciiTheme="minorBidi" w:hAnsiTheme="minorBidi" w:cstheme="minorBidi"/>
                <w:sz w:val="22"/>
                <w:szCs w:val="22"/>
              </w:rPr>
              <w:t xml:space="preserve"> T</w:t>
            </w:r>
            <w:r w:rsidRPr="00324815">
              <w:rPr>
                <w:rFonts w:asciiTheme="minorBidi" w:hAnsiTheme="minorBidi"/>
              </w:rPr>
              <w:t xml:space="preserve">he suggested changes exceed the scope of the IDEA provision for which the Protect Education </w:t>
            </w:r>
            <w:r>
              <w:rPr>
                <w:rFonts w:asciiTheme="minorBidi" w:hAnsiTheme="minorBidi"/>
              </w:rPr>
              <w:t xml:space="preserve">Equity </w:t>
            </w:r>
            <w:r w:rsidRPr="00324815">
              <w:rPr>
                <w:rFonts w:asciiTheme="minorBidi" w:hAnsiTheme="minorBidi"/>
              </w:rPr>
              <w:t>Act required the Department to promulgate regulations.</w:t>
            </w:r>
          </w:p>
        </w:tc>
      </w:tr>
      <w:tr w:rsidR="002958BC" w:rsidRPr="00C469A6" w14:paraId="79842DD4" w14:textId="77777777" w:rsidTr="008D5537">
        <w:trPr>
          <w:trHeight w:val="300"/>
        </w:trPr>
        <w:tc>
          <w:tcPr>
            <w:tcW w:w="9120" w:type="dxa"/>
          </w:tcPr>
          <w:p w14:paraId="6E729411" w14:textId="20F61274" w:rsidR="002958BC" w:rsidRPr="00170E0D" w:rsidRDefault="002958BC" w:rsidP="002958BC">
            <w:pPr>
              <w:rPr>
                <w:rFonts w:ascii="Arial" w:eastAsia="Aptos" w:hAnsi="Arial" w:cs="Arial"/>
              </w:rPr>
            </w:pPr>
            <w:r w:rsidRPr="00C40E59">
              <w:rPr>
                <w:rFonts w:ascii="Arial" w:eastAsia="Aptos" w:hAnsi="Arial" w:cs="Arial"/>
                <w:b/>
                <w:bCs/>
              </w:rPr>
              <w:t xml:space="preserve">Some commenters supported expanding protections beyond currently identified IDEA-eligible students, </w:t>
            </w:r>
            <w:r w:rsidRPr="00F56B96">
              <w:rPr>
                <w:rFonts w:ascii="Arial" w:eastAsia="Aptos" w:hAnsi="Arial" w:cs="Arial"/>
              </w:rPr>
              <w:t>including students with Section 504 plans and students whose disabilities are identified during disciplinary proceedings</w:t>
            </w:r>
            <w:r>
              <w:rPr>
                <w:rFonts w:ascii="Arial" w:eastAsia="Aptos" w:hAnsi="Arial" w:cs="Arial"/>
              </w:rPr>
              <w:t xml:space="preserve">. </w:t>
            </w:r>
          </w:p>
        </w:tc>
        <w:tc>
          <w:tcPr>
            <w:tcW w:w="5280" w:type="dxa"/>
          </w:tcPr>
          <w:p w14:paraId="3CA74EBB" w14:textId="05CBC50C" w:rsidR="002958BC" w:rsidRPr="00C469A6" w:rsidRDefault="00456722" w:rsidP="002958BC">
            <w:pPr>
              <w:shd w:val="clear" w:color="auto" w:fill="FFFFFF" w:themeFill="background1"/>
              <w:spacing w:afterAutospacing="1"/>
              <w:rPr>
                <w:rStyle w:val="cf01"/>
                <w:rFonts w:ascii="Arial" w:hAnsi="Arial" w:cs="Arial"/>
                <w:sz w:val="22"/>
                <w:szCs w:val="22"/>
              </w:rPr>
            </w:pPr>
            <w:r w:rsidRPr="007533F9">
              <w:rPr>
                <w:rStyle w:val="cf01"/>
                <w:rFonts w:asciiTheme="minorBidi" w:hAnsiTheme="minorBidi" w:cstheme="minorBidi"/>
                <w:sz w:val="22"/>
                <w:szCs w:val="22"/>
              </w:rPr>
              <w:t>No change.</w:t>
            </w:r>
            <w:r>
              <w:rPr>
                <w:rStyle w:val="cf01"/>
                <w:rFonts w:asciiTheme="minorBidi" w:hAnsiTheme="minorBidi" w:cstheme="minorBidi"/>
                <w:sz w:val="22"/>
                <w:szCs w:val="22"/>
              </w:rPr>
              <w:t xml:space="preserve"> T</w:t>
            </w:r>
            <w:r w:rsidRPr="00324815">
              <w:rPr>
                <w:rFonts w:asciiTheme="minorBidi" w:hAnsiTheme="minorBidi"/>
              </w:rPr>
              <w:t xml:space="preserve">he suggested changes exceed the scope of the IDEA provision for which the Protect Education </w:t>
            </w:r>
            <w:r>
              <w:rPr>
                <w:rFonts w:asciiTheme="minorBidi" w:hAnsiTheme="minorBidi"/>
              </w:rPr>
              <w:t xml:space="preserve">Equity </w:t>
            </w:r>
            <w:r w:rsidRPr="00324815">
              <w:rPr>
                <w:rFonts w:asciiTheme="minorBidi" w:hAnsiTheme="minorBidi"/>
              </w:rPr>
              <w:t>Act required the Department to promulgate regulations.</w:t>
            </w:r>
          </w:p>
        </w:tc>
      </w:tr>
      <w:tr w:rsidR="00EB1CFA" w:rsidRPr="00C469A6" w14:paraId="154BCB13" w14:textId="77777777" w:rsidTr="008D5537">
        <w:trPr>
          <w:trHeight w:val="300"/>
        </w:trPr>
        <w:tc>
          <w:tcPr>
            <w:tcW w:w="9120" w:type="dxa"/>
          </w:tcPr>
          <w:p w14:paraId="4F4E9E2F" w14:textId="751681CD" w:rsidR="00EB1CFA" w:rsidRPr="00BB14B7" w:rsidRDefault="00EB1CFA" w:rsidP="002958BC">
            <w:pPr>
              <w:rPr>
                <w:rFonts w:ascii="Arial" w:eastAsia="Aptos" w:hAnsi="Arial" w:cs="Arial"/>
              </w:rPr>
            </w:pPr>
            <w:r>
              <w:rPr>
                <w:rFonts w:ascii="Arial" w:eastAsia="Aptos" w:hAnsi="Arial" w:cs="Arial"/>
                <w:b/>
                <w:bCs/>
              </w:rPr>
              <w:t xml:space="preserve">Some commenters suggested adding </w:t>
            </w:r>
            <w:r w:rsidR="00420C95">
              <w:rPr>
                <w:rFonts w:ascii="Arial" w:eastAsia="Aptos" w:hAnsi="Arial" w:cs="Arial"/>
                <w:b/>
                <w:bCs/>
              </w:rPr>
              <w:t xml:space="preserve">references to </w:t>
            </w:r>
            <w:r w:rsidR="00595677">
              <w:rPr>
                <w:rFonts w:ascii="Arial" w:eastAsia="Aptos" w:hAnsi="Arial" w:cs="Arial"/>
                <w:b/>
                <w:bCs/>
              </w:rPr>
              <w:t>603 CMR 53.00</w:t>
            </w:r>
            <w:r w:rsidR="00BB14B7">
              <w:rPr>
                <w:rFonts w:ascii="Arial" w:eastAsia="Aptos" w:hAnsi="Arial" w:cs="Arial"/>
              </w:rPr>
              <w:t xml:space="preserve"> in addition to the state disciplinary statutes to </w:t>
            </w:r>
            <w:r w:rsidR="00F8704F">
              <w:rPr>
                <w:rFonts w:ascii="Arial" w:eastAsia="Aptos" w:hAnsi="Arial" w:cs="Arial"/>
              </w:rPr>
              <w:t xml:space="preserve">provide for </w:t>
            </w:r>
            <w:r w:rsidR="00A60656">
              <w:rPr>
                <w:rFonts w:ascii="Arial" w:eastAsia="Aptos" w:hAnsi="Arial" w:cs="Arial"/>
              </w:rPr>
              <w:t xml:space="preserve">consistency and clarity in application of </w:t>
            </w:r>
            <w:r w:rsidR="00B9193E">
              <w:rPr>
                <w:rFonts w:ascii="Arial" w:eastAsia="Aptos" w:hAnsi="Arial" w:cs="Arial"/>
              </w:rPr>
              <w:t>laws and regulations for students</w:t>
            </w:r>
            <w:r w:rsidR="00B85754">
              <w:rPr>
                <w:rFonts w:ascii="Arial" w:eastAsia="Aptos" w:hAnsi="Arial" w:cs="Arial"/>
              </w:rPr>
              <w:t xml:space="preserve"> with disabilities.</w:t>
            </w:r>
          </w:p>
        </w:tc>
        <w:tc>
          <w:tcPr>
            <w:tcW w:w="5280" w:type="dxa"/>
          </w:tcPr>
          <w:p w14:paraId="16174201" w14:textId="02332EB7" w:rsidR="00EB1CFA" w:rsidRPr="007533F9" w:rsidRDefault="00B85754" w:rsidP="002958BC">
            <w:pPr>
              <w:shd w:val="clear" w:color="auto" w:fill="FFFFFF" w:themeFill="background1"/>
              <w:spacing w:afterAutospacing="1"/>
              <w:rPr>
                <w:rStyle w:val="cf01"/>
                <w:rFonts w:asciiTheme="minorBidi" w:hAnsiTheme="minorBidi" w:cstheme="minorBidi"/>
                <w:sz w:val="22"/>
                <w:szCs w:val="22"/>
              </w:rPr>
            </w:pPr>
            <w:r>
              <w:rPr>
                <w:rStyle w:val="cf01"/>
                <w:rFonts w:asciiTheme="minorBidi" w:hAnsiTheme="minorBidi" w:cstheme="minorBidi"/>
                <w:sz w:val="22"/>
                <w:szCs w:val="22"/>
              </w:rPr>
              <w:t xml:space="preserve">The Department proposes </w:t>
            </w:r>
            <w:proofErr w:type="gramStart"/>
            <w:r>
              <w:rPr>
                <w:rStyle w:val="cf01"/>
                <w:rFonts w:asciiTheme="minorBidi" w:hAnsiTheme="minorBidi" w:cstheme="minorBidi"/>
                <w:sz w:val="22"/>
                <w:szCs w:val="22"/>
              </w:rPr>
              <w:t>adding in</w:t>
            </w:r>
            <w:proofErr w:type="gramEnd"/>
            <w:r w:rsidR="00DC65FD">
              <w:rPr>
                <w:rStyle w:val="cf01"/>
                <w:rFonts w:asciiTheme="minorBidi" w:hAnsiTheme="minorBidi" w:cstheme="minorBidi"/>
                <w:sz w:val="22"/>
                <w:szCs w:val="22"/>
              </w:rPr>
              <w:t xml:space="preserve"> references to </w:t>
            </w:r>
            <w:r w:rsidR="009C760C">
              <w:rPr>
                <w:rStyle w:val="cf01"/>
                <w:rFonts w:asciiTheme="minorBidi" w:hAnsiTheme="minorBidi" w:cstheme="minorBidi"/>
                <w:sz w:val="22"/>
                <w:szCs w:val="22"/>
              </w:rPr>
              <w:t xml:space="preserve">603 CMR 53.00 and complete statutory references, </w:t>
            </w:r>
            <w:r w:rsidR="003951DD">
              <w:rPr>
                <w:rStyle w:val="cf01"/>
                <w:rFonts w:asciiTheme="minorBidi" w:hAnsiTheme="minorBidi" w:cstheme="minorBidi"/>
                <w:sz w:val="22"/>
                <w:szCs w:val="22"/>
              </w:rPr>
              <w:t xml:space="preserve">where applicable, </w:t>
            </w:r>
            <w:r w:rsidR="00870C4B">
              <w:rPr>
                <w:rStyle w:val="cf01"/>
                <w:rFonts w:asciiTheme="minorBidi" w:hAnsiTheme="minorBidi" w:cstheme="minorBidi"/>
                <w:sz w:val="22"/>
                <w:szCs w:val="22"/>
              </w:rPr>
              <w:t xml:space="preserve">to </w:t>
            </w:r>
            <w:r w:rsidR="006F6B73">
              <w:rPr>
                <w:rStyle w:val="cf01"/>
                <w:rFonts w:asciiTheme="minorBidi" w:hAnsiTheme="minorBidi" w:cstheme="minorBidi"/>
                <w:sz w:val="22"/>
                <w:szCs w:val="22"/>
              </w:rPr>
              <w:t xml:space="preserve">provide for </w:t>
            </w:r>
            <w:r w:rsidR="000627CD">
              <w:rPr>
                <w:rStyle w:val="cf01"/>
                <w:rFonts w:asciiTheme="minorBidi" w:hAnsiTheme="minorBidi" w:cstheme="minorBidi"/>
                <w:sz w:val="22"/>
                <w:szCs w:val="22"/>
              </w:rPr>
              <w:t>clarity and consistency with state law.</w:t>
            </w:r>
          </w:p>
        </w:tc>
      </w:tr>
    </w:tbl>
    <w:p w14:paraId="19E6962D" w14:textId="75D8AC69" w:rsidR="0091125E" w:rsidRPr="00E57079" w:rsidRDefault="0091125E" w:rsidP="00E57079">
      <w:pPr>
        <w:rPr>
          <w:sz w:val="2"/>
          <w:szCs w:val="2"/>
        </w:rPr>
      </w:pPr>
    </w:p>
    <w:sectPr w:rsidR="0091125E" w:rsidRPr="00E57079" w:rsidSect="00BA4689">
      <w:footerReference w:type="default" r:id="rId11"/>
      <w:foot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2B82" w14:textId="77777777" w:rsidR="00886F92" w:rsidRDefault="00886F92" w:rsidP="00EB49D7">
      <w:pPr>
        <w:spacing w:after="0" w:line="240" w:lineRule="auto"/>
      </w:pPr>
      <w:r>
        <w:separator/>
      </w:r>
    </w:p>
  </w:endnote>
  <w:endnote w:type="continuationSeparator" w:id="0">
    <w:p w14:paraId="19F90D4A" w14:textId="77777777" w:rsidR="00886F92" w:rsidRDefault="00886F92" w:rsidP="00EB49D7">
      <w:pPr>
        <w:spacing w:after="0" w:line="240" w:lineRule="auto"/>
      </w:pPr>
      <w:r>
        <w:continuationSeparator/>
      </w:r>
    </w:p>
  </w:endnote>
  <w:endnote w:type="continuationNotice" w:id="1">
    <w:p w14:paraId="7058182B" w14:textId="77777777" w:rsidR="00886F92" w:rsidRDefault="00886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10293"/>
      <w:docPartObj>
        <w:docPartGallery w:val="Page Numbers (Top of Page)"/>
        <w:docPartUnique/>
      </w:docPartObj>
    </w:sdtPr>
    <w:sdtEndPr>
      <w:rPr>
        <w:noProof/>
      </w:rPr>
    </w:sdtEndPr>
    <w:sdtContent>
      <w:sdt>
        <w:sdtPr>
          <w:id w:val="-372468293"/>
          <w:docPartObj>
            <w:docPartGallery w:val="Page Numbers (Bottom of Page)"/>
            <w:docPartUnique/>
          </w:docPartObj>
        </w:sdtPr>
        <w:sdtEndPr>
          <w:rPr>
            <w:noProof/>
          </w:rPr>
        </w:sdtEndPr>
        <w:sdtContent>
          <w:p w14:paraId="0EF475D5" w14:textId="78298D8F" w:rsidR="001E4CC0" w:rsidRPr="00E57079" w:rsidRDefault="0090702A" w:rsidP="0090702A">
            <w:pPr>
              <w:pStyle w:val="Footer"/>
              <w:jc w:val="right"/>
            </w:pPr>
            <w:r w:rsidRPr="0026032B">
              <w:t xml:space="preserve">Page </w:t>
            </w:r>
            <w:r w:rsidRPr="0026032B">
              <w:fldChar w:fldCharType="begin"/>
            </w:r>
            <w:r w:rsidRPr="0026032B">
              <w:instrText xml:space="preserve"> PAGE </w:instrText>
            </w:r>
            <w:r w:rsidRPr="0026032B">
              <w:fldChar w:fldCharType="separate"/>
            </w:r>
            <w:r>
              <w:t>3</w:t>
            </w:r>
            <w:r w:rsidRPr="0026032B">
              <w:fldChar w:fldCharType="end"/>
            </w:r>
            <w:r w:rsidRPr="0026032B">
              <w:t xml:space="preserve"> of </w:t>
            </w:r>
            <w:r>
              <w:fldChar w:fldCharType="begin"/>
            </w:r>
            <w:r>
              <w:instrText>NUMPAGES</w:instrText>
            </w:r>
            <w:r>
              <w:fldChar w:fldCharType="separate"/>
            </w:r>
            <w:r>
              <w:t>6</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142359"/>
      <w:docPartObj>
        <w:docPartGallery w:val="Page Numbers (Bottom of Page)"/>
        <w:docPartUnique/>
      </w:docPartObj>
    </w:sdtPr>
    <w:sdtContent>
      <w:sdt>
        <w:sdtPr>
          <w:id w:val="-1705238520"/>
          <w:docPartObj>
            <w:docPartGallery w:val="Page Numbers (Top of Page)"/>
            <w:docPartUnique/>
          </w:docPartObj>
        </w:sdtPr>
        <w:sdtContent>
          <w:p w14:paraId="52883BE2" w14:textId="12D5A4EC" w:rsidR="001E4CC0" w:rsidRPr="00E57079" w:rsidRDefault="00E57079" w:rsidP="0090702A">
            <w:pPr>
              <w:pStyle w:val="Footer"/>
              <w:jc w:val="right"/>
            </w:pPr>
            <w:r>
              <w:tab/>
            </w:r>
            <w:r>
              <w:tab/>
            </w:r>
            <w:sdt>
              <w:sdtPr>
                <w:id w:val="-191220197"/>
                <w:docPartObj>
                  <w:docPartGallery w:val="Page Numbers (Bottom of Page)"/>
                  <w:docPartUnique/>
                </w:docPartObj>
              </w:sdtPr>
              <w:sdtEndPr>
                <w:rPr>
                  <w:noProof/>
                </w:rPr>
              </w:sdtEndPr>
              <w:sdtContent>
                <w:sdt>
                  <w:sdtPr>
                    <w:id w:val="183798748"/>
                    <w:docPartObj>
                      <w:docPartGallery w:val="Page Numbers (Top of Page)"/>
                      <w:docPartUnique/>
                    </w:docPartObj>
                  </w:sdtPr>
                  <w:sdtContent>
                    <w:r w:rsidR="0090702A" w:rsidRPr="0026032B">
                      <w:t xml:space="preserve">Page </w:t>
                    </w:r>
                    <w:r w:rsidR="0090702A" w:rsidRPr="0026032B">
                      <w:fldChar w:fldCharType="begin"/>
                    </w:r>
                    <w:r w:rsidR="0090702A" w:rsidRPr="0026032B">
                      <w:instrText xml:space="preserve"> PAGE </w:instrText>
                    </w:r>
                    <w:r w:rsidR="0090702A" w:rsidRPr="0026032B">
                      <w:fldChar w:fldCharType="separate"/>
                    </w:r>
                    <w:r w:rsidR="0090702A">
                      <w:t>3</w:t>
                    </w:r>
                    <w:r w:rsidR="0090702A" w:rsidRPr="0026032B">
                      <w:fldChar w:fldCharType="end"/>
                    </w:r>
                    <w:r w:rsidR="0090702A" w:rsidRPr="0026032B">
                      <w:t xml:space="preserve"> of </w:t>
                    </w:r>
                    <w:r w:rsidR="0090702A">
                      <w:fldChar w:fldCharType="begin"/>
                    </w:r>
                    <w:r w:rsidR="0090702A">
                      <w:instrText>NUMPAGES</w:instrText>
                    </w:r>
                    <w:r w:rsidR="0090702A">
                      <w:fldChar w:fldCharType="separate"/>
                    </w:r>
                    <w:r w:rsidR="0090702A">
                      <w:t>6</w:t>
                    </w:r>
                    <w:r w:rsidR="0090702A">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83C1" w14:textId="77777777" w:rsidR="00886F92" w:rsidRDefault="00886F92" w:rsidP="00EB49D7">
      <w:pPr>
        <w:spacing w:after="0" w:line="240" w:lineRule="auto"/>
      </w:pPr>
      <w:r>
        <w:separator/>
      </w:r>
    </w:p>
  </w:footnote>
  <w:footnote w:type="continuationSeparator" w:id="0">
    <w:p w14:paraId="4B38FD2C" w14:textId="77777777" w:rsidR="00886F92" w:rsidRDefault="00886F92" w:rsidP="00EB49D7">
      <w:pPr>
        <w:spacing w:after="0" w:line="240" w:lineRule="auto"/>
      </w:pPr>
      <w:r>
        <w:continuationSeparator/>
      </w:r>
    </w:p>
  </w:footnote>
  <w:footnote w:type="continuationNotice" w:id="1">
    <w:p w14:paraId="37DDD598" w14:textId="77777777" w:rsidR="00886F92" w:rsidRDefault="00886F9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kCqBJybqVRSTF" int2:id="YNa176Yx">
      <int2:state int2:value="Rejected" int2:type="AugLoop_Text_Critique"/>
    </int2:textHash>
    <int2:textHash int2:hashCode="0KUxiw9B8gx1aN" int2:id="qf17I4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22DD"/>
    <w:multiLevelType w:val="multilevel"/>
    <w:tmpl w:val="6BB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B084D"/>
    <w:multiLevelType w:val="hybridMultilevel"/>
    <w:tmpl w:val="2CE6C430"/>
    <w:lvl w:ilvl="0" w:tplc="1D22F1B8">
      <w:start w:val="1"/>
      <w:numFmt w:val="bullet"/>
      <w:lvlText w:val="•"/>
      <w:lvlJc w:val="left"/>
      <w:pPr>
        <w:tabs>
          <w:tab w:val="num" w:pos="720"/>
        </w:tabs>
        <w:ind w:left="720" w:hanging="360"/>
      </w:pPr>
      <w:rPr>
        <w:rFonts w:ascii="Arial" w:hAnsi="Arial" w:hint="default"/>
      </w:rPr>
    </w:lvl>
    <w:lvl w:ilvl="1" w:tplc="C6123056" w:tentative="1">
      <w:start w:val="1"/>
      <w:numFmt w:val="bullet"/>
      <w:lvlText w:val="•"/>
      <w:lvlJc w:val="left"/>
      <w:pPr>
        <w:tabs>
          <w:tab w:val="num" w:pos="1440"/>
        </w:tabs>
        <w:ind w:left="1440" w:hanging="360"/>
      </w:pPr>
      <w:rPr>
        <w:rFonts w:ascii="Arial" w:hAnsi="Arial" w:hint="default"/>
      </w:rPr>
    </w:lvl>
    <w:lvl w:ilvl="2" w:tplc="DE8ADA54" w:tentative="1">
      <w:start w:val="1"/>
      <w:numFmt w:val="bullet"/>
      <w:lvlText w:val="•"/>
      <w:lvlJc w:val="left"/>
      <w:pPr>
        <w:tabs>
          <w:tab w:val="num" w:pos="2160"/>
        </w:tabs>
        <w:ind w:left="2160" w:hanging="360"/>
      </w:pPr>
      <w:rPr>
        <w:rFonts w:ascii="Arial" w:hAnsi="Arial" w:hint="default"/>
      </w:rPr>
    </w:lvl>
    <w:lvl w:ilvl="3" w:tplc="480C4208" w:tentative="1">
      <w:start w:val="1"/>
      <w:numFmt w:val="bullet"/>
      <w:lvlText w:val="•"/>
      <w:lvlJc w:val="left"/>
      <w:pPr>
        <w:tabs>
          <w:tab w:val="num" w:pos="2880"/>
        </w:tabs>
        <w:ind w:left="2880" w:hanging="360"/>
      </w:pPr>
      <w:rPr>
        <w:rFonts w:ascii="Arial" w:hAnsi="Arial" w:hint="default"/>
      </w:rPr>
    </w:lvl>
    <w:lvl w:ilvl="4" w:tplc="BF48D332" w:tentative="1">
      <w:start w:val="1"/>
      <w:numFmt w:val="bullet"/>
      <w:lvlText w:val="•"/>
      <w:lvlJc w:val="left"/>
      <w:pPr>
        <w:tabs>
          <w:tab w:val="num" w:pos="3600"/>
        </w:tabs>
        <w:ind w:left="3600" w:hanging="360"/>
      </w:pPr>
      <w:rPr>
        <w:rFonts w:ascii="Arial" w:hAnsi="Arial" w:hint="default"/>
      </w:rPr>
    </w:lvl>
    <w:lvl w:ilvl="5" w:tplc="BA5031A0" w:tentative="1">
      <w:start w:val="1"/>
      <w:numFmt w:val="bullet"/>
      <w:lvlText w:val="•"/>
      <w:lvlJc w:val="left"/>
      <w:pPr>
        <w:tabs>
          <w:tab w:val="num" w:pos="4320"/>
        </w:tabs>
        <w:ind w:left="4320" w:hanging="360"/>
      </w:pPr>
      <w:rPr>
        <w:rFonts w:ascii="Arial" w:hAnsi="Arial" w:hint="default"/>
      </w:rPr>
    </w:lvl>
    <w:lvl w:ilvl="6" w:tplc="173A7E64" w:tentative="1">
      <w:start w:val="1"/>
      <w:numFmt w:val="bullet"/>
      <w:lvlText w:val="•"/>
      <w:lvlJc w:val="left"/>
      <w:pPr>
        <w:tabs>
          <w:tab w:val="num" w:pos="5040"/>
        </w:tabs>
        <w:ind w:left="5040" w:hanging="360"/>
      </w:pPr>
      <w:rPr>
        <w:rFonts w:ascii="Arial" w:hAnsi="Arial" w:hint="default"/>
      </w:rPr>
    </w:lvl>
    <w:lvl w:ilvl="7" w:tplc="20629846" w:tentative="1">
      <w:start w:val="1"/>
      <w:numFmt w:val="bullet"/>
      <w:lvlText w:val="•"/>
      <w:lvlJc w:val="left"/>
      <w:pPr>
        <w:tabs>
          <w:tab w:val="num" w:pos="5760"/>
        </w:tabs>
        <w:ind w:left="5760" w:hanging="360"/>
      </w:pPr>
      <w:rPr>
        <w:rFonts w:ascii="Arial" w:hAnsi="Arial" w:hint="default"/>
      </w:rPr>
    </w:lvl>
    <w:lvl w:ilvl="8" w:tplc="64BE25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A50BEF"/>
    <w:multiLevelType w:val="hybridMultilevel"/>
    <w:tmpl w:val="0E5C54EC"/>
    <w:lvl w:ilvl="0" w:tplc="77B257A4">
      <w:start w:val="1"/>
      <w:numFmt w:val="bullet"/>
      <w:lvlText w:val="•"/>
      <w:lvlJc w:val="left"/>
      <w:pPr>
        <w:tabs>
          <w:tab w:val="num" w:pos="720"/>
        </w:tabs>
        <w:ind w:left="720" w:hanging="360"/>
      </w:pPr>
      <w:rPr>
        <w:rFonts w:ascii="Arial" w:hAnsi="Arial" w:hint="default"/>
      </w:rPr>
    </w:lvl>
    <w:lvl w:ilvl="1" w:tplc="9C2CAF1C" w:tentative="1">
      <w:start w:val="1"/>
      <w:numFmt w:val="bullet"/>
      <w:lvlText w:val="•"/>
      <w:lvlJc w:val="left"/>
      <w:pPr>
        <w:tabs>
          <w:tab w:val="num" w:pos="1440"/>
        </w:tabs>
        <w:ind w:left="1440" w:hanging="360"/>
      </w:pPr>
      <w:rPr>
        <w:rFonts w:ascii="Arial" w:hAnsi="Arial" w:hint="default"/>
      </w:rPr>
    </w:lvl>
    <w:lvl w:ilvl="2" w:tplc="38AA6034" w:tentative="1">
      <w:start w:val="1"/>
      <w:numFmt w:val="bullet"/>
      <w:lvlText w:val="•"/>
      <w:lvlJc w:val="left"/>
      <w:pPr>
        <w:tabs>
          <w:tab w:val="num" w:pos="2160"/>
        </w:tabs>
        <w:ind w:left="2160" w:hanging="360"/>
      </w:pPr>
      <w:rPr>
        <w:rFonts w:ascii="Arial" w:hAnsi="Arial" w:hint="default"/>
      </w:rPr>
    </w:lvl>
    <w:lvl w:ilvl="3" w:tplc="1144DE5A" w:tentative="1">
      <w:start w:val="1"/>
      <w:numFmt w:val="bullet"/>
      <w:lvlText w:val="•"/>
      <w:lvlJc w:val="left"/>
      <w:pPr>
        <w:tabs>
          <w:tab w:val="num" w:pos="2880"/>
        </w:tabs>
        <w:ind w:left="2880" w:hanging="360"/>
      </w:pPr>
      <w:rPr>
        <w:rFonts w:ascii="Arial" w:hAnsi="Arial" w:hint="default"/>
      </w:rPr>
    </w:lvl>
    <w:lvl w:ilvl="4" w:tplc="D6481216" w:tentative="1">
      <w:start w:val="1"/>
      <w:numFmt w:val="bullet"/>
      <w:lvlText w:val="•"/>
      <w:lvlJc w:val="left"/>
      <w:pPr>
        <w:tabs>
          <w:tab w:val="num" w:pos="3600"/>
        </w:tabs>
        <w:ind w:left="3600" w:hanging="360"/>
      </w:pPr>
      <w:rPr>
        <w:rFonts w:ascii="Arial" w:hAnsi="Arial" w:hint="default"/>
      </w:rPr>
    </w:lvl>
    <w:lvl w:ilvl="5" w:tplc="18C6DEEC" w:tentative="1">
      <w:start w:val="1"/>
      <w:numFmt w:val="bullet"/>
      <w:lvlText w:val="•"/>
      <w:lvlJc w:val="left"/>
      <w:pPr>
        <w:tabs>
          <w:tab w:val="num" w:pos="4320"/>
        </w:tabs>
        <w:ind w:left="4320" w:hanging="360"/>
      </w:pPr>
      <w:rPr>
        <w:rFonts w:ascii="Arial" w:hAnsi="Arial" w:hint="default"/>
      </w:rPr>
    </w:lvl>
    <w:lvl w:ilvl="6" w:tplc="C1D2331E" w:tentative="1">
      <w:start w:val="1"/>
      <w:numFmt w:val="bullet"/>
      <w:lvlText w:val="•"/>
      <w:lvlJc w:val="left"/>
      <w:pPr>
        <w:tabs>
          <w:tab w:val="num" w:pos="5040"/>
        </w:tabs>
        <w:ind w:left="5040" w:hanging="360"/>
      </w:pPr>
      <w:rPr>
        <w:rFonts w:ascii="Arial" w:hAnsi="Arial" w:hint="default"/>
      </w:rPr>
    </w:lvl>
    <w:lvl w:ilvl="7" w:tplc="5740C52C" w:tentative="1">
      <w:start w:val="1"/>
      <w:numFmt w:val="bullet"/>
      <w:lvlText w:val="•"/>
      <w:lvlJc w:val="left"/>
      <w:pPr>
        <w:tabs>
          <w:tab w:val="num" w:pos="5760"/>
        </w:tabs>
        <w:ind w:left="5760" w:hanging="360"/>
      </w:pPr>
      <w:rPr>
        <w:rFonts w:ascii="Arial" w:hAnsi="Arial" w:hint="default"/>
      </w:rPr>
    </w:lvl>
    <w:lvl w:ilvl="8" w:tplc="B5A04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A57474"/>
    <w:multiLevelType w:val="hybridMultilevel"/>
    <w:tmpl w:val="EF84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1A86"/>
    <w:multiLevelType w:val="multilevel"/>
    <w:tmpl w:val="864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31939"/>
    <w:multiLevelType w:val="multilevel"/>
    <w:tmpl w:val="B3FA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BD069E"/>
    <w:multiLevelType w:val="hybridMultilevel"/>
    <w:tmpl w:val="F4F2AD0A"/>
    <w:lvl w:ilvl="0" w:tplc="0172BAA6">
      <w:start w:val="1"/>
      <w:numFmt w:val="bullet"/>
      <w:lvlText w:val="•"/>
      <w:lvlJc w:val="left"/>
      <w:pPr>
        <w:tabs>
          <w:tab w:val="num" w:pos="720"/>
        </w:tabs>
        <w:ind w:left="720" w:hanging="360"/>
      </w:pPr>
      <w:rPr>
        <w:rFonts w:ascii="Arial" w:hAnsi="Arial" w:hint="default"/>
      </w:rPr>
    </w:lvl>
    <w:lvl w:ilvl="1" w:tplc="EEA6E284" w:tentative="1">
      <w:start w:val="1"/>
      <w:numFmt w:val="bullet"/>
      <w:lvlText w:val="•"/>
      <w:lvlJc w:val="left"/>
      <w:pPr>
        <w:tabs>
          <w:tab w:val="num" w:pos="1440"/>
        </w:tabs>
        <w:ind w:left="1440" w:hanging="360"/>
      </w:pPr>
      <w:rPr>
        <w:rFonts w:ascii="Arial" w:hAnsi="Arial" w:hint="default"/>
      </w:rPr>
    </w:lvl>
    <w:lvl w:ilvl="2" w:tplc="8EB400D8" w:tentative="1">
      <w:start w:val="1"/>
      <w:numFmt w:val="bullet"/>
      <w:lvlText w:val="•"/>
      <w:lvlJc w:val="left"/>
      <w:pPr>
        <w:tabs>
          <w:tab w:val="num" w:pos="2160"/>
        </w:tabs>
        <w:ind w:left="2160" w:hanging="360"/>
      </w:pPr>
      <w:rPr>
        <w:rFonts w:ascii="Arial" w:hAnsi="Arial" w:hint="default"/>
      </w:rPr>
    </w:lvl>
    <w:lvl w:ilvl="3" w:tplc="D4C8A846" w:tentative="1">
      <w:start w:val="1"/>
      <w:numFmt w:val="bullet"/>
      <w:lvlText w:val="•"/>
      <w:lvlJc w:val="left"/>
      <w:pPr>
        <w:tabs>
          <w:tab w:val="num" w:pos="2880"/>
        </w:tabs>
        <w:ind w:left="2880" w:hanging="360"/>
      </w:pPr>
      <w:rPr>
        <w:rFonts w:ascii="Arial" w:hAnsi="Arial" w:hint="default"/>
      </w:rPr>
    </w:lvl>
    <w:lvl w:ilvl="4" w:tplc="2612D0AC" w:tentative="1">
      <w:start w:val="1"/>
      <w:numFmt w:val="bullet"/>
      <w:lvlText w:val="•"/>
      <w:lvlJc w:val="left"/>
      <w:pPr>
        <w:tabs>
          <w:tab w:val="num" w:pos="3600"/>
        </w:tabs>
        <w:ind w:left="3600" w:hanging="360"/>
      </w:pPr>
      <w:rPr>
        <w:rFonts w:ascii="Arial" w:hAnsi="Arial" w:hint="default"/>
      </w:rPr>
    </w:lvl>
    <w:lvl w:ilvl="5" w:tplc="09902EDE" w:tentative="1">
      <w:start w:val="1"/>
      <w:numFmt w:val="bullet"/>
      <w:lvlText w:val="•"/>
      <w:lvlJc w:val="left"/>
      <w:pPr>
        <w:tabs>
          <w:tab w:val="num" w:pos="4320"/>
        </w:tabs>
        <w:ind w:left="4320" w:hanging="360"/>
      </w:pPr>
      <w:rPr>
        <w:rFonts w:ascii="Arial" w:hAnsi="Arial" w:hint="default"/>
      </w:rPr>
    </w:lvl>
    <w:lvl w:ilvl="6" w:tplc="766C6E8E" w:tentative="1">
      <w:start w:val="1"/>
      <w:numFmt w:val="bullet"/>
      <w:lvlText w:val="•"/>
      <w:lvlJc w:val="left"/>
      <w:pPr>
        <w:tabs>
          <w:tab w:val="num" w:pos="5040"/>
        </w:tabs>
        <w:ind w:left="5040" w:hanging="360"/>
      </w:pPr>
      <w:rPr>
        <w:rFonts w:ascii="Arial" w:hAnsi="Arial" w:hint="default"/>
      </w:rPr>
    </w:lvl>
    <w:lvl w:ilvl="7" w:tplc="AA7CF0CC" w:tentative="1">
      <w:start w:val="1"/>
      <w:numFmt w:val="bullet"/>
      <w:lvlText w:val="•"/>
      <w:lvlJc w:val="left"/>
      <w:pPr>
        <w:tabs>
          <w:tab w:val="num" w:pos="5760"/>
        </w:tabs>
        <w:ind w:left="5760" w:hanging="360"/>
      </w:pPr>
      <w:rPr>
        <w:rFonts w:ascii="Arial" w:hAnsi="Arial" w:hint="default"/>
      </w:rPr>
    </w:lvl>
    <w:lvl w:ilvl="8" w:tplc="6A84C0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FD446F"/>
    <w:multiLevelType w:val="multilevel"/>
    <w:tmpl w:val="0CF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52A04"/>
    <w:multiLevelType w:val="hybridMultilevel"/>
    <w:tmpl w:val="3C90C9FE"/>
    <w:lvl w:ilvl="0" w:tplc="C95A21E2">
      <w:start w:val="1"/>
      <w:numFmt w:val="bullet"/>
      <w:lvlText w:val="•"/>
      <w:lvlJc w:val="left"/>
      <w:pPr>
        <w:tabs>
          <w:tab w:val="num" w:pos="720"/>
        </w:tabs>
        <w:ind w:left="720" w:hanging="360"/>
      </w:pPr>
      <w:rPr>
        <w:rFonts w:ascii="Arial" w:hAnsi="Arial" w:hint="default"/>
      </w:rPr>
    </w:lvl>
    <w:lvl w:ilvl="1" w:tplc="285EE1C6">
      <w:numFmt w:val="bullet"/>
      <w:lvlText w:val="•"/>
      <w:lvlJc w:val="left"/>
      <w:pPr>
        <w:tabs>
          <w:tab w:val="num" w:pos="1440"/>
        </w:tabs>
        <w:ind w:left="1440" w:hanging="360"/>
      </w:pPr>
      <w:rPr>
        <w:rFonts w:ascii="Arial" w:hAnsi="Arial" w:hint="default"/>
      </w:rPr>
    </w:lvl>
    <w:lvl w:ilvl="2" w:tplc="FD9292E8" w:tentative="1">
      <w:start w:val="1"/>
      <w:numFmt w:val="bullet"/>
      <w:lvlText w:val="•"/>
      <w:lvlJc w:val="left"/>
      <w:pPr>
        <w:tabs>
          <w:tab w:val="num" w:pos="2160"/>
        </w:tabs>
        <w:ind w:left="2160" w:hanging="360"/>
      </w:pPr>
      <w:rPr>
        <w:rFonts w:ascii="Arial" w:hAnsi="Arial" w:hint="default"/>
      </w:rPr>
    </w:lvl>
    <w:lvl w:ilvl="3" w:tplc="678495F0" w:tentative="1">
      <w:start w:val="1"/>
      <w:numFmt w:val="bullet"/>
      <w:lvlText w:val="•"/>
      <w:lvlJc w:val="left"/>
      <w:pPr>
        <w:tabs>
          <w:tab w:val="num" w:pos="2880"/>
        </w:tabs>
        <w:ind w:left="2880" w:hanging="360"/>
      </w:pPr>
      <w:rPr>
        <w:rFonts w:ascii="Arial" w:hAnsi="Arial" w:hint="default"/>
      </w:rPr>
    </w:lvl>
    <w:lvl w:ilvl="4" w:tplc="83E0CCE2" w:tentative="1">
      <w:start w:val="1"/>
      <w:numFmt w:val="bullet"/>
      <w:lvlText w:val="•"/>
      <w:lvlJc w:val="left"/>
      <w:pPr>
        <w:tabs>
          <w:tab w:val="num" w:pos="3600"/>
        </w:tabs>
        <w:ind w:left="3600" w:hanging="360"/>
      </w:pPr>
      <w:rPr>
        <w:rFonts w:ascii="Arial" w:hAnsi="Arial" w:hint="default"/>
      </w:rPr>
    </w:lvl>
    <w:lvl w:ilvl="5" w:tplc="A55E7D68" w:tentative="1">
      <w:start w:val="1"/>
      <w:numFmt w:val="bullet"/>
      <w:lvlText w:val="•"/>
      <w:lvlJc w:val="left"/>
      <w:pPr>
        <w:tabs>
          <w:tab w:val="num" w:pos="4320"/>
        </w:tabs>
        <w:ind w:left="4320" w:hanging="360"/>
      </w:pPr>
      <w:rPr>
        <w:rFonts w:ascii="Arial" w:hAnsi="Arial" w:hint="default"/>
      </w:rPr>
    </w:lvl>
    <w:lvl w:ilvl="6" w:tplc="8E781C02" w:tentative="1">
      <w:start w:val="1"/>
      <w:numFmt w:val="bullet"/>
      <w:lvlText w:val="•"/>
      <w:lvlJc w:val="left"/>
      <w:pPr>
        <w:tabs>
          <w:tab w:val="num" w:pos="5040"/>
        </w:tabs>
        <w:ind w:left="5040" w:hanging="360"/>
      </w:pPr>
      <w:rPr>
        <w:rFonts w:ascii="Arial" w:hAnsi="Arial" w:hint="default"/>
      </w:rPr>
    </w:lvl>
    <w:lvl w:ilvl="7" w:tplc="C04E1216" w:tentative="1">
      <w:start w:val="1"/>
      <w:numFmt w:val="bullet"/>
      <w:lvlText w:val="•"/>
      <w:lvlJc w:val="left"/>
      <w:pPr>
        <w:tabs>
          <w:tab w:val="num" w:pos="5760"/>
        </w:tabs>
        <w:ind w:left="5760" w:hanging="360"/>
      </w:pPr>
      <w:rPr>
        <w:rFonts w:ascii="Arial" w:hAnsi="Arial" w:hint="default"/>
      </w:rPr>
    </w:lvl>
    <w:lvl w:ilvl="8" w:tplc="29FE44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DA2F63"/>
    <w:multiLevelType w:val="hybridMultilevel"/>
    <w:tmpl w:val="3C866A10"/>
    <w:lvl w:ilvl="0" w:tplc="7FDCBE4A">
      <w:start w:val="1"/>
      <w:numFmt w:val="bullet"/>
      <w:lvlText w:val="•"/>
      <w:lvlJc w:val="left"/>
      <w:pPr>
        <w:tabs>
          <w:tab w:val="num" w:pos="720"/>
        </w:tabs>
        <w:ind w:left="720" w:hanging="360"/>
      </w:pPr>
      <w:rPr>
        <w:rFonts w:ascii="Arial" w:hAnsi="Arial" w:hint="default"/>
      </w:rPr>
    </w:lvl>
    <w:lvl w:ilvl="1" w:tplc="CDD856B8" w:tentative="1">
      <w:start w:val="1"/>
      <w:numFmt w:val="bullet"/>
      <w:lvlText w:val="•"/>
      <w:lvlJc w:val="left"/>
      <w:pPr>
        <w:tabs>
          <w:tab w:val="num" w:pos="1440"/>
        </w:tabs>
        <w:ind w:left="1440" w:hanging="360"/>
      </w:pPr>
      <w:rPr>
        <w:rFonts w:ascii="Arial" w:hAnsi="Arial" w:hint="default"/>
      </w:rPr>
    </w:lvl>
    <w:lvl w:ilvl="2" w:tplc="50F8C2EC" w:tentative="1">
      <w:start w:val="1"/>
      <w:numFmt w:val="bullet"/>
      <w:lvlText w:val="•"/>
      <w:lvlJc w:val="left"/>
      <w:pPr>
        <w:tabs>
          <w:tab w:val="num" w:pos="2160"/>
        </w:tabs>
        <w:ind w:left="2160" w:hanging="360"/>
      </w:pPr>
      <w:rPr>
        <w:rFonts w:ascii="Arial" w:hAnsi="Arial" w:hint="default"/>
      </w:rPr>
    </w:lvl>
    <w:lvl w:ilvl="3" w:tplc="8FF42C88" w:tentative="1">
      <w:start w:val="1"/>
      <w:numFmt w:val="bullet"/>
      <w:lvlText w:val="•"/>
      <w:lvlJc w:val="left"/>
      <w:pPr>
        <w:tabs>
          <w:tab w:val="num" w:pos="2880"/>
        </w:tabs>
        <w:ind w:left="2880" w:hanging="360"/>
      </w:pPr>
      <w:rPr>
        <w:rFonts w:ascii="Arial" w:hAnsi="Arial" w:hint="default"/>
      </w:rPr>
    </w:lvl>
    <w:lvl w:ilvl="4" w:tplc="E63E9AD0" w:tentative="1">
      <w:start w:val="1"/>
      <w:numFmt w:val="bullet"/>
      <w:lvlText w:val="•"/>
      <w:lvlJc w:val="left"/>
      <w:pPr>
        <w:tabs>
          <w:tab w:val="num" w:pos="3600"/>
        </w:tabs>
        <w:ind w:left="3600" w:hanging="360"/>
      </w:pPr>
      <w:rPr>
        <w:rFonts w:ascii="Arial" w:hAnsi="Arial" w:hint="default"/>
      </w:rPr>
    </w:lvl>
    <w:lvl w:ilvl="5" w:tplc="C082AD1E" w:tentative="1">
      <w:start w:val="1"/>
      <w:numFmt w:val="bullet"/>
      <w:lvlText w:val="•"/>
      <w:lvlJc w:val="left"/>
      <w:pPr>
        <w:tabs>
          <w:tab w:val="num" w:pos="4320"/>
        </w:tabs>
        <w:ind w:left="4320" w:hanging="360"/>
      </w:pPr>
      <w:rPr>
        <w:rFonts w:ascii="Arial" w:hAnsi="Arial" w:hint="default"/>
      </w:rPr>
    </w:lvl>
    <w:lvl w:ilvl="6" w:tplc="C3C85162" w:tentative="1">
      <w:start w:val="1"/>
      <w:numFmt w:val="bullet"/>
      <w:lvlText w:val="•"/>
      <w:lvlJc w:val="left"/>
      <w:pPr>
        <w:tabs>
          <w:tab w:val="num" w:pos="5040"/>
        </w:tabs>
        <w:ind w:left="5040" w:hanging="360"/>
      </w:pPr>
      <w:rPr>
        <w:rFonts w:ascii="Arial" w:hAnsi="Arial" w:hint="default"/>
      </w:rPr>
    </w:lvl>
    <w:lvl w:ilvl="7" w:tplc="9880D8AA" w:tentative="1">
      <w:start w:val="1"/>
      <w:numFmt w:val="bullet"/>
      <w:lvlText w:val="•"/>
      <w:lvlJc w:val="left"/>
      <w:pPr>
        <w:tabs>
          <w:tab w:val="num" w:pos="5760"/>
        </w:tabs>
        <w:ind w:left="5760" w:hanging="360"/>
      </w:pPr>
      <w:rPr>
        <w:rFonts w:ascii="Arial" w:hAnsi="Arial" w:hint="default"/>
      </w:rPr>
    </w:lvl>
    <w:lvl w:ilvl="8" w:tplc="ABC41974" w:tentative="1">
      <w:start w:val="1"/>
      <w:numFmt w:val="bullet"/>
      <w:lvlText w:val="•"/>
      <w:lvlJc w:val="left"/>
      <w:pPr>
        <w:tabs>
          <w:tab w:val="num" w:pos="6480"/>
        </w:tabs>
        <w:ind w:left="6480" w:hanging="360"/>
      </w:pPr>
      <w:rPr>
        <w:rFonts w:ascii="Arial" w:hAnsi="Arial" w:hint="default"/>
      </w:rPr>
    </w:lvl>
  </w:abstractNum>
  <w:num w:numId="1" w16cid:durableId="1227570218">
    <w:abstractNumId w:val="5"/>
  </w:num>
  <w:num w:numId="2" w16cid:durableId="1624771107">
    <w:abstractNumId w:val="7"/>
  </w:num>
  <w:num w:numId="3" w16cid:durableId="320353113">
    <w:abstractNumId w:val="0"/>
  </w:num>
  <w:num w:numId="4" w16cid:durableId="1913158618">
    <w:abstractNumId w:val="4"/>
  </w:num>
  <w:num w:numId="5" w16cid:durableId="987825931">
    <w:abstractNumId w:val="6"/>
  </w:num>
  <w:num w:numId="6" w16cid:durableId="1530603524">
    <w:abstractNumId w:val="1"/>
  </w:num>
  <w:num w:numId="7" w16cid:durableId="2021349016">
    <w:abstractNumId w:val="9"/>
  </w:num>
  <w:num w:numId="8" w16cid:durableId="535656356">
    <w:abstractNumId w:val="2"/>
  </w:num>
  <w:num w:numId="9" w16cid:durableId="431050358">
    <w:abstractNumId w:val="8"/>
  </w:num>
  <w:num w:numId="10" w16cid:durableId="7382140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4F"/>
    <w:rsid w:val="00000932"/>
    <w:rsid w:val="0000234D"/>
    <w:rsid w:val="0000311A"/>
    <w:rsid w:val="00003929"/>
    <w:rsid w:val="00003DA1"/>
    <w:rsid w:val="00003E92"/>
    <w:rsid w:val="00003F64"/>
    <w:rsid w:val="000078AB"/>
    <w:rsid w:val="00007FB0"/>
    <w:rsid w:val="00011E5D"/>
    <w:rsid w:val="00013013"/>
    <w:rsid w:val="00013CB4"/>
    <w:rsid w:val="0001434B"/>
    <w:rsid w:val="00014380"/>
    <w:rsid w:val="00014EDB"/>
    <w:rsid w:val="000160A8"/>
    <w:rsid w:val="00022C30"/>
    <w:rsid w:val="00024C7B"/>
    <w:rsid w:val="00025B28"/>
    <w:rsid w:val="00025B64"/>
    <w:rsid w:val="00025D49"/>
    <w:rsid w:val="00025E99"/>
    <w:rsid w:val="0002660F"/>
    <w:rsid w:val="00026D3A"/>
    <w:rsid w:val="00027A7E"/>
    <w:rsid w:val="000305DF"/>
    <w:rsid w:val="00031260"/>
    <w:rsid w:val="000312C0"/>
    <w:rsid w:val="00032FC4"/>
    <w:rsid w:val="00035BDF"/>
    <w:rsid w:val="00037DF3"/>
    <w:rsid w:val="00037F9C"/>
    <w:rsid w:val="00040F62"/>
    <w:rsid w:val="000411A4"/>
    <w:rsid w:val="0004146C"/>
    <w:rsid w:val="0004459A"/>
    <w:rsid w:val="00044F55"/>
    <w:rsid w:val="0004572B"/>
    <w:rsid w:val="00047A87"/>
    <w:rsid w:val="00047F36"/>
    <w:rsid w:val="00051045"/>
    <w:rsid w:val="000528DF"/>
    <w:rsid w:val="00052B04"/>
    <w:rsid w:val="00060803"/>
    <w:rsid w:val="00061D6D"/>
    <w:rsid w:val="000627CD"/>
    <w:rsid w:val="00063990"/>
    <w:rsid w:val="00064BE2"/>
    <w:rsid w:val="00065E10"/>
    <w:rsid w:val="00070072"/>
    <w:rsid w:val="000700B6"/>
    <w:rsid w:val="00070BC4"/>
    <w:rsid w:val="00070F4E"/>
    <w:rsid w:val="00070FB2"/>
    <w:rsid w:val="000720AA"/>
    <w:rsid w:val="000743FE"/>
    <w:rsid w:val="00074562"/>
    <w:rsid w:val="00075A58"/>
    <w:rsid w:val="00076E6A"/>
    <w:rsid w:val="000771EE"/>
    <w:rsid w:val="0007727E"/>
    <w:rsid w:val="00077D9E"/>
    <w:rsid w:val="000807E4"/>
    <w:rsid w:val="000811FB"/>
    <w:rsid w:val="0008267A"/>
    <w:rsid w:val="0008388A"/>
    <w:rsid w:val="00083FFC"/>
    <w:rsid w:val="00084ABB"/>
    <w:rsid w:val="000854D0"/>
    <w:rsid w:val="0008625F"/>
    <w:rsid w:val="0008723F"/>
    <w:rsid w:val="000905E1"/>
    <w:rsid w:val="00091220"/>
    <w:rsid w:val="000914B8"/>
    <w:rsid w:val="000916EF"/>
    <w:rsid w:val="0009234D"/>
    <w:rsid w:val="0009343B"/>
    <w:rsid w:val="00096E10"/>
    <w:rsid w:val="00097388"/>
    <w:rsid w:val="000A0BD6"/>
    <w:rsid w:val="000A2CFF"/>
    <w:rsid w:val="000A2D8B"/>
    <w:rsid w:val="000A34B0"/>
    <w:rsid w:val="000A4A49"/>
    <w:rsid w:val="000A5BDB"/>
    <w:rsid w:val="000A5E12"/>
    <w:rsid w:val="000A63F5"/>
    <w:rsid w:val="000A6D56"/>
    <w:rsid w:val="000A76AC"/>
    <w:rsid w:val="000B0AD6"/>
    <w:rsid w:val="000B0C86"/>
    <w:rsid w:val="000B1CD3"/>
    <w:rsid w:val="000B200A"/>
    <w:rsid w:val="000B39E9"/>
    <w:rsid w:val="000B508F"/>
    <w:rsid w:val="000B5318"/>
    <w:rsid w:val="000B754F"/>
    <w:rsid w:val="000B75DB"/>
    <w:rsid w:val="000C07A3"/>
    <w:rsid w:val="000C0B49"/>
    <w:rsid w:val="000C0D1A"/>
    <w:rsid w:val="000C0D2E"/>
    <w:rsid w:val="000C12EE"/>
    <w:rsid w:val="000C16AD"/>
    <w:rsid w:val="000C2653"/>
    <w:rsid w:val="000C34F9"/>
    <w:rsid w:val="000C6551"/>
    <w:rsid w:val="000C7E38"/>
    <w:rsid w:val="000D0436"/>
    <w:rsid w:val="000D241A"/>
    <w:rsid w:val="000D2FD6"/>
    <w:rsid w:val="000D3004"/>
    <w:rsid w:val="000D3563"/>
    <w:rsid w:val="000D3F63"/>
    <w:rsid w:val="000D5DB4"/>
    <w:rsid w:val="000E3E5F"/>
    <w:rsid w:val="000E3F70"/>
    <w:rsid w:val="000E5795"/>
    <w:rsid w:val="000E70F1"/>
    <w:rsid w:val="000E7EDE"/>
    <w:rsid w:val="000F081B"/>
    <w:rsid w:val="000F09EA"/>
    <w:rsid w:val="000F3397"/>
    <w:rsid w:val="000F3CA5"/>
    <w:rsid w:val="000F42EE"/>
    <w:rsid w:val="000F4E5C"/>
    <w:rsid w:val="000F4E93"/>
    <w:rsid w:val="000F6CC6"/>
    <w:rsid w:val="000F7269"/>
    <w:rsid w:val="00100B8C"/>
    <w:rsid w:val="001026A9"/>
    <w:rsid w:val="001034FF"/>
    <w:rsid w:val="001041A3"/>
    <w:rsid w:val="00104571"/>
    <w:rsid w:val="001062D6"/>
    <w:rsid w:val="001067D4"/>
    <w:rsid w:val="001069B9"/>
    <w:rsid w:val="00106FD1"/>
    <w:rsid w:val="00112D93"/>
    <w:rsid w:val="0011340E"/>
    <w:rsid w:val="001155AB"/>
    <w:rsid w:val="00116E8E"/>
    <w:rsid w:val="00121DDB"/>
    <w:rsid w:val="00121E2C"/>
    <w:rsid w:val="0012299C"/>
    <w:rsid w:val="001230BF"/>
    <w:rsid w:val="00124CDB"/>
    <w:rsid w:val="00124D8E"/>
    <w:rsid w:val="001252B1"/>
    <w:rsid w:val="00125CE9"/>
    <w:rsid w:val="00126639"/>
    <w:rsid w:val="00127C44"/>
    <w:rsid w:val="00130C43"/>
    <w:rsid w:val="00131748"/>
    <w:rsid w:val="001328BB"/>
    <w:rsid w:val="00133393"/>
    <w:rsid w:val="00133916"/>
    <w:rsid w:val="00134A3F"/>
    <w:rsid w:val="00134E3B"/>
    <w:rsid w:val="00136FE7"/>
    <w:rsid w:val="001371FF"/>
    <w:rsid w:val="00137AB7"/>
    <w:rsid w:val="0014048A"/>
    <w:rsid w:val="001407E2"/>
    <w:rsid w:val="00140EC7"/>
    <w:rsid w:val="0014137C"/>
    <w:rsid w:val="001413DB"/>
    <w:rsid w:val="0014199C"/>
    <w:rsid w:val="001454FA"/>
    <w:rsid w:val="00145A7A"/>
    <w:rsid w:val="001470D4"/>
    <w:rsid w:val="001476C9"/>
    <w:rsid w:val="00150362"/>
    <w:rsid w:val="001511DD"/>
    <w:rsid w:val="00151262"/>
    <w:rsid w:val="00151B3B"/>
    <w:rsid w:val="0015425C"/>
    <w:rsid w:val="00155263"/>
    <w:rsid w:val="00155883"/>
    <w:rsid w:val="00155DDC"/>
    <w:rsid w:val="00156A0A"/>
    <w:rsid w:val="00156BD2"/>
    <w:rsid w:val="00157134"/>
    <w:rsid w:val="00157D2F"/>
    <w:rsid w:val="0016053F"/>
    <w:rsid w:val="00164977"/>
    <w:rsid w:val="00166090"/>
    <w:rsid w:val="001662BE"/>
    <w:rsid w:val="00166BD6"/>
    <w:rsid w:val="00166DDC"/>
    <w:rsid w:val="001670A8"/>
    <w:rsid w:val="00167CCD"/>
    <w:rsid w:val="001700F3"/>
    <w:rsid w:val="00170E0D"/>
    <w:rsid w:val="00173766"/>
    <w:rsid w:val="0017450F"/>
    <w:rsid w:val="00174B62"/>
    <w:rsid w:val="001813F1"/>
    <w:rsid w:val="001823D6"/>
    <w:rsid w:val="00184EDD"/>
    <w:rsid w:val="001867C4"/>
    <w:rsid w:val="001908C7"/>
    <w:rsid w:val="00191CBB"/>
    <w:rsid w:val="001943E1"/>
    <w:rsid w:val="00195294"/>
    <w:rsid w:val="001962CE"/>
    <w:rsid w:val="00196476"/>
    <w:rsid w:val="00197139"/>
    <w:rsid w:val="001A23DE"/>
    <w:rsid w:val="001A3EA6"/>
    <w:rsid w:val="001A4A80"/>
    <w:rsid w:val="001A4F76"/>
    <w:rsid w:val="001A523F"/>
    <w:rsid w:val="001B07F0"/>
    <w:rsid w:val="001B2C19"/>
    <w:rsid w:val="001B464E"/>
    <w:rsid w:val="001C0469"/>
    <w:rsid w:val="001C09FD"/>
    <w:rsid w:val="001C1772"/>
    <w:rsid w:val="001C2740"/>
    <w:rsid w:val="001C3890"/>
    <w:rsid w:val="001C45BD"/>
    <w:rsid w:val="001C471F"/>
    <w:rsid w:val="001C5787"/>
    <w:rsid w:val="001C61E3"/>
    <w:rsid w:val="001C7DB7"/>
    <w:rsid w:val="001D05DD"/>
    <w:rsid w:val="001D0C1A"/>
    <w:rsid w:val="001D102A"/>
    <w:rsid w:val="001D1BB9"/>
    <w:rsid w:val="001D1D5E"/>
    <w:rsid w:val="001D4038"/>
    <w:rsid w:val="001D4710"/>
    <w:rsid w:val="001D525F"/>
    <w:rsid w:val="001D5E4A"/>
    <w:rsid w:val="001D66B2"/>
    <w:rsid w:val="001D67A2"/>
    <w:rsid w:val="001D7245"/>
    <w:rsid w:val="001E0A19"/>
    <w:rsid w:val="001E2164"/>
    <w:rsid w:val="001E4CC0"/>
    <w:rsid w:val="001F0CE4"/>
    <w:rsid w:val="001F2DB6"/>
    <w:rsid w:val="001F38B8"/>
    <w:rsid w:val="001F540C"/>
    <w:rsid w:val="001F5CB5"/>
    <w:rsid w:val="001F6BC3"/>
    <w:rsid w:val="001F6E4F"/>
    <w:rsid w:val="00201020"/>
    <w:rsid w:val="00204E54"/>
    <w:rsid w:val="00204FA7"/>
    <w:rsid w:val="00205E9E"/>
    <w:rsid w:val="00206787"/>
    <w:rsid w:val="00206E63"/>
    <w:rsid w:val="00210BF5"/>
    <w:rsid w:val="00211B90"/>
    <w:rsid w:val="00212A33"/>
    <w:rsid w:val="00212F2B"/>
    <w:rsid w:val="00213397"/>
    <w:rsid w:val="00214F34"/>
    <w:rsid w:val="00215DF4"/>
    <w:rsid w:val="0021614A"/>
    <w:rsid w:val="00217396"/>
    <w:rsid w:val="00220298"/>
    <w:rsid w:val="002214E3"/>
    <w:rsid w:val="002215A1"/>
    <w:rsid w:val="00222C16"/>
    <w:rsid w:val="00224F07"/>
    <w:rsid w:val="00227A99"/>
    <w:rsid w:val="0023051A"/>
    <w:rsid w:val="002318F0"/>
    <w:rsid w:val="00232825"/>
    <w:rsid w:val="00233A07"/>
    <w:rsid w:val="00233EB4"/>
    <w:rsid w:val="002371FA"/>
    <w:rsid w:val="00237434"/>
    <w:rsid w:val="00237B9B"/>
    <w:rsid w:val="00237E90"/>
    <w:rsid w:val="0024038C"/>
    <w:rsid w:val="00243546"/>
    <w:rsid w:val="002456AD"/>
    <w:rsid w:val="002458A7"/>
    <w:rsid w:val="00245C13"/>
    <w:rsid w:val="00245ED7"/>
    <w:rsid w:val="00246927"/>
    <w:rsid w:val="00247E7B"/>
    <w:rsid w:val="00253AE7"/>
    <w:rsid w:val="0026032B"/>
    <w:rsid w:val="0026095B"/>
    <w:rsid w:val="00262326"/>
    <w:rsid w:val="00266E78"/>
    <w:rsid w:val="00270841"/>
    <w:rsid w:val="00270884"/>
    <w:rsid w:val="00273E2D"/>
    <w:rsid w:val="0027460F"/>
    <w:rsid w:val="00274CB4"/>
    <w:rsid w:val="002759AF"/>
    <w:rsid w:val="00276F72"/>
    <w:rsid w:val="00276FD2"/>
    <w:rsid w:val="002772AC"/>
    <w:rsid w:val="00281080"/>
    <w:rsid w:val="00281216"/>
    <w:rsid w:val="002814E4"/>
    <w:rsid w:val="002814F6"/>
    <w:rsid w:val="00281C5A"/>
    <w:rsid w:val="00284589"/>
    <w:rsid w:val="0028531E"/>
    <w:rsid w:val="0028659E"/>
    <w:rsid w:val="002876E1"/>
    <w:rsid w:val="00287845"/>
    <w:rsid w:val="002878C3"/>
    <w:rsid w:val="00290004"/>
    <w:rsid w:val="002908EE"/>
    <w:rsid w:val="0029185A"/>
    <w:rsid w:val="0029270F"/>
    <w:rsid w:val="00292D29"/>
    <w:rsid w:val="00293077"/>
    <w:rsid w:val="002958BC"/>
    <w:rsid w:val="002A055B"/>
    <w:rsid w:val="002A2415"/>
    <w:rsid w:val="002A2B8B"/>
    <w:rsid w:val="002A71F5"/>
    <w:rsid w:val="002B045A"/>
    <w:rsid w:val="002B147F"/>
    <w:rsid w:val="002B1E3D"/>
    <w:rsid w:val="002B2597"/>
    <w:rsid w:val="002B3411"/>
    <w:rsid w:val="002B3AE2"/>
    <w:rsid w:val="002B4879"/>
    <w:rsid w:val="002B4A98"/>
    <w:rsid w:val="002B4F21"/>
    <w:rsid w:val="002B66C0"/>
    <w:rsid w:val="002B6F31"/>
    <w:rsid w:val="002B7701"/>
    <w:rsid w:val="002B7852"/>
    <w:rsid w:val="002B7B3D"/>
    <w:rsid w:val="002C16BC"/>
    <w:rsid w:val="002C2608"/>
    <w:rsid w:val="002C4B71"/>
    <w:rsid w:val="002C500C"/>
    <w:rsid w:val="002C53D0"/>
    <w:rsid w:val="002C557E"/>
    <w:rsid w:val="002C6056"/>
    <w:rsid w:val="002C737A"/>
    <w:rsid w:val="002D112E"/>
    <w:rsid w:val="002D1159"/>
    <w:rsid w:val="002D1745"/>
    <w:rsid w:val="002D1D86"/>
    <w:rsid w:val="002D28B1"/>
    <w:rsid w:val="002D2F60"/>
    <w:rsid w:val="002D3A48"/>
    <w:rsid w:val="002D432B"/>
    <w:rsid w:val="002D4DA4"/>
    <w:rsid w:val="002D6204"/>
    <w:rsid w:val="002D707E"/>
    <w:rsid w:val="002E03A0"/>
    <w:rsid w:val="002E0675"/>
    <w:rsid w:val="002E0A7E"/>
    <w:rsid w:val="002E0EED"/>
    <w:rsid w:val="002E2765"/>
    <w:rsid w:val="002E5018"/>
    <w:rsid w:val="002E506D"/>
    <w:rsid w:val="002E63A7"/>
    <w:rsid w:val="002E6C88"/>
    <w:rsid w:val="002F0DF6"/>
    <w:rsid w:val="002F12A9"/>
    <w:rsid w:val="002F1600"/>
    <w:rsid w:val="002F23B8"/>
    <w:rsid w:val="002F3A91"/>
    <w:rsid w:val="002F41BC"/>
    <w:rsid w:val="002F4EDD"/>
    <w:rsid w:val="002F635C"/>
    <w:rsid w:val="002F6F5F"/>
    <w:rsid w:val="00300215"/>
    <w:rsid w:val="00300E2F"/>
    <w:rsid w:val="003019A4"/>
    <w:rsid w:val="00303272"/>
    <w:rsid w:val="00303CF4"/>
    <w:rsid w:val="00304AF9"/>
    <w:rsid w:val="00304D43"/>
    <w:rsid w:val="0030521D"/>
    <w:rsid w:val="00305CB5"/>
    <w:rsid w:val="00306934"/>
    <w:rsid w:val="00310183"/>
    <w:rsid w:val="00312B80"/>
    <w:rsid w:val="003148DE"/>
    <w:rsid w:val="00315861"/>
    <w:rsid w:val="00315BFA"/>
    <w:rsid w:val="0031701A"/>
    <w:rsid w:val="00317DAF"/>
    <w:rsid w:val="00320500"/>
    <w:rsid w:val="00321E3D"/>
    <w:rsid w:val="003262BF"/>
    <w:rsid w:val="003304DB"/>
    <w:rsid w:val="00330B88"/>
    <w:rsid w:val="003320E0"/>
    <w:rsid w:val="00332EE2"/>
    <w:rsid w:val="00334DD3"/>
    <w:rsid w:val="003359E8"/>
    <w:rsid w:val="0033663A"/>
    <w:rsid w:val="00340014"/>
    <w:rsid w:val="00340703"/>
    <w:rsid w:val="00343303"/>
    <w:rsid w:val="0034365C"/>
    <w:rsid w:val="00343809"/>
    <w:rsid w:val="00344DDB"/>
    <w:rsid w:val="00345504"/>
    <w:rsid w:val="003467E9"/>
    <w:rsid w:val="0034740E"/>
    <w:rsid w:val="00347EC5"/>
    <w:rsid w:val="0035064F"/>
    <w:rsid w:val="00351C94"/>
    <w:rsid w:val="00351E7B"/>
    <w:rsid w:val="00352205"/>
    <w:rsid w:val="003526EC"/>
    <w:rsid w:val="00352C6E"/>
    <w:rsid w:val="0035728B"/>
    <w:rsid w:val="00360139"/>
    <w:rsid w:val="0036056B"/>
    <w:rsid w:val="00361C52"/>
    <w:rsid w:val="003623D6"/>
    <w:rsid w:val="00362FBD"/>
    <w:rsid w:val="003631C5"/>
    <w:rsid w:val="003638CE"/>
    <w:rsid w:val="00365BB6"/>
    <w:rsid w:val="00365E57"/>
    <w:rsid w:val="003673E9"/>
    <w:rsid w:val="00367ADD"/>
    <w:rsid w:val="00370C09"/>
    <w:rsid w:val="0037375F"/>
    <w:rsid w:val="00374D1A"/>
    <w:rsid w:val="00380515"/>
    <w:rsid w:val="00381F9D"/>
    <w:rsid w:val="003829D4"/>
    <w:rsid w:val="00384B49"/>
    <w:rsid w:val="00385C20"/>
    <w:rsid w:val="00385E3C"/>
    <w:rsid w:val="0038686F"/>
    <w:rsid w:val="00387B39"/>
    <w:rsid w:val="00387C4B"/>
    <w:rsid w:val="0039044A"/>
    <w:rsid w:val="00391146"/>
    <w:rsid w:val="0039293D"/>
    <w:rsid w:val="003929ED"/>
    <w:rsid w:val="00392FB5"/>
    <w:rsid w:val="00393981"/>
    <w:rsid w:val="00394526"/>
    <w:rsid w:val="00394DBC"/>
    <w:rsid w:val="003951DD"/>
    <w:rsid w:val="00395295"/>
    <w:rsid w:val="00395C91"/>
    <w:rsid w:val="00396116"/>
    <w:rsid w:val="003A05DE"/>
    <w:rsid w:val="003A07B2"/>
    <w:rsid w:val="003A3778"/>
    <w:rsid w:val="003A383B"/>
    <w:rsid w:val="003A3FDC"/>
    <w:rsid w:val="003A502E"/>
    <w:rsid w:val="003A5B9B"/>
    <w:rsid w:val="003B27CD"/>
    <w:rsid w:val="003B2A3B"/>
    <w:rsid w:val="003B3A37"/>
    <w:rsid w:val="003B4A6F"/>
    <w:rsid w:val="003B4E33"/>
    <w:rsid w:val="003B512B"/>
    <w:rsid w:val="003B5779"/>
    <w:rsid w:val="003B6212"/>
    <w:rsid w:val="003C06D8"/>
    <w:rsid w:val="003C0A97"/>
    <w:rsid w:val="003C3718"/>
    <w:rsid w:val="003C5CB1"/>
    <w:rsid w:val="003C6D44"/>
    <w:rsid w:val="003C6EA8"/>
    <w:rsid w:val="003C7057"/>
    <w:rsid w:val="003C77B8"/>
    <w:rsid w:val="003C7BE9"/>
    <w:rsid w:val="003D0AA6"/>
    <w:rsid w:val="003D2DBA"/>
    <w:rsid w:val="003D455C"/>
    <w:rsid w:val="003D5A22"/>
    <w:rsid w:val="003E0A71"/>
    <w:rsid w:val="003E268A"/>
    <w:rsid w:val="003E3513"/>
    <w:rsid w:val="003E4782"/>
    <w:rsid w:val="003E711C"/>
    <w:rsid w:val="003F272A"/>
    <w:rsid w:val="003F3DE3"/>
    <w:rsid w:val="003F509E"/>
    <w:rsid w:val="003F6D5D"/>
    <w:rsid w:val="003F74FA"/>
    <w:rsid w:val="003F7840"/>
    <w:rsid w:val="003F7EF6"/>
    <w:rsid w:val="004002D3"/>
    <w:rsid w:val="0040103F"/>
    <w:rsid w:val="004015F3"/>
    <w:rsid w:val="00401E56"/>
    <w:rsid w:val="00402A63"/>
    <w:rsid w:val="00402CC5"/>
    <w:rsid w:val="0040309E"/>
    <w:rsid w:val="00403124"/>
    <w:rsid w:val="004036EF"/>
    <w:rsid w:val="00403F94"/>
    <w:rsid w:val="004044FF"/>
    <w:rsid w:val="004048D3"/>
    <w:rsid w:val="0040641A"/>
    <w:rsid w:val="004071A9"/>
    <w:rsid w:val="00407B07"/>
    <w:rsid w:val="004101AD"/>
    <w:rsid w:val="00411732"/>
    <w:rsid w:val="004117B1"/>
    <w:rsid w:val="0041215D"/>
    <w:rsid w:val="00412D21"/>
    <w:rsid w:val="00413BE5"/>
    <w:rsid w:val="00414097"/>
    <w:rsid w:val="004141FF"/>
    <w:rsid w:val="004150FA"/>
    <w:rsid w:val="00415F35"/>
    <w:rsid w:val="00416B13"/>
    <w:rsid w:val="00416CB0"/>
    <w:rsid w:val="004173B9"/>
    <w:rsid w:val="0042000C"/>
    <w:rsid w:val="00420263"/>
    <w:rsid w:val="00420C95"/>
    <w:rsid w:val="00421960"/>
    <w:rsid w:val="00421A9A"/>
    <w:rsid w:val="00424620"/>
    <w:rsid w:val="004271AB"/>
    <w:rsid w:val="004274BF"/>
    <w:rsid w:val="004308E0"/>
    <w:rsid w:val="0043230F"/>
    <w:rsid w:val="004349E6"/>
    <w:rsid w:val="00437D25"/>
    <w:rsid w:val="004409AE"/>
    <w:rsid w:val="0044172A"/>
    <w:rsid w:val="0044178A"/>
    <w:rsid w:val="00441C6D"/>
    <w:rsid w:val="004447F6"/>
    <w:rsid w:val="00444907"/>
    <w:rsid w:val="00446120"/>
    <w:rsid w:val="00447028"/>
    <w:rsid w:val="00451714"/>
    <w:rsid w:val="0045317A"/>
    <w:rsid w:val="00453C23"/>
    <w:rsid w:val="004540FC"/>
    <w:rsid w:val="00454223"/>
    <w:rsid w:val="00454B58"/>
    <w:rsid w:val="00454F4A"/>
    <w:rsid w:val="00455EBB"/>
    <w:rsid w:val="00456722"/>
    <w:rsid w:val="00460083"/>
    <w:rsid w:val="00461864"/>
    <w:rsid w:val="004620A3"/>
    <w:rsid w:val="00462DD2"/>
    <w:rsid w:val="00464B15"/>
    <w:rsid w:val="00465973"/>
    <w:rsid w:val="0046609A"/>
    <w:rsid w:val="004676D9"/>
    <w:rsid w:val="004711DE"/>
    <w:rsid w:val="00471EBA"/>
    <w:rsid w:val="004736AB"/>
    <w:rsid w:val="00475776"/>
    <w:rsid w:val="0047762C"/>
    <w:rsid w:val="004777A9"/>
    <w:rsid w:val="00477A24"/>
    <w:rsid w:val="00480EC1"/>
    <w:rsid w:val="00482DD6"/>
    <w:rsid w:val="00482FA1"/>
    <w:rsid w:val="00484AC1"/>
    <w:rsid w:val="00487B37"/>
    <w:rsid w:val="00494FE0"/>
    <w:rsid w:val="00495EA9"/>
    <w:rsid w:val="00496C67"/>
    <w:rsid w:val="004A13DE"/>
    <w:rsid w:val="004A1EDE"/>
    <w:rsid w:val="004A5D5E"/>
    <w:rsid w:val="004A5E0C"/>
    <w:rsid w:val="004A705A"/>
    <w:rsid w:val="004A7B78"/>
    <w:rsid w:val="004A7D0E"/>
    <w:rsid w:val="004B0253"/>
    <w:rsid w:val="004B04FA"/>
    <w:rsid w:val="004B0DBE"/>
    <w:rsid w:val="004B14E5"/>
    <w:rsid w:val="004B2A69"/>
    <w:rsid w:val="004B5A31"/>
    <w:rsid w:val="004B6506"/>
    <w:rsid w:val="004B7710"/>
    <w:rsid w:val="004B79EF"/>
    <w:rsid w:val="004C127B"/>
    <w:rsid w:val="004C149F"/>
    <w:rsid w:val="004C29A6"/>
    <w:rsid w:val="004C447D"/>
    <w:rsid w:val="004C5729"/>
    <w:rsid w:val="004C5BC7"/>
    <w:rsid w:val="004C5DE9"/>
    <w:rsid w:val="004D148D"/>
    <w:rsid w:val="004D36EA"/>
    <w:rsid w:val="004E012F"/>
    <w:rsid w:val="004E0ECB"/>
    <w:rsid w:val="004E2CCB"/>
    <w:rsid w:val="004E5989"/>
    <w:rsid w:val="004E5B51"/>
    <w:rsid w:val="004E6267"/>
    <w:rsid w:val="004E7E43"/>
    <w:rsid w:val="004F06EE"/>
    <w:rsid w:val="004F322D"/>
    <w:rsid w:val="004F3ECB"/>
    <w:rsid w:val="004F5D0D"/>
    <w:rsid w:val="004F7606"/>
    <w:rsid w:val="004F76D8"/>
    <w:rsid w:val="004F7AF2"/>
    <w:rsid w:val="00500463"/>
    <w:rsid w:val="00501C7F"/>
    <w:rsid w:val="0050594B"/>
    <w:rsid w:val="00511C2F"/>
    <w:rsid w:val="00511FCD"/>
    <w:rsid w:val="00512269"/>
    <w:rsid w:val="0051338C"/>
    <w:rsid w:val="00513727"/>
    <w:rsid w:val="00513FB0"/>
    <w:rsid w:val="00514E1A"/>
    <w:rsid w:val="0052045A"/>
    <w:rsid w:val="00521996"/>
    <w:rsid w:val="00521E5B"/>
    <w:rsid w:val="00523012"/>
    <w:rsid w:val="00523FB5"/>
    <w:rsid w:val="005246A6"/>
    <w:rsid w:val="0052541C"/>
    <w:rsid w:val="00530571"/>
    <w:rsid w:val="00531673"/>
    <w:rsid w:val="00531B45"/>
    <w:rsid w:val="00534E86"/>
    <w:rsid w:val="00534ED5"/>
    <w:rsid w:val="00535DF4"/>
    <w:rsid w:val="00535FB5"/>
    <w:rsid w:val="0053613B"/>
    <w:rsid w:val="00536DF4"/>
    <w:rsid w:val="0053735F"/>
    <w:rsid w:val="0054048D"/>
    <w:rsid w:val="00541635"/>
    <w:rsid w:val="00545A4A"/>
    <w:rsid w:val="00547391"/>
    <w:rsid w:val="00547DE2"/>
    <w:rsid w:val="00550A64"/>
    <w:rsid w:val="00550F5C"/>
    <w:rsid w:val="00551C1B"/>
    <w:rsid w:val="00552295"/>
    <w:rsid w:val="0055257E"/>
    <w:rsid w:val="00553F59"/>
    <w:rsid w:val="005542EE"/>
    <w:rsid w:val="005549D4"/>
    <w:rsid w:val="00556444"/>
    <w:rsid w:val="005576B9"/>
    <w:rsid w:val="00561C44"/>
    <w:rsid w:val="00562A05"/>
    <w:rsid w:val="00563818"/>
    <w:rsid w:val="00563901"/>
    <w:rsid w:val="00564453"/>
    <w:rsid w:val="00564929"/>
    <w:rsid w:val="005667F0"/>
    <w:rsid w:val="0056698B"/>
    <w:rsid w:val="00567474"/>
    <w:rsid w:val="005676F8"/>
    <w:rsid w:val="00567713"/>
    <w:rsid w:val="005716E0"/>
    <w:rsid w:val="00571B96"/>
    <w:rsid w:val="00572FD7"/>
    <w:rsid w:val="00573A12"/>
    <w:rsid w:val="0057476F"/>
    <w:rsid w:val="00574FA8"/>
    <w:rsid w:val="00575A44"/>
    <w:rsid w:val="00575C9A"/>
    <w:rsid w:val="00576A8C"/>
    <w:rsid w:val="005777E2"/>
    <w:rsid w:val="00577EF3"/>
    <w:rsid w:val="00581A12"/>
    <w:rsid w:val="00582753"/>
    <w:rsid w:val="00583D21"/>
    <w:rsid w:val="00584AEA"/>
    <w:rsid w:val="00585B8B"/>
    <w:rsid w:val="00587AB0"/>
    <w:rsid w:val="00590649"/>
    <w:rsid w:val="00590864"/>
    <w:rsid w:val="00590FBC"/>
    <w:rsid w:val="005910C6"/>
    <w:rsid w:val="00591A96"/>
    <w:rsid w:val="00592962"/>
    <w:rsid w:val="00595677"/>
    <w:rsid w:val="00595C23"/>
    <w:rsid w:val="00596CE7"/>
    <w:rsid w:val="00597552"/>
    <w:rsid w:val="00597B3C"/>
    <w:rsid w:val="005A0359"/>
    <w:rsid w:val="005A17EB"/>
    <w:rsid w:val="005A1E60"/>
    <w:rsid w:val="005A28CF"/>
    <w:rsid w:val="005B187A"/>
    <w:rsid w:val="005B25C3"/>
    <w:rsid w:val="005B5044"/>
    <w:rsid w:val="005B55FA"/>
    <w:rsid w:val="005B72F2"/>
    <w:rsid w:val="005C04DD"/>
    <w:rsid w:val="005C0B51"/>
    <w:rsid w:val="005C1261"/>
    <w:rsid w:val="005C1528"/>
    <w:rsid w:val="005C3B55"/>
    <w:rsid w:val="005C412E"/>
    <w:rsid w:val="005C6017"/>
    <w:rsid w:val="005D01F9"/>
    <w:rsid w:val="005D0F35"/>
    <w:rsid w:val="005D1022"/>
    <w:rsid w:val="005D1733"/>
    <w:rsid w:val="005D3650"/>
    <w:rsid w:val="005D3C70"/>
    <w:rsid w:val="005D4804"/>
    <w:rsid w:val="005D48D3"/>
    <w:rsid w:val="005D4D5B"/>
    <w:rsid w:val="005D6352"/>
    <w:rsid w:val="005D66CE"/>
    <w:rsid w:val="005E1AAD"/>
    <w:rsid w:val="005E223E"/>
    <w:rsid w:val="005E4094"/>
    <w:rsid w:val="005E56AC"/>
    <w:rsid w:val="005E64D2"/>
    <w:rsid w:val="005E687E"/>
    <w:rsid w:val="005E6891"/>
    <w:rsid w:val="005E6D8C"/>
    <w:rsid w:val="005F0039"/>
    <w:rsid w:val="005F0231"/>
    <w:rsid w:val="005F30EC"/>
    <w:rsid w:val="005F397D"/>
    <w:rsid w:val="005F46A4"/>
    <w:rsid w:val="005F47EB"/>
    <w:rsid w:val="005F5199"/>
    <w:rsid w:val="005F52C0"/>
    <w:rsid w:val="005F7756"/>
    <w:rsid w:val="005F7BD0"/>
    <w:rsid w:val="00601D17"/>
    <w:rsid w:val="00601F41"/>
    <w:rsid w:val="006032C4"/>
    <w:rsid w:val="00603361"/>
    <w:rsid w:val="00603899"/>
    <w:rsid w:val="00607A92"/>
    <w:rsid w:val="00607C60"/>
    <w:rsid w:val="00610035"/>
    <w:rsid w:val="0061005E"/>
    <w:rsid w:val="00610304"/>
    <w:rsid w:val="006107C5"/>
    <w:rsid w:val="00611166"/>
    <w:rsid w:val="00611F66"/>
    <w:rsid w:val="0061232B"/>
    <w:rsid w:val="006131C2"/>
    <w:rsid w:val="00614354"/>
    <w:rsid w:val="00615D28"/>
    <w:rsid w:val="006167BC"/>
    <w:rsid w:val="00616834"/>
    <w:rsid w:val="00616C9D"/>
    <w:rsid w:val="00616E44"/>
    <w:rsid w:val="00617586"/>
    <w:rsid w:val="006200FD"/>
    <w:rsid w:val="006202D1"/>
    <w:rsid w:val="006203A8"/>
    <w:rsid w:val="00620FA5"/>
    <w:rsid w:val="006210F3"/>
    <w:rsid w:val="00622C47"/>
    <w:rsid w:val="00622FB3"/>
    <w:rsid w:val="0062326F"/>
    <w:rsid w:val="00623B9F"/>
    <w:rsid w:val="00624258"/>
    <w:rsid w:val="00624CD8"/>
    <w:rsid w:val="0062553F"/>
    <w:rsid w:val="00625B0C"/>
    <w:rsid w:val="006267E5"/>
    <w:rsid w:val="00626D51"/>
    <w:rsid w:val="00630A2B"/>
    <w:rsid w:val="00631D80"/>
    <w:rsid w:val="00631F41"/>
    <w:rsid w:val="006326C6"/>
    <w:rsid w:val="0063371D"/>
    <w:rsid w:val="00633985"/>
    <w:rsid w:val="00633FF2"/>
    <w:rsid w:val="0063487E"/>
    <w:rsid w:val="00634917"/>
    <w:rsid w:val="00635C97"/>
    <w:rsid w:val="00637262"/>
    <w:rsid w:val="0063763C"/>
    <w:rsid w:val="0063776E"/>
    <w:rsid w:val="00641520"/>
    <w:rsid w:val="00641B73"/>
    <w:rsid w:val="006420A7"/>
    <w:rsid w:val="00642B07"/>
    <w:rsid w:val="0064370E"/>
    <w:rsid w:val="00643851"/>
    <w:rsid w:val="006454FD"/>
    <w:rsid w:val="00645637"/>
    <w:rsid w:val="006460A9"/>
    <w:rsid w:val="00646D2A"/>
    <w:rsid w:val="006472D6"/>
    <w:rsid w:val="00650448"/>
    <w:rsid w:val="00650FD1"/>
    <w:rsid w:val="00651508"/>
    <w:rsid w:val="006517A5"/>
    <w:rsid w:val="0065189B"/>
    <w:rsid w:val="00653110"/>
    <w:rsid w:val="00654EF7"/>
    <w:rsid w:val="00655737"/>
    <w:rsid w:val="00656368"/>
    <w:rsid w:val="006563F7"/>
    <w:rsid w:val="00660EA9"/>
    <w:rsid w:val="00663D36"/>
    <w:rsid w:val="006656DE"/>
    <w:rsid w:val="006661EC"/>
    <w:rsid w:val="00671235"/>
    <w:rsid w:val="006721B9"/>
    <w:rsid w:val="006735C6"/>
    <w:rsid w:val="00675272"/>
    <w:rsid w:val="00676DFA"/>
    <w:rsid w:val="006773F7"/>
    <w:rsid w:val="00677A86"/>
    <w:rsid w:val="00684340"/>
    <w:rsid w:val="0068438D"/>
    <w:rsid w:val="0068561A"/>
    <w:rsid w:val="00685701"/>
    <w:rsid w:val="00685A03"/>
    <w:rsid w:val="00685FAC"/>
    <w:rsid w:val="00687032"/>
    <w:rsid w:val="00687270"/>
    <w:rsid w:val="006910F5"/>
    <w:rsid w:val="006915F8"/>
    <w:rsid w:val="00691A55"/>
    <w:rsid w:val="00692B67"/>
    <w:rsid w:val="00694D3D"/>
    <w:rsid w:val="006953CE"/>
    <w:rsid w:val="0069589D"/>
    <w:rsid w:val="006970A7"/>
    <w:rsid w:val="0069716A"/>
    <w:rsid w:val="00697DD5"/>
    <w:rsid w:val="006A0D2C"/>
    <w:rsid w:val="006A1CA6"/>
    <w:rsid w:val="006A40D1"/>
    <w:rsid w:val="006A4D18"/>
    <w:rsid w:val="006A52C8"/>
    <w:rsid w:val="006A6819"/>
    <w:rsid w:val="006A7CC8"/>
    <w:rsid w:val="006B0E54"/>
    <w:rsid w:val="006B1659"/>
    <w:rsid w:val="006B1BE4"/>
    <w:rsid w:val="006B3B19"/>
    <w:rsid w:val="006B64F9"/>
    <w:rsid w:val="006C02DB"/>
    <w:rsid w:val="006C0D5C"/>
    <w:rsid w:val="006C1F49"/>
    <w:rsid w:val="006C3846"/>
    <w:rsid w:val="006C3B65"/>
    <w:rsid w:val="006C4277"/>
    <w:rsid w:val="006C567F"/>
    <w:rsid w:val="006C56BE"/>
    <w:rsid w:val="006D011F"/>
    <w:rsid w:val="006D0C61"/>
    <w:rsid w:val="006D12D3"/>
    <w:rsid w:val="006D19F9"/>
    <w:rsid w:val="006D2701"/>
    <w:rsid w:val="006D45F9"/>
    <w:rsid w:val="006D735F"/>
    <w:rsid w:val="006E06EC"/>
    <w:rsid w:val="006E22B5"/>
    <w:rsid w:val="006E2C2F"/>
    <w:rsid w:val="006E3B7D"/>
    <w:rsid w:val="006E43DF"/>
    <w:rsid w:val="006E5AA3"/>
    <w:rsid w:val="006E788A"/>
    <w:rsid w:val="006E7D1F"/>
    <w:rsid w:val="006F021F"/>
    <w:rsid w:val="006F30A2"/>
    <w:rsid w:val="006F47FE"/>
    <w:rsid w:val="006F5930"/>
    <w:rsid w:val="006F66D2"/>
    <w:rsid w:val="006F6B73"/>
    <w:rsid w:val="006F6EEE"/>
    <w:rsid w:val="006F71DB"/>
    <w:rsid w:val="006F7EA5"/>
    <w:rsid w:val="006F7FDA"/>
    <w:rsid w:val="00700112"/>
    <w:rsid w:val="00701594"/>
    <w:rsid w:val="007015B9"/>
    <w:rsid w:val="00703A97"/>
    <w:rsid w:val="00705A33"/>
    <w:rsid w:val="00707D7C"/>
    <w:rsid w:val="00711A52"/>
    <w:rsid w:val="00713DC2"/>
    <w:rsid w:val="00713E01"/>
    <w:rsid w:val="007147E3"/>
    <w:rsid w:val="007164E4"/>
    <w:rsid w:val="00717928"/>
    <w:rsid w:val="00717F1F"/>
    <w:rsid w:val="0072019E"/>
    <w:rsid w:val="007210D8"/>
    <w:rsid w:val="00721D43"/>
    <w:rsid w:val="00724BED"/>
    <w:rsid w:val="00725822"/>
    <w:rsid w:val="007259C7"/>
    <w:rsid w:val="00726B05"/>
    <w:rsid w:val="00727BD2"/>
    <w:rsid w:val="00730563"/>
    <w:rsid w:val="0073074A"/>
    <w:rsid w:val="00731023"/>
    <w:rsid w:val="00731380"/>
    <w:rsid w:val="00731872"/>
    <w:rsid w:val="0073339E"/>
    <w:rsid w:val="00733828"/>
    <w:rsid w:val="007338E1"/>
    <w:rsid w:val="00733AD5"/>
    <w:rsid w:val="00733DD2"/>
    <w:rsid w:val="00736531"/>
    <w:rsid w:val="00737A84"/>
    <w:rsid w:val="0074117F"/>
    <w:rsid w:val="00741301"/>
    <w:rsid w:val="00741F5F"/>
    <w:rsid w:val="00743ACB"/>
    <w:rsid w:val="0074436E"/>
    <w:rsid w:val="007450CA"/>
    <w:rsid w:val="007464AA"/>
    <w:rsid w:val="00746E61"/>
    <w:rsid w:val="0075268F"/>
    <w:rsid w:val="007533F9"/>
    <w:rsid w:val="0075397B"/>
    <w:rsid w:val="00754BE3"/>
    <w:rsid w:val="00756A2C"/>
    <w:rsid w:val="00756C1A"/>
    <w:rsid w:val="00756D79"/>
    <w:rsid w:val="0075750D"/>
    <w:rsid w:val="00757826"/>
    <w:rsid w:val="00757C47"/>
    <w:rsid w:val="00761DF0"/>
    <w:rsid w:val="00762A41"/>
    <w:rsid w:val="00762F6A"/>
    <w:rsid w:val="007630B5"/>
    <w:rsid w:val="00763527"/>
    <w:rsid w:val="00764A7F"/>
    <w:rsid w:val="00765E6B"/>
    <w:rsid w:val="00766781"/>
    <w:rsid w:val="007671CE"/>
    <w:rsid w:val="00767F6A"/>
    <w:rsid w:val="00770760"/>
    <w:rsid w:val="007709FE"/>
    <w:rsid w:val="007711D6"/>
    <w:rsid w:val="00774512"/>
    <w:rsid w:val="0077709E"/>
    <w:rsid w:val="007773F1"/>
    <w:rsid w:val="007804A2"/>
    <w:rsid w:val="00781983"/>
    <w:rsid w:val="00781B79"/>
    <w:rsid w:val="00783FD2"/>
    <w:rsid w:val="00784350"/>
    <w:rsid w:val="00784415"/>
    <w:rsid w:val="00790ABC"/>
    <w:rsid w:val="00791263"/>
    <w:rsid w:val="00791412"/>
    <w:rsid w:val="00791D8B"/>
    <w:rsid w:val="00791E7F"/>
    <w:rsid w:val="00792F7F"/>
    <w:rsid w:val="00794449"/>
    <w:rsid w:val="00794A38"/>
    <w:rsid w:val="00794A86"/>
    <w:rsid w:val="00795356"/>
    <w:rsid w:val="007965B4"/>
    <w:rsid w:val="00796C8B"/>
    <w:rsid w:val="00797D5C"/>
    <w:rsid w:val="00797DB7"/>
    <w:rsid w:val="007A0131"/>
    <w:rsid w:val="007A2E4B"/>
    <w:rsid w:val="007A3B19"/>
    <w:rsid w:val="007A3E8C"/>
    <w:rsid w:val="007A41D1"/>
    <w:rsid w:val="007A4DA3"/>
    <w:rsid w:val="007A509D"/>
    <w:rsid w:val="007A5CB1"/>
    <w:rsid w:val="007A6BD2"/>
    <w:rsid w:val="007A7586"/>
    <w:rsid w:val="007B0303"/>
    <w:rsid w:val="007B0C69"/>
    <w:rsid w:val="007B0FED"/>
    <w:rsid w:val="007B4C26"/>
    <w:rsid w:val="007B5039"/>
    <w:rsid w:val="007B69A2"/>
    <w:rsid w:val="007C06AE"/>
    <w:rsid w:val="007C1157"/>
    <w:rsid w:val="007C1DB8"/>
    <w:rsid w:val="007C2CB0"/>
    <w:rsid w:val="007C76EA"/>
    <w:rsid w:val="007D1E33"/>
    <w:rsid w:val="007D2177"/>
    <w:rsid w:val="007D2BA7"/>
    <w:rsid w:val="007D38A6"/>
    <w:rsid w:val="007D54D4"/>
    <w:rsid w:val="007D61D9"/>
    <w:rsid w:val="007D66B3"/>
    <w:rsid w:val="007E0B29"/>
    <w:rsid w:val="007E2703"/>
    <w:rsid w:val="007E5474"/>
    <w:rsid w:val="007E58C0"/>
    <w:rsid w:val="007E58F4"/>
    <w:rsid w:val="007E6781"/>
    <w:rsid w:val="007E73D1"/>
    <w:rsid w:val="007F04CE"/>
    <w:rsid w:val="007F1B4F"/>
    <w:rsid w:val="007F2930"/>
    <w:rsid w:val="007F2C07"/>
    <w:rsid w:val="007F5909"/>
    <w:rsid w:val="007F605D"/>
    <w:rsid w:val="007F6F2A"/>
    <w:rsid w:val="007F6F39"/>
    <w:rsid w:val="007F7328"/>
    <w:rsid w:val="00802B6E"/>
    <w:rsid w:val="008035C7"/>
    <w:rsid w:val="008041AF"/>
    <w:rsid w:val="0080570D"/>
    <w:rsid w:val="00806613"/>
    <w:rsid w:val="00806D11"/>
    <w:rsid w:val="0080744D"/>
    <w:rsid w:val="00807B61"/>
    <w:rsid w:val="00810118"/>
    <w:rsid w:val="0081101D"/>
    <w:rsid w:val="008127BE"/>
    <w:rsid w:val="00815AEC"/>
    <w:rsid w:val="008176CC"/>
    <w:rsid w:val="00820DC0"/>
    <w:rsid w:val="00822CB5"/>
    <w:rsid w:val="008259FE"/>
    <w:rsid w:val="00826508"/>
    <w:rsid w:val="00826976"/>
    <w:rsid w:val="008311E5"/>
    <w:rsid w:val="008320B0"/>
    <w:rsid w:val="008325B3"/>
    <w:rsid w:val="00832B42"/>
    <w:rsid w:val="00834844"/>
    <w:rsid w:val="00835D3A"/>
    <w:rsid w:val="00836569"/>
    <w:rsid w:val="00841C8E"/>
    <w:rsid w:val="00842C95"/>
    <w:rsid w:val="00843F6E"/>
    <w:rsid w:val="0084538F"/>
    <w:rsid w:val="00845786"/>
    <w:rsid w:val="0084614C"/>
    <w:rsid w:val="008465CD"/>
    <w:rsid w:val="00850146"/>
    <w:rsid w:val="008529C0"/>
    <w:rsid w:val="00853196"/>
    <w:rsid w:val="00854080"/>
    <w:rsid w:val="008544DD"/>
    <w:rsid w:val="00854CC8"/>
    <w:rsid w:val="0085613B"/>
    <w:rsid w:val="00857840"/>
    <w:rsid w:val="00860014"/>
    <w:rsid w:val="00860300"/>
    <w:rsid w:val="00861437"/>
    <w:rsid w:val="00861D7B"/>
    <w:rsid w:val="00862C62"/>
    <w:rsid w:val="00864554"/>
    <w:rsid w:val="008665E9"/>
    <w:rsid w:val="008705B8"/>
    <w:rsid w:val="008706D0"/>
    <w:rsid w:val="00870C4B"/>
    <w:rsid w:val="00871109"/>
    <w:rsid w:val="0087254C"/>
    <w:rsid w:val="008726E6"/>
    <w:rsid w:val="00872EB1"/>
    <w:rsid w:val="00874767"/>
    <w:rsid w:val="00875758"/>
    <w:rsid w:val="00875B6F"/>
    <w:rsid w:val="00875C0E"/>
    <w:rsid w:val="00876949"/>
    <w:rsid w:val="00877014"/>
    <w:rsid w:val="008772FF"/>
    <w:rsid w:val="008773CE"/>
    <w:rsid w:val="00877443"/>
    <w:rsid w:val="00880FB5"/>
    <w:rsid w:val="00881E68"/>
    <w:rsid w:val="00882016"/>
    <w:rsid w:val="0088216B"/>
    <w:rsid w:val="008823F1"/>
    <w:rsid w:val="00885AAB"/>
    <w:rsid w:val="00886F92"/>
    <w:rsid w:val="00887E2E"/>
    <w:rsid w:val="0089099D"/>
    <w:rsid w:val="00891B29"/>
    <w:rsid w:val="008947D1"/>
    <w:rsid w:val="008A15A8"/>
    <w:rsid w:val="008A1DFC"/>
    <w:rsid w:val="008A48CA"/>
    <w:rsid w:val="008A5984"/>
    <w:rsid w:val="008B0591"/>
    <w:rsid w:val="008B0846"/>
    <w:rsid w:val="008B2D03"/>
    <w:rsid w:val="008B3BD9"/>
    <w:rsid w:val="008B4550"/>
    <w:rsid w:val="008B4AA8"/>
    <w:rsid w:val="008B53B2"/>
    <w:rsid w:val="008B661E"/>
    <w:rsid w:val="008B66E4"/>
    <w:rsid w:val="008B7663"/>
    <w:rsid w:val="008B79BD"/>
    <w:rsid w:val="008C3703"/>
    <w:rsid w:val="008C5F77"/>
    <w:rsid w:val="008C7749"/>
    <w:rsid w:val="008C7CC0"/>
    <w:rsid w:val="008C7FE5"/>
    <w:rsid w:val="008D0E8D"/>
    <w:rsid w:val="008D2C02"/>
    <w:rsid w:val="008D5124"/>
    <w:rsid w:val="008D5537"/>
    <w:rsid w:val="008D6724"/>
    <w:rsid w:val="008D76A7"/>
    <w:rsid w:val="008D7F75"/>
    <w:rsid w:val="008E0AAB"/>
    <w:rsid w:val="008E0D64"/>
    <w:rsid w:val="008E269A"/>
    <w:rsid w:val="008E2E1D"/>
    <w:rsid w:val="008E30B8"/>
    <w:rsid w:val="008E446A"/>
    <w:rsid w:val="008E5C1F"/>
    <w:rsid w:val="008F0233"/>
    <w:rsid w:val="008F36B5"/>
    <w:rsid w:val="008F442A"/>
    <w:rsid w:val="008F44EF"/>
    <w:rsid w:val="008F53EF"/>
    <w:rsid w:val="008F6CAE"/>
    <w:rsid w:val="008F6EC8"/>
    <w:rsid w:val="008F7332"/>
    <w:rsid w:val="008F792E"/>
    <w:rsid w:val="009027BC"/>
    <w:rsid w:val="00903AE2"/>
    <w:rsid w:val="0090702A"/>
    <w:rsid w:val="009072AB"/>
    <w:rsid w:val="00910032"/>
    <w:rsid w:val="0091125E"/>
    <w:rsid w:val="009154F5"/>
    <w:rsid w:val="00915552"/>
    <w:rsid w:val="009160F8"/>
    <w:rsid w:val="0092088B"/>
    <w:rsid w:val="00920BC9"/>
    <w:rsid w:val="00920DDF"/>
    <w:rsid w:val="00922EF6"/>
    <w:rsid w:val="00923068"/>
    <w:rsid w:val="00927B3D"/>
    <w:rsid w:val="00927C18"/>
    <w:rsid w:val="009311DD"/>
    <w:rsid w:val="00931865"/>
    <w:rsid w:val="00931B0D"/>
    <w:rsid w:val="00933062"/>
    <w:rsid w:val="009331B7"/>
    <w:rsid w:val="00937A05"/>
    <w:rsid w:val="00941609"/>
    <w:rsid w:val="0094397D"/>
    <w:rsid w:val="00944425"/>
    <w:rsid w:val="009447DC"/>
    <w:rsid w:val="009458D9"/>
    <w:rsid w:val="009459E2"/>
    <w:rsid w:val="00946C6C"/>
    <w:rsid w:val="00946EB6"/>
    <w:rsid w:val="00950506"/>
    <w:rsid w:val="00951A41"/>
    <w:rsid w:val="00951A80"/>
    <w:rsid w:val="00952033"/>
    <w:rsid w:val="00954657"/>
    <w:rsid w:val="009560C2"/>
    <w:rsid w:val="00956DF7"/>
    <w:rsid w:val="00957267"/>
    <w:rsid w:val="00957B40"/>
    <w:rsid w:val="00963906"/>
    <w:rsid w:val="00963D30"/>
    <w:rsid w:val="009647A1"/>
    <w:rsid w:val="00965280"/>
    <w:rsid w:val="00965E26"/>
    <w:rsid w:val="009665C6"/>
    <w:rsid w:val="00966AC5"/>
    <w:rsid w:val="00971442"/>
    <w:rsid w:val="009722B3"/>
    <w:rsid w:val="00973FA0"/>
    <w:rsid w:val="009742A9"/>
    <w:rsid w:val="009771EF"/>
    <w:rsid w:val="009805B4"/>
    <w:rsid w:val="00980A11"/>
    <w:rsid w:val="00982A8D"/>
    <w:rsid w:val="00983565"/>
    <w:rsid w:val="00983B24"/>
    <w:rsid w:val="00984895"/>
    <w:rsid w:val="0098697A"/>
    <w:rsid w:val="00986A70"/>
    <w:rsid w:val="00987F33"/>
    <w:rsid w:val="00990D87"/>
    <w:rsid w:val="009918A5"/>
    <w:rsid w:val="0099297F"/>
    <w:rsid w:val="009967F5"/>
    <w:rsid w:val="00996ABE"/>
    <w:rsid w:val="009A00D0"/>
    <w:rsid w:val="009A4834"/>
    <w:rsid w:val="009A4EE0"/>
    <w:rsid w:val="009A6942"/>
    <w:rsid w:val="009A6C88"/>
    <w:rsid w:val="009A720C"/>
    <w:rsid w:val="009B27BA"/>
    <w:rsid w:val="009B287A"/>
    <w:rsid w:val="009B48AB"/>
    <w:rsid w:val="009B4AEB"/>
    <w:rsid w:val="009B5304"/>
    <w:rsid w:val="009B5DA7"/>
    <w:rsid w:val="009B6FD0"/>
    <w:rsid w:val="009B74CC"/>
    <w:rsid w:val="009C04ED"/>
    <w:rsid w:val="009C12A7"/>
    <w:rsid w:val="009C1C9F"/>
    <w:rsid w:val="009C380C"/>
    <w:rsid w:val="009C4669"/>
    <w:rsid w:val="009C5615"/>
    <w:rsid w:val="009C5E1C"/>
    <w:rsid w:val="009C6A14"/>
    <w:rsid w:val="009C760C"/>
    <w:rsid w:val="009D0245"/>
    <w:rsid w:val="009D0253"/>
    <w:rsid w:val="009D0420"/>
    <w:rsid w:val="009D26C0"/>
    <w:rsid w:val="009D2ABA"/>
    <w:rsid w:val="009D2ECB"/>
    <w:rsid w:val="009D3582"/>
    <w:rsid w:val="009D6D5C"/>
    <w:rsid w:val="009D6E03"/>
    <w:rsid w:val="009E026B"/>
    <w:rsid w:val="009E04E1"/>
    <w:rsid w:val="009E19A6"/>
    <w:rsid w:val="009E1B59"/>
    <w:rsid w:val="009E1FF2"/>
    <w:rsid w:val="009E2915"/>
    <w:rsid w:val="009E6413"/>
    <w:rsid w:val="009F1568"/>
    <w:rsid w:val="009F16BD"/>
    <w:rsid w:val="009F22EA"/>
    <w:rsid w:val="009F2949"/>
    <w:rsid w:val="009F3A32"/>
    <w:rsid w:val="009F485A"/>
    <w:rsid w:val="009F729B"/>
    <w:rsid w:val="009F74FF"/>
    <w:rsid w:val="009F776C"/>
    <w:rsid w:val="00A0054E"/>
    <w:rsid w:val="00A01251"/>
    <w:rsid w:val="00A014ED"/>
    <w:rsid w:val="00A016B4"/>
    <w:rsid w:val="00A02388"/>
    <w:rsid w:val="00A02870"/>
    <w:rsid w:val="00A051FF"/>
    <w:rsid w:val="00A06E87"/>
    <w:rsid w:val="00A06E96"/>
    <w:rsid w:val="00A07D0C"/>
    <w:rsid w:val="00A07EAC"/>
    <w:rsid w:val="00A1032B"/>
    <w:rsid w:val="00A10C0E"/>
    <w:rsid w:val="00A1156D"/>
    <w:rsid w:val="00A1196A"/>
    <w:rsid w:val="00A127A1"/>
    <w:rsid w:val="00A12ED1"/>
    <w:rsid w:val="00A1389C"/>
    <w:rsid w:val="00A15F39"/>
    <w:rsid w:val="00A15FE7"/>
    <w:rsid w:val="00A20432"/>
    <w:rsid w:val="00A20759"/>
    <w:rsid w:val="00A2128E"/>
    <w:rsid w:val="00A213A8"/>
    <w:rsid w:val="00A21C11"/>
    <w:rsid w:val="00A22473"/>
    <w:rsid w:val="00A23FCC"/>
    <w:rsid w:val="00A250BE"/>
    <w:rsid w:val="00A263D0"/>
    <w:rsid w:val="00A30287"/>
    <w:rsid w:val="00A3062F"/>
    <w:rsid w:val="00A31DD2"/>
    <w:rsid w:val="00A33F21"/>
    <w:rsid w:val="00A346FC"/>
    <w:rsid w:val="00A36DBB"/>
    <w:rsid w:val="00A378A8"/>
    <w:rsid w:val="00A4061E"/>
    <w:rsid w:val="00A40AE5"/>
    <w:rsid w:val="00A4205E"/>
    <w:rsid w:val="00A42459"/>
    <w:rsid w:val="00A42482"/>
    <w:rsid w:val="00A426A7"/>
    <w:rsid w:val="00A4394D"/>
    <w:rsid w:val="00A45ADF"/>
    <w:rsid w:val="00A47B6C"/>
    <w:rsid w:val="00A53939"/>
    <w:rsid w:val="00A5482F"/>
    <w:rsid w:val="00A54F7B"/>
    <w:rsid w:val="00A5536C"/>
    <w:rsid w:val="00A560DF"/>
    <w:rsid w:val="00A56FA0"/>
    <w:rsid w:val="00A60421"/>
    <w:rsid w:val="00A60656"/>
    <w:rsid w:val="00A60F42"/>
    <w:rsid w:val="00A632DA"/>
    <w:rsid w:val="00A65F45"/>
    <w:rsid w:val="00A667AD"/>
    <w:rsid w:val="00A66BAF"/>
    <w:rsid w:val="00A6764E"/>
    <w:rsid w:val="00A708FD"/>
    <w:rsid w:val="00A72CC7"/>
    <w:rsid w:val="00A72CDE"/>
    <w:rsid w:val="00A75295"/>
    <w:rsid w:val="00A75A84"/>
    <w:rsid w:val="00A769B8"/>
    <w:rsid w:val="00A776E0"/>
    <w:rsid w:val="00A7796F"/>
    <w:rsid w:val="00A8076A"/>
    <w:rsid w:val="00A80C11"/>
    <w:rsid w:val="00A81A8F"/>
    <w:rsid w:val="00A820F0"/>
    <w:rsid w:val="00A829CD"/>
    <w:rsid w:val="00A8364A"/>
    <w:rsid w:val="00A85004"/>
    <w:rsid w:val="00A8573E"/>
    <w:rsid w:val="00A85F42"/>
    <w:rsid w:val="00A86166"/>
    <w:rsid w:val="00A86D25"/>
    <w:rsid w:val="00A86D7E"/>
    <w:rsid w:val="00A93834"/>
    <w:rsid w:val="00A939DB"/>
    <w:rsid w:val="00A9506E"/>
    <w:rsid w:val="00A9633E"/>
    <w:rsid w:val="00A97D51"/>
    <w:rsid w:val="00AA1482"/>
    <w:rsid w:val="00AA1733"/>
    <w:rsid w:val="00AA46B8"/>
    <w:rsid w:val="00AA58E7"/>
    <w:rsid w:val="00AA61BE"/>
    <w:rsid w:val="00AA62B9"/>
    <w:rsid w:val="00AB02DC"/>
    <w:rsid w:val="00AB077C"/>
    <w:rsid w:val="00AB21C4"/>
    <w:rsid w:val="00AB2ACB"/>
    <w:rsid w:val="00AB3387"/>
    <w:rsid w:val="00AB33E9"/>
    <w:rsid w:val="00AB3625"/>
    <w:rsid w:val="00AB3AD8"/>
    <w:rsid w:val="00AB489C"/>
    <w:rsid w:val="00AB5616"/>
    <w:rsid w:val="00AB59AA"/>
    <w:rsid w:val="00AB6EDE"/>
    <w:rsid w:val="00AC0A22"/>
    <w:rsid w:val="00AC268C"/>
    <w:rsid w:val="00AC37B9"/>
    <w:rsid w:val="00AC6434"/>
    <w:rsid w:val="00AC657F"/>
    <w:rsid w:val="00AC76DC"/>
    <w:rsid w:val="00AC7FC9"/>
    <w:rsid w:val="00AD0C0C"/>
    <w:rsid w:val="00AD1351"/>
    <w:rsid w:val="00AD1DCE"/>
    <w:rsid w:val="00AD289F"/>
    <w:rsid w:val="00AD2F98"/>
    <w:rsid w:val="00AD3D55"/>
    <w:rsid w:val="00AD59BE"/>
    <w:rsid w:val="00AD62FF"/>
    <w:rsid w:val="00AD7E8E"/>
    <w:rsid w:val="00AD7F42"/>
    <w:rsid w:val="00AE0FCE"/>
    <w:rsid w:val="00AE1788"/>
    <w:rsid w:val="00AE2ADE"/>
    <w:rsid w:val="00AE2D36"/>
    <w:rsid w:val="00AE5221"/>
    <w:rsid w:val="00AE6271"/>
    <w:rsid w:val="00AE7B4F"/>
    <w:rsid w:val="00AF2C93"/>
    <w:rsid w:val="00AF3D38"/>
    <w:rsid w:val="00AF3F4D"/>
    <w:rsid w:val="00AF48B6"/>
    <w:rsid w:val="00AF56C2"/>
    <w:rsid w:val="00AF60DE"/>
    <w:rsid w:val="00B00347"/>
    <w:rsid w:val="00B00597"/>
    <w:rsid w:val="00B00C54"/>
    <w:rsid w:val="00B012E8"/>
    <w:rsid w:val="00B02095"/>
    <w:rsid w:val="00B0258E"/>
    <w:rsid w:val="00B0274B"/>
    <w:rsid w:val="00B04036"/>
    <w:rsid w:val="00B04529"/>
    <w:rsid w:val="00B04D79"/>
    <w:rsid w:val="00B05AD5"/>
    <w:rsid w:val="00B06090"/>
    <w:rsid w:val="00B064AF"/>
    <w:rsid w:val="00B06F07"/>
    <w:rsid w:val="00B07503"/>
    <w:rsid w:val="00B07C65"/>
    <w:rsid w:val="00B107BF"/>
    <w:rsid w:val="00B1182D"/>
    <w:rsid w:val="00B11CEA"/>
    <w:rsid w:val="00B13003"/>
    <w:rsid w:val="00B147F4"/>
    <w:rsid w:val="00B1638B"/>
    <w:rsid w:val="00B16D0F"/>
    <w:rsid w:val="00B17A60"/>
    <w:rsid w:val="00B17FE5"/>
    <w:rsid w:val="00B202C7"/>
    <w:rsid w:val="00B20BD7"/>
    <w:rsid w:val="00B21781"/>
    <w:rsid w:val="00B2216F"/>
    <w:rsid w:val="00B23254"/>
    <w:rsid w:val="00B26A38"/>
    <w:rsid w:val="00B26ED9"/>
    <w:rsid w:val="00B317E3"/>
    <w:rsid w:val="00B3266F"/>
    <w:rsid w:val="00B326CE"/>
    <w:rsid w:val="00B326CF"/>
    <w:rsid w:val="00B33059"/>
    <w:rsid w:val="00B33075"/>
    <w:rsid w:val="00B33152"/>
    <w:rsid w:val="00B331AE"/>
    <w:rsid w:val="00B341DF"/>
    <w:rsid w:val="00B3450C"/>
    <w:rsid w:val="00B34EB2"/>
    <w:rsid w:val="00B36B0B"/>
    <w:rsid w:val="00B379C0"/>
    <w:rsid w:val="00B4046D"/>
    <w:rsid w:val="00B405CD"/>
    <w:rsid w:val="00B4074A"/>
    <w:rsid w:val="00B407CC"/>
    <w:rsid w:val="00B409E3"/>
    <w:rsid w:val="00B41613"/>
    <w:rsid w:val="00B41961"/>
    <w:rsid w:val="00B42238"/>
    <w:rsid w:val="00B42CEF"/>
    <w:rsid w:val="00B43325"/>
    <w:rsid w:val="00B44595"/>
    <w:rsid w:val="00B44C8F"/>
    <w:rsid w:val="00B45747"/>
    <w:rsid w:val="00B4664F"/>
    <w:rsid w:val="00B477AB"/>
    <w:rsid w:val="00B5042F"/>
    <w:rsid w:val="00B51300"/>
    <w:rsid w:val="00B52531"/>
    <w:rsid w:val="00B56D69"/>
    <w:rsid w:val="00B62396"/>
    <w:rsid w:val="00B62BF6"/>
    <w:rsid w:val="00B63A18"/>
    <w:rsid w:val="00B63C7C"/>
    <w:rsid w:val="00B6481F"/>
    <w:rsid w:val="00B65084"/>
    <w:rsid w:val="00B65ADC"/>
    <w:rsid w:val="00B661B6"/>
    <w:rsid w:val="00B663F2"/>
    <w:rsid w:val="00B70F09"/>
    <w:rsid w:val="00B72EC9"/>
    <w:rsid w:val="00B733B4"/>
    <w:rsid w:val="00B733CF"/>
    <w:rsid w:val="00B772DF"/>
    <w:rsid w:val="00B806D2"/>
    <w:rsid w:val="00B808C1"/>
    <w:rsid w:val="00B808F1"/>
    <w:rsid w:val="00B8207D"/>
    <w:rsid w:val="00B83081"/>
    <w:rsid w:val="00B83F95"/>
    <w:rsid w:val="00B85744"/>
    <w:rsid w:val="00B85754"/>
    <w:rsid w:val="00B85FB0"/>
    <w:rsid w:val="00B867C2"/>
    <w:rsid w:val="00B86C86"/>
    <w:rsid w:val="00B9193E"/>
    <w:rsid w:val="00B92247"/>
    <w:rsid w:val="00B92E62"/>
    <w:rsid w:val="00B939E5"/>
    <w:rsid w:val="00B96D41"/>
    <w:rsid w:val="00BA041D"/>
    <w:rsid w:val="00BA0A3F"/>
    <w:rsid w:val="00BA1A47"/>
    <w:rsid w:val="00BA2779"/>
    <w:rsid w:val="00BA38BA"/>
    <w:rsid w:val="00BA4292"/>
    <w:rsid w:val="00BA4689"/>
    <w:rsid w:val="00BA505C"/>
    <w:rsid w:val="00BA5119"/>
    <w:rsid w:val="00BA64CC"/>
    <w:rsid w:val="00BB0A1D"/>
    <w:rsid w:val="00BB14B7"/>
    <w:rsid w:val="00BB2476"/>
    <w:rsid w:val="00BB2622"/>
    <w:rsid w:val="00BB3EB3"/>
    <w:rsid w:val="00BB4B38"/>
    <w:rsid w:val="00BB5226"/>
    <w:rsid w:val="00BB6703"/>
    <w:rsid w:val="00BB6A42"/>
    <w:rsid w:val="00BC1A52"/>
    <w:rsid w:val="00BC2BE2"/>
    <w:rsid w:val="00BC3999"/>
    <w:rsid w:val="00BC3C82"/>
    <w:rsid w:val="00BC5496"/>
    <w:rsid w:val="00BC5B50"/>
    <w:rsid w:val="00BC6B77"/>
    <w:rsid w:val="00BC755A"/>
    <w:rsid w:val="00BD0032"/>
    <w:rsid w:val="00BD081B"/>
    <w:rsid w:val="00BD2730"/>
    <w:rsid w:val="00BD2D2A"/>
    <w:rsid w:val="00BD46A5"/>
    <w:rsid w:val="00BD4CDD"/>
    <w:rsid w:val="00BD5145"/>
    <w:rsid w:val="00BD57AE"/>
    <w:rsid w:val="00BD596B"/>
    <w:rsid w:val="00BD6DBA"/>
    <w:rsid w:val="00BE1A54"/>
    <w:rsid w:val="00BE2777"/>
    <w:rsid w:val="00BE35E5"/>
    <w:rsid w:val="00BE6543"/>
    <w:rsid w:val="00BE79E9"/>
    <w:rsid w:val="00BF144E"/>
    <w:rsid w:val="00BF14EC"/>
    <w:rsid w:val="00BF23FE"/>
    <w:rsid w:val="00BF35ED"/>
    <w:rsid w:val="00BF3D63"/>
    <w:rsid w:val="00BF52B9"/>
    <w:rsid w:val="00BF5A99"/>
    <w:rsid w:val="00C00439"/>
    <w:rsid w:val="00C048B6"/>
    <w:rsid w:val="00C068BC"/>
    <w:rsid w:val="00C06F9F"/>
    <w:rsid w:val="00C07435"/>
    <w:rsid w:val="00C110BF"/>
    <w:rsid w:val="00C11D56"/>
    <w:rsid w:val="00C1223B"/>
    <w:rsid w:val="00C13240"/>
    <w:rsid w:val="00C13364"/>
    <w:rsid w:val="00C1371E"/>
    <w:rsid w:val="00C1385A"/>
    <w:rsid w:val="00C15A2E"/>
    <w:rsid w:val="00C15F94"/>
    <w:rsid w:val="00C163DA"/>
    <w:rsid w:val="00C16B0C"/>
    <w:rsid w:val="00C217A9"/>
    <w:rsid w:val="00C22444"/>
    <w:rsid w:val="00C23FA4"/>
    <w:rsid w:val="00C25E75"/>
    <w:rsid w:val="00C26217"/>
    <w:rsid w:val="00C26E3B"/>
    <w:rsid w:val="00C2766A"/>
    <w:rsid w:val="00C27943"/>
    <w:rsid w:val="00C27F77"/>
    <w:rsid w:val="00C3042E"/>
    <w:rsid w:val="00C3065D"/>
    <w:rsid w:val="00C30E1D"/>
    <w:rsid w:val="00C33FE9"/>
    <w:rsid w:val="00C3417E"/>
    <w:rsid w:val="00C352BA"/>
    <w:rsid w:val="00C35B80"/>
    <w:rsid w:val="00C36190"/>
    <w:rsid w:val="00C36470"/>
    <w:rsid w:val="00C36EA0"/>
    <w:rsid w:val="00C40E59"/>
    <w:rsid w:val="00C44216"/>
    <w:rsid w:val="00C44B30"/>
    <w:rsid w:val="00C45A7B"/>
    <w:rsid w:val="00C469A6"/>
    <w:rsid w:val="00C473D2"/>
    <w:rsid w:val="00C47F0D"/>
    <w:rsid w:val="00C51398"/>
    <w:rsid w:val="00C515B2"/>
    <w:rsid w:val="00C5393B"/>
    <w:rsid w:val="00C565B2"/>
    <w:rsid w:val="00C569D8"/>
    <w:rsid w:val="00C57B8C"/>
    <w:rsid w:val="00C60371"/>
    <w:rsid w:val="00C60546"/>
    <w:rsid w:val="00C6113E"/>
    <w:rsid w:val="00C61F12"/>
    <w:rsid w:val="00C6214B"/>
    <w:rsid w:val="00C63BA5"/>
    <w:rsid w:val="00C7014C"/>
    <w:rsid w:val="00C71555"/>
    <w:rsid w:val="00C7161A"/>
    <w:rsid w:val="00C71EA6"/>
    <w:rsid w:val="00C7520F"/>
    <w:rsid w:val="00C75AE3"/>
    <w:rsid w:val="00C75ED5"/>
    <w:rsid w:val="00C7683C"/>
    <w:rsid w:val="00C768D5"/>
    <w:rsid w:val="00C76FE9"/>
    <w:rsid w:val="00C80964"/>
    <w:rsid w:val="00C80CDD"/>
    <w:rsid w:val="00C8288F"/>
    <w:rsid w:val="00C84330"/>
    <w:rsid w:val="00C869B9"/>
    <w:rsid w:val="00C8762E"/>
    <w:rsid w:val="00C9165A"/>
    <w:rsid w:val="00C917C7"/>
    <w:rsid w:val="00C91A61"/>
    <w:rsid w:val="00C9247F"/>
    <w:rsid w:val="00C96F43"/>
    <w:rsid w:val="00C97EA8"/>
    <w:rsid w:val="00CA123C"/>
    <w:rsid w:val="00CA271B"/>
    <w:rsid w:val="00CA2DEC"/>
    <w:rsid w:val="00CA32F3"/>
    <w:rsid w:val="00CA335E"/>
    <w:rsid w:val="00CA53F0"/>
    <w:rsid w:val="00CA5A29"/>
    <w:rsid w:val="00CA5FB3"/>
    <w:rsid w:val="00CA6999"/>
    <w:rsid w:val="00CB014C"/>
    <w:rsid w:val="00CB0CAF"/>
    <w:rsid w:val="00CB2FC5"/>
    <w:rsid w:val="00CB39E2"/>
    <w:rsid w:val="00CB45FA"/>
    <w:rsid w:val="00CB57B5"/>
    <w:rsid w:val="00CB60F4"/>
    <w:rsid w:val="00CB65ED"/>
    <w:rsid w:val="00CB6ADA"/>
    <w:rsid w:val="00CB7442"/>
    <w:rsid w:val="00CC1CAA"/>
    <w:rsid w:val="00CC37EC"/>
    <w:rsid w:val="00CC393B"/>
    <w:rsid w:val="00CC42D0"/>
    <w:rsid w:val="00CC449C"/>
    <w:rsid w:val="00CC4C22"/>
    <w:rsid w:val="00CC551D"/>
    <w:rsid w:val="00CC5729"/>
    <w:rsid w:val="00CC6409"/>
    <w:rsid w:val="00CC7936"/>
    <w:rsid w:val="00CD1434"/>
    <w:rsid w:val="00CD15AD"/>
    <w:rsid w:val="00CD3157"/>
    <w:rsid w:val="00CD4AF6"/>
    <w:rsid w:val="00CD565B"/>
    <w:rsid w:val="00CE1D63"/>
    <w:rsid w:val="00CE36A3"/>
    <w:rsid w:val="00CE3E5A"/>
    <w:rsid w:val="00CE4D3D"/>
    <w:rsid w:val="00CE5EFD"/>
    <w:rsid w:val="00CE6907"/>
    <w:rsid w:val="00CE7535"/>
    <w:rsid w:val="00CF0929"/>
    <w:rsid w:val="00CF109A"/>
    <w:rsid w:val="00CF2835"/>
    <w:rsid w:val="00CF2F56"/>
    <w:rsid w:val="00CF4251"/>
    <w:rsid w:val="00CF4313"/>
    <w:rsid w:val="00CF5D5D"/>
    <w:rsid w:val="00CF5FFD"/>
    <w:rsid w:val="00CF7393"/>
    <w:rsid w:val="00CF7E7E"/>
    <w:rsid w:val="00CF7ECB"/>
    <w:rsid w:val="00D0137F"/>
    <w:rsid w:val="00D04ECC"/>
    <w:rsid w:val="00D07F32"/>
    <w:rsid w:val="00D100C5"/>
    <w:rsid w:val="00D13931"/>
    <w:rsid w:val="00D14F0E"/>
    <w:rsid w:val="00D157B5"/>
    <w:rsid w:val="00D1584F"/>
    <w:rsid w:val="00D16AF3"/>
    <w:rsid w:val="00D16C85"/>
    <w:rsid w:val="00D17878"/>
    <w:rsid w:val="00D179AF"/>
    <w:rsid w:val="00D20039"/>
    <w:rsid w:val="00D2135D"/>
    <w:rsid w:val="00D22D5F"/>
    <w:rsid w:val="00D23752"/>
    <w:rsid w:val="00D237C4"/>
    <w:rsid w:val="00D2411C"/>
    <w:rsid w:val="00D2427C"/>
    <w:rsid w:val="00D24A80"/>
    <w:rsid w:val="00D268AB"/>
    <w:rsid w:val="00D26C33"/>
    <w:rsid w:val="00D3302D"/>
    <w:rsid w:val="00D3327F"/>
    <w:rsid w:val="00D3398D"/>
    <w:rsid w:val="00D34FAD"/>
    <w:rsid w:val="00D35180"/>
    <w:rsid w:val="00D3639B"/>
    <w:rsid w:val="00D37151"/>
    <w:rsid w:val="00D37332"/>
    <w:rsid w:val="00D401E5"/>
    <w:rsid w:val="00D4061E"/>
    <w:rsid w:val="00D40F18"/>
    <w:rsid w:val="00D41C06"/>
    <w:rsid w:val="00D425D1"/>
    <w:rsid w:val="00D4277A"/>
    <w:rsid w:val="00D42C43"/>
    <w:rsid w:val="00D44D0E"/>
    <w:rsid w:val="00D4571D"/>
    <w:rsid w:val="00D468F3"/>
    <w:rsid w:val="00D46AE6"/>
    <w:rsid w:val="00D47B0B"/>
    <w:rsid w:val="00D51307"/>
    <w:rsid w:val="00D520D4"/>
    <w:rsid w:val="00D525DE"/>
    <w:rsid w:val="00D528F3"/>
    <w:rsid w:val="00D52D2D"/>
    <w:rsid w:val="00D533B3"/>
    <w:rsid w:val="00D53F29"/>
    <w:rsid w:val="00D54C72"/>
    <w:rsid w:val="00D5646D"/>
    <w:rsid w:val="00D5695A"/>
    <w:rsid w:val="00D57D5B"/>
    <w:rsid w:val="00D603E7"/>
    <w:rsid w:val="00D60C62"/>
    <w:rsid w:val="00D61898"/>
    <w:rsid w:val="00D62308"/>
    <w:rsid w:val="00D628FF"/>
    <w:rsid w:val="00D62C9A"/>
    <w:rsid w:val="00D6441C"/>
    <w:rsid w:val="00D6460D"/>
    <w:rsid w:val="00D6547A"/>
    <w:rsid w:val="00D6728B"/>
    <w:rsid w:val="00D67D7E"/>
    <w:rsid w:val="00D70EA2"/>
    <w:rsid w:val="00D72CBF"/>
    <w:rsid w:val="00D73D75"/>
    <w:rsid w:val="00D750A2"/>
    <w:rsid w:val="00D757CA"/>
    <w:rsid w:val="00D817FA"/>
    <w:rsid w:val="00D84ED0"/>
    <w:rsid w:val="00D853D3"/>
    <w:rsid w:val="00D86A15"/>
    <w:rsid w:val="00D90144"/>
    <w:rsid w:val="00D908E7"/>
    <w:rsid w:val="00D919B9"/>
    <w:rsid w:val="00D93006"/>
    <w:rsid w:val="00D93993"/>
    <w:rsid w:val="00D9442C"/>
    <w:rsid w:val="00D94A00"/>
    <w:rsid w:val="00D95479"/>
    <w:rsid w:val="00D956DF"/>
    <w:rsid w:val="00D95C3C"/>
    <w:rsid w:val="00D95E06"/>
    <w:rsid w:val="00D96B83"/>
    <w:rsid w:val="00D97BDF"/>
    <w:rsid w:val="00DA09D7"/>
    <w:rsid w:val="00DA20F4"/>
    <w:rsid w:val="00DA2C45"/>
    <w:rsid w:val="00DA2F49"/>
    <w:rsid w:val="00DA4973"/>
    <w:rsid w:val="00DA5366"/>
    <w:rsid w:val="00DA5D3A"/>
    <w:rsid w:val="00DB18F2"/>
    <w:rsid w:val="00DB280D"/>
    <w:rsid w:val="00DB303A"/>
    <w:rsid w:val="00DB3F13"/>
    <w:rsid w:val="00DB4E63"/>
    <w:rsid w:val="00DB605A"/>
    <w:rsid w:val="00DB7143"/>
    <w:rsid w:val="00DC1C58"/>
    <w:rsid w:val="00DC65FD"/>
    <w:rsid w:val="00DC75D6"/>
    <w:rsid w:val="00DD053E"/>
    <w:rsid w:val="00DD0599"/>
    <w:rsid w:val="00DD1384"/>
    <w:rsid w:val="00DD6043"/>
    <w:rsid w:val="00DD60D6"/>
    <w:rsid w:val="00DD6C3A"/>
    <w:rsid w:val="00DD6EF2"/>
    <w:rsid w:val="00DD727A"/>
    <w:rsid w:val="00DD7928"/>
    <w:rsid w:val="00DE0A27"/>
    <w:rsid w:val="00DE16B8"/>
    <w:rsid w:val="00DE1D53"/>
    <w:rsid w:val="00DE22CF"/>
    <w:rsid w:val="00DE4005"/>
    <w:rsid w:val="00DE4B60"/>
    <w:rsid w:val="00DE5C3C"/>
    <w:rsid w:val="00DE7215"/>
    <w:rsid w:val="00DE74B0"/>
    <w:rsid w:val="00DF09CC"/>
    <w:rsid w:val="00DF0C4C"/>
    <w:rsid w:val="00DF1297"/>
    <w:rsid w:val="00DF4932"/>
    <w:rsid w:val="00DF6DEC"/>
    <w:rsid w:val="00DF73BD"/>
    <w:rsid w:val="00E0037B"/>
    <w:rsid w:val="00E03D4C"/>
    <w:rsid w:val="00E0409E"/>
    <w:rsid w:val="00E0560B"/>
    <w:rsid w:val="00E05827"/>
    <w:rsid w:val="00E07DC3"/>
    <w:rsid w:val="00E10114"/>
    <w:rsid w:val="00E12A23"/>
    <w:rsid w:val="00E15C2B"/>
    <w:rsid w:val="00E1685F"/>
    <w:rsid w:val="00E16E57"/>
    <w:rsid w:val="00E172C1"/>
    <w:rsid w:val="00E2316A"/>
    <w:rsid w:val="00E2527A"/>
    <w:rsid w:val="00E2562F"/>
    <w:rsid w:val="00E26930"/>
    <w:rsid w:val="00E313F5"/>
    <w:rsid w:val="00E3278A"/>
    <w:rsid w:val="00E33ACB"/>
    <w:rsid w:val="00E345EA"/>
    <w:rsid w:val="00E3647A"/>
    <w:rsid w:val="00E37813"/>
    <w:rsid w:val="00E37A45"/>
    <w:rsid w:val="00E42639"/>
    <w:rsid w:val="00E4436C"/>
    <w:rsid w:val="00E465D2"/>
    <w:rsid w:val="00E465EE"/>
    <w:rsid w:val="00E4666A"/>
    <w:rsid w:val="00E47C5F"/>
    <w:rsid w:val="00E50494"/>
    <w:rsid w:val="00E540AC"/>
    <w:rsid w:val="00E54480"/>
    <w:rsid w:val="00E57079"/>
    <w:rsid w:val="00E57577"/>
    <w:rsid w:val="00E6050D"/>
    <w:rsid w:val="00E61F7C"/>
    <w:rsid w:val="00E6356B"/>
    <w:rsid w:val="00E6411F"/>
    <w:rsid w:val="00E64C14"/>
    <w:rsid w:val="00E65481"/>
    <w:rsid w:val="00E70035"/>
    <w:rsid w:val="00E70D0B"/>
    <w:rsid w:val="00E71B17"/>
    <w:rsid w:val="00E73DDF"/>
    <w:rsid w:val="00E74303"/>
    <w:rsid w:val="00E74588"/>
    <w:rsid w:val="00E74D73"/>
    <w:rsid w:val="00E750CE"/>
    <w:rsid w:val="00E75432"/>
    <w:rsid w:val="00E755F2"/>
    <w:rsid w:val="00E76A98"/>
    <w:rsid w:val="00E8189C"/>
    <w:rsid w:val="00E82959"/>
    <w:rsid w:val="00E836AF"/>
    <w:rsid w:val="00E837A9"/>
    <w:rsid w:val="00E838E3"/>
    <w:rsid w:val="00E8667F"/>
    <w:rsid w:val="00E87FB7"/>
    <w:rsid w:val="00E90FBF"/>
    <w:rsid w:val="00E91630"/>
    <w:rsid w:val="00E91A21"/>
    <w:rsid w:val="00E9376B"/>
    <w:rsid w:val="00E93DEA"/>
    <w:rsid w:val="00E9690F"/>
    <w:rsid w:val="00E96967"/>
    <w:rsid w:val="00EA097B"/>
    <w:rsid w:val="00EA24BB"/>
    <w:rsid w:val="00EA28B1"/>
    <w:rsid w:val="00EA51D5"/>
    <w:rsid w:val="00EB0031"/>
    <w:rsid w:val="00EB01E0"/>
    <w:rsid w:val="00EB096C"/>
    <w:rsid w:val="00EB1CFA"/>
    <w:rsid w:val="00EB2854"/>
    <w:rsid w:val="00EB39FC"/>
    <w:rsid w:val="00EB3A5E"/>
    <w:rsid w:val="00EB47D8"/>
    <w:rsid w:val="00EB49D7"/>
    <w:rsid w:val="00EB5048"/>
    <w:rsid w:val="00EB54FD"/>
    <w:rsid w:val="00EB5A20"/>
    <w:rsid w:val="00EB64A3"/>
    <w:rsid w:val="00EB6CE5"/>
    <w:rsid w:val="00EB78C8"/>
    <w:rsid w:val="00EC00BE"/>
    <w:rsid w:val="00EC0D23"/>
    <w:rsid w:val="00EC2209"/>
    <w:rsid w:val="00EC231D"/>
    <w:rsid w:val="00EC252A"/>
    <w:rsid w:val="00EC2628"/>
    <w:rsid w:val="00EC32B6"/>
    <w:rsid w:val="00EC37C4"/>
    <w:rsid w:val="00EC3BAA"/>
    <w:rsid w:val="00EC4210"/>
    <w:rsid w:val="00EC59A7"/>
    <w:rsid w:val="00EC5A22"/>
    <w:rsid w:val="00EC6025"/>
    <w:rsid w:val="00EC60FC"/>
    <w:rsid w:val="00EC64DB"/>
    <w:rsid w:val="00EC7549"/>
    <w:rsid w:val="00EC7878"/>
    <w:rsid w:val="00EC7ECC"/>
    <w:rsid w:val="00ED0242"/>
    <w:rsid w:val="00ED1DAB"/>
    <w:rsid w:val="00ED1F9E"/>
    <w:rsid w:val="00ED1FE1"/>
    <w:rsid w:val="00ED5CC3"/>
    <w:rsid w:val="00ED5F3E"/>
    <w:rsid w:val="00ED62B7"/>
    <w:rsid w:val="00ED755E"/>
    <w:rsid w:val="00EE06E4"/>
    <w:rsid w:val="00EE16A8"/>
    <w:rsid w:val="00EE1DC1"/>
    <w:rsid w:val="00EE2078"/>
    <w:rsid w:val="00EE2084"/>
    <w:rsid w:val="00EE2605"/>
    <w:rsid w:val="00EE2B9B"/>
    <w:rsid w:val="00EE2C94"/>
    <w:rsid w:val="00EE524A"/>
    <w:rsid w:val="00EE67CF"/>
    <w:rsid w:val="00EF015E"/>
    <w:rsid w:val="00EF094E"/>
    <w:rsid w:val="00EF1883"/>
    <w:rsid w:val="00EF1F1F"/>
    <w:rsid w:val="00EF5544"/>
    <w:rsid w:val="00EF6E31"/>
    <w:rsid w:val="00EF6EAF"/>
    <w:rsid w:val="00EF7B83"/>
    <w:rsid w:val="00F01D4D"/>
    <w:rsid w:val="00F02977"/>
    <w:rsid w:val="00F05225"/>
    <w:rsid w:val="00F06D3E"/>
    <w:rsid w:val="00F108D7"/>
    <w:rsid w:val="00F10EEA"/>
    <w:rsid w:val="00F115D0"/>
    <w:rsid w:val="00F11EDC"/>
    <w:rsid w:val="00F12632"/>
    <w:rsid w:val="00F12F25"/>
    <w:rsid w:val="00F145B1"/>
    <w:rsid w:val="00F14BC5"/>
    <w:rsid w:val="00F156D5"/>
    <w:rsid w:val="00F15ABF"/>
    <w:rsid w:val="00F15FD0"/>
    <w:rsid w:val="00F169F9"/>
    <w:rsid w:val="00F17B29"/>
    <w:rsid w:val="00F202EA"/>
    <w:rsid w:val="00F23F04"/>
    <w:rsid w:val="00F25037"/>
    <w:rsid w:val="00F260C9"/>
    <w:rsid w:val="00F3064D"/>
    <w:rsid w:val="00F30FA9"/>
    <w:rsid w:val="00F3412F"/>
    <w:rsid w:val="00F3585E"/>
    <w:rsid w:val="00F36356"/>
    <w:rsid w:val="00F379FD"/>
    <w:rsid w:val="00F40235"/>
    <w:rsid w:val="00F42245"/>
    <w:rsid w:val="00F43300"/>
    <w:rsid w:val="00F43B5D"/>
    <w:rsid w:val="00F44184"/>
    <w:rsid w:val="00F44F70"/>
    <w:rsid w:val="00F45588"/>
    <w:rsid w:val="00F46877"/>
    <w:rsid w:val="00F51908"/>
    <w:rsid w:val="00F536D4"/>
    <w:rsid w:val="00F5376D"/>
    <w:rsid w:val="00F53A3D"/>
    <w:rsid w:val="00F54124"/>
    <w:rsid w:val="00F546B5"/>
    <w:rsid w:val="00F54F5F"/>
    <w:rsid w:val="00F560E5"/>
    <w:rsid w:val="00F56B96"/>
    <w:rsid w:val="00F56C2A"/>
    <w:rsid w:val="00F57A28"/>
    <w:rsid w:val="00F6031A"/>
    <w:rsid w:val="00F620DA"/>
    <w:rsid w:val="00F63B91"/>
    <w:rsid w:val="00F644B7"/>
    <w:rsid w:val="00F64901"/>
    <w:rsid w:val="00F65A61"/>
    <w:rsid w:val="00F66787"/>
    <w:rsid w:val="00F66BDD"/>
    <w:rsid w:val="00F7082B"/>
    <w:rsid w:val="00F70B9A"/>
    <w:rsid w:val="00F71731"/>
    <w:rsid w:val="00F717B2"/>
    <w:rsid w:val="00F72477"/>
    <w:rsid w:val="00F736C8"/>
    <w:rsid w:val="00F73E83"/>
    <w:rsid w:val="00F7480E"/>
    <w:rsid w:val="00F74D81"/>
    <w:rsid w:val="00F75120"/>
    <w:rsid w:val="00F755EB"/>
    <w:rsid w:val="00F75E05"/>
    <w:rsid w:val="00F77BC9"/>
    <w:rsid w:val="00F80C0B"/>
    <w:rsid w:val="00F83E96"/>
    <w:rsid w:val="00F84031"/>
    <w:rsid w:val="00F8687B"/>
    <w:rsid w:val="00F8704F"/>
    <w:rsid w:val="00F90517"/>
    <w:rsid w:val="00F90E76"/>
    <w:rsid w:val="00F931D3"/>
    <w:rsid w:val="00F93BB4"/>
    <w:rsid w:val="00F94316"/>
    <w:rsid w:val="00F96464"/>
    <w:rsid w:val="00FA5D28"/>
    <w:rsid w:val="00FA6D23"/>
    <w:rsid w:val="00FA7768"/>
    <w:rsid w:val="00FA7795"/>
    <w:rsid w:val="00FA7993"/>
    <w:rsid w:val="00FA7DEC"/>
    <w:rsid w:val="00FB0DC0"/>
    <w:rsid w:val="00FB1A4F"/>
    <w:rsid w:val="00FB2B18"/>
    <w:rsid w:val="00FB2EE6"/>
    <w:rsid w:val="00FB6DAE"/>
    <w:rsid w:val="00FB766E"/>
    <w:rsid w:val="00FB7CAA"/>
    <w:rsid w:val="00FB7CD6"/>
    <w:rsid w:val="00FC06EA"/>
    <w:rsid w:val="00FC09F4"/>
    <w:rsid w:val="00FC1624"/>
    <w:rsid w:val="00FC17CC"/>
    <w:rsid w:val="00FC1B06"/>
    <w:rsid w:val="00FC21A1"/>
    <w:rsid w:val="00FC2921"/>
    <w:rsid w:val="00FC2EE1"/>
    <w:rsid w:val="00FC304C"/>
    <w:rsid w:val="00FC4185"/>
    <w:rsid w:val="00FC52FC"/>
    <w:rsid w:val="00FC5C2F"/>
    <w:rsid w:val="00FC681F"/>
    <w:rsid w:val="00FD0D8C"/>
    <w:rsid w:val="00FD121A"/>
    <w:rsid w:val="00FD2DA8"/>
    <w:rsid w:val="00FD2F11"/>
    <w:rsid w:val="00FD382B"/>
    <w:rsid w:val="00FD4108"/>
    <w:rsid w:val="00FD5430"/>
    <w:rsid w:val="00FD5C98"/>
    <w:rsid w:val="00FE05C8"/>
    <w:rsid w:val="00FE0BFE"/>
    <w:rsid w:val="00FE278A"/>
    <w:rsid w:val="00FE37DF"/>
    <w:rsid w:val="00FE6D57"/>
    <w:rsid w:val="00FF15D3"/>
    <w:rsid w:val="00FF15DB"/>
    <w:rsid w:val="00FF21AC"/>
    <w:rsid w:val="00FF254E"/>
    <w:rsid w:val="00FF34AD"/>
    <w:rsid w:val="00FF4D2A"/>
    <w:rsid w:val="00FF5201"/>
    <w:rsid w:val="00FF5487"/>
    <w:rsid w:val="00FF5DD8"/>
    <w:rsid w:val="00FF6162"/>
    <w:rsid w:val="00FF745C"/>
    <w:rsid w:val="00FF762C"/>
    <w:rsid w:val="016314F6"/>
    <w:rsid w:val="01643324"/>
    <w:rsid w:val="017EFFE9"/>
    <w:rsid w:val="01B5580E"/>
    <w:rsid w:val="01D207CF"/>
    <w:rsid w:val="020713D5"/>
    <w:rsid w:val="0253A2F2"/>
    <w:rsid w:val="0276DE27"/>
    <w:rsid w:val="02C95D45"/>
    <w:rsid w:val="02D2C744"/>
    <w:rsid w:val="02E6B15A"/>
    <w:rsid w:val="02F28A55"/>
    <w:rsid w:val="02FDE8E5"/>
    <w:rsid w:val="02FDECA7"/>
    <w:rsid w:val="0307AB5A"/>
    <w:rsid w:val="0321DF77"/>
    <w:rsid w:val="0358890C"/>
    <w:rsid w:val="038BD7AE"/>
    <w:rsid w:val="039A18DC"/>
    <w:rsid w:val="03A07E00"/>
    <w:rsid w:val="03A12D3B"/>
    <w:rsid w:val="03DF2D23"/>
    <w:rsid w:val="03F56187"/>
    <w:rsid w:val="04081E58"/>
    <w:rsid w:val="0410F6C1"/>
    <w:rsid w:val="041D8F79"/>
    <w:rsid w:val="046F504C"/>
    <w:rsid w:val="04B14084"/>
    <w:rsid w:val="04CB10B6"/>
    <w:rsid w:val="04D38A30"/>
    <w:rsid w:val="04DEF32F"/>
    <w:rsid w:val="04FBD5BD"/>
    <w:rsid w:val="04FF08AA"/>
    <w:rsid w:val="053CB333"/>
    <w:rsid w:val="05512915"/>
    <w:rsid w:val="056C52F6"/>
    <w:rsid w:val="057094E1"/>
    <w:rsid w:val="0570CBF9"/>
    <w:rsid w:val="0570E330"/>
    <w:rsid w:val="05942AC7"/>
    <w:rsid w:val="05B078F2"/>
    <w:rsid w:val="05C16905"/>
    <w:rsid w:val="05D22203"/>
    <w:rsid w:val="05DBFBE6"/>
    <w:rsid w:val="05F31CF4"/>
    <w:rsid w:val="05F49EE6"/>
    <w:rsid w:val="060B09E7"/>
    <w:rsid w:val="066722F0"/>
    <w:rsid w:val="06B3B7BB"/>
    <w:rsid w:val="06D2ABFE"/>
    <w:rsid w:val="06F758AD"/>
    <w:rsid w:val="0700108F"/>
    <w:rsid w:val="07096B05"/>
    <w:rsid w:val="070BE9E4"/>
    <w:rsid w:val="072E7200"/>
    <w:rsid w:val="07435F2C"/>
    <w:rsid w:val="074CF950"/>
    <w:rsid w:val="074EF61B"/>
    <w:rsid w:val="07551DD6"/>
    <w:rsid w:val="075DC748"/>
    <w:rsid w:val="0774B3CF"/>
    <w:rsid w:val="07873032"/>
    <w:rsid w:val="0797755C"/>
    <w:rsid w:val="07B35847"/>
    <w:rsid w:val="07C09E60"/>
    <w:rsid w:val="07EA160A"/>
    <w:rsid w:val="07EB4DD7"/>
    <w:rsid w:val="07FC4264"/>
    <w:rsid w:val="083722CD"/>
    <w:rsid w:val="0847E13E"/>
    <w:rsid w:val="08CF4C5E"/>
    <w:rsid w:val="08D8E060"/>
    <w:rsid w:val="08DD8846"/>
    <w:rsid w:val="08ED1315"/>
    <w:rsid w:val="0915A654"/>
    <w:rsid w:val="091B1501"/>
    <w:rsid w:val="09217BB5"/>
    <w:rsid w:val="09222BDB"/>
    <w:rsid w:val="092D2224"/>
    <w:rsid w:val="092FE5D3"/>
    <w:rsid w:val="0939564F"/>
    <w:rsid w:val="094758E3"/>
    <w:rsid w:val="096C2859"/>
    <w:rsid w:val="0993E8B4"/>
    <w:rsid w:val="09A01D16"/>
    <w:rsid w:val="09C4FE41"/>
    <w:rsid w:val="09D2389A"/>
    <w:rsid w:val="09DEC565"/>
    <w:rsid w:val="09EE711D"/>
    <w:rsid w:val="09EF3FFA"/>
    <w:rsid w:val="0A03B2B0"/>
    <w:rsid w:val="0A09BB90"/>
    <w:rsid w:val="0A0F36EC"/>
    <w:rsid w:val="0A1413F2"/>
    <w:rsid w:val="0A1739C7"/>
    <w:rsid w:val="0A329428"/>
    <w:rsid w:val="0A5D1B07"/>
    <w:rsid w:val="0A84AEA0"/>
    <w:rsid w:val="0A95313F"/>
    <w:rsid w:val="0AB4C69E"/>
    <w:rsid w:val="0AC7D8F6"/>
    <w:rsid w:val="0AFF8247"/>
    <w:rsid w:val="0B45AB0A"/>
    <w:rsid w:val="0B4C3513"/>
    <w:rsid w:val="0B8636A5"/>
    <w:rsid w:val="0B870450"/>
    <w:rsid w:val="0B9FCA5D"/>
    <w:rsid w:val="0BA83026"/>
    <w:rsid w:val="0BACA80D"/>
    <w:rsid w:val="0BAD8110"/>
    <w:rsid w:val="0BFF0A92"/>
    <w:rsid w:val="0C5528B1"/>
    <w:rsid w:val="0C58338B"/>
    <w:rsid w:val="0C604CEA"/>
    <w:rsid w:val="0C846560"/>
    <w:rsid w:val="0CA48A08"/>
    <w:rsid w:val="0CF3F902"/>
    <w:rsid w:val="0D3FA15A"/>
    <w:rsid w:val="0D6C53D5"/>
    <w:rsid w:val="0DBF0C7D"/>
    <w:rsid w:val="0DD05B82"/>
    <w:rsid w:val="0E0D80C5"/>
    <w:rsid w:val="0E1C5B58"/>
    <w:rsid w:val="0E2307BB"/>
    <w:rsid w:val="0E4617C2"/>
    <w:rsid w:val="0E8CF8FE"/>
    <w:rsid w:val="0E92C462"/>
    <w:rsid w:val="0E98E175"/>
    <w:rsid w:val="0E9C882E"/>
    <w:rsid w:val="0ECEC521"/>
    <w:rsid w:val="0ED532D9"/>
    <w:rsid w:val="0EE76E2F"/>
    <w:rsid w:val="0EE87522"/>
    <w:rsid w:val="0EFDF69C"/>
    <w:rsid w:val="0F1B54CF"/>
    <w:rsid w:val="0F476C9F"/>
    <w:rsid w:val="0F640394"/>
    <w:rsid w:val="0F81BB56"/>
    <w:rsid w:val="0F9C4814"/>
    <w:rsid w:val="0FB3A212"/>
    <w:rsid w:val="0FEC266B"/>
    <w:rsid w:val="1012C61F"/>
    <w:rsid w:val="1027B88D"/>
    <w:rsid w:val="10A50C6F"/>
    <w:rsid w:val="10A8CFF3"/>
    <w:rsid w:val="10BB8C87"/>
    <w:rsid w:val="10BDAE48"/>
    <w:rsid w:val="10FA4330"/>
    <w:rsid w:val="1119BCA8"/>
    <w:rsid w:val="111C6F6E"/>
    <w:rsid w:val="1145E4DF"/>
    <w:rsid w:val="1173FFD8"/>
    <w:rsid w:val="1180E6FF"/>
    <w:rsid w:val="11A88CFB"/>
    <w:rsid w:val="11AD461A"/>
    <w:rsid w:val="11AFAA94"/>
    <w:rsid w:val="11C554FA"/>
    <w:rsid w:val="11DB36D2"/>
    <w:rsid w:val="11E1AC4D"/>
    <w:rsid w:val="120280DD"/>
    <w:rsid w:val="120A6D94"/>
    <w:rsid w:val="1214AA01"/>
    <w:rsid w:val="12295A61"/>
    <w:rsid w:val="123F7B60"/>
    <w:rsid w:val="12403EBE"/>
    <w:rsid w:val="12564581"/>
    <w:rsid w:val="125A45BA"/>
    <w:rsid w:val="12755BF3"/>
    <w:rsid w:val="12B642D9"/>
    <w:rsid w:val="12C2165B"/>
    <w:rsid w:val="12CC25EF"/>
    <w:rsid w:val="12DED3FB"/>
    <w:rsid w:val="12FE6D88"/>
    <w:rsid w:val="131CF40D"/>
    <w:rsid w:val="138934CF"/>
    <w:rsid w:val="138CC76C"/>
    <w:rsid w:val="13E01587"/>
    <w:rsid w:val="13E13CC7"/>
    <w:rsid w:val="13E6DF6B"/>
    <w:rsid w:val="13E7CFD6"/>
    <w:rsid w:val="14035911"/>
    <w:rsid w:val="143AA170"/>
    <w:rsid w:val="14407020"/>
    <w:rsid w:val="14522BA5"/>
    <w:rsid w:val="146D11E4"/>
    <w:rsid w:val="14C735E6"/>
    <w:rsid w:val="14EA0C0B"/>
    <w:rsid w:val="14FE047E"/>
    <w:rsid w:val="1519805B"/>
    <w:rsid w:val="1542F16F"/>
    <w:rsid w:val="154A6356"/>
    <w:rsid w:val="1557C23D"/>
    <w:rsid w:val="158345CA"/>
    <w:rsid w:val="15C0C1FB"/>
    <w:rsid w:val="15E862DC"/>
    <w:rsid w:val="15F718AF"/>
    <w:rsid w:val="15FD5A49"/>
    <w:rsid w:val="160A912F"/>
    <w:rsid w:val="161D0A59"/>
    <w:rsid w:val="163075A5"/>
    <w:rsid w:val="16420F0A"/>
    <w:rsid w:val="16593A84"/>
    <w:rsid w:val="1667AFB1"/>
    <w:rsid w:val="16A57895"/>
    <w:rsid w:val="16CDA9A4"/>
    <w:rsid w:val="16F09D88"/>
    <w:rsid w:val="1700EDA7"/>
    <w:rsid w:val="170EDCE6"/>
    <w:rsid w:val="17381521"/>
    <w:rsid w:val="18307647"/>
    <w:rsid w:val="18339BD2"/>
    <w:rsid w:val="1835491B"/>
    <w:rsid w:val="18505EF8"/>
    <w:rsid w:val="18B62AB5"/>
    <w:rsid w:val="18C41BD4"/>
    <w:rsid w:val="18DB5155"/>
    <w:rsid w:val="192AA51A"/>
    <w:rsid w:val="192F30D4"/>
    <w:rsid w:val="1941BEB9"/>
    <w:rsid w:val="1970D52E"/>
    <w:rsid w:val="19A3A8B4"/>
    <w:rsid w:val="19FBA3FD"/>
    <w:rsid w:val="1A57AC01"/>
    <w:rsid w:val="1A87EADD"/>
    <w:rsid w:val="1A8A71AC"/>
    <w:rsid w:val="1A99623B"/>
    <w:rsid w:val="1AC9C239"/>
    <w:rsid w:val="1ACF7C11"/>
    <w:rsid w:val="1AE0DF45"/>
    <w:rsid w:val="1AEB4403"/>
    <w:rsid w:val="1AEBCF0C"/>
    <w:rsid w:val="1AECDE65"/>
    <w:rsid w:val="1AF9F6E9"/>
    <w:rsid w:val="1AFAE7E9"/>
    <w:rsid w:val="1B09B340"/>
    <w:rsid w:val="1B6D4D3C"/>
    <w:rsid w:val="1B8709C9"/>
    <w:rsid w:val="1B95C1D6"/>
    <w:rsid w:val="1B966ECE"/>
    <w:rsid w:val="1B9D41A5"/>
    <w:rsid w:val="1BABCF4B"/>
    <w:rsid w:val="1BCA28BF"/>
    <w:rsid w:val="1BF3C900"/>
    <w:rsid w:val="1C05279D"/>
    <w:rsid w:val="1C0C513A"/>
    <w:rsid w:val="1C240EA0"/>
    <w:rsid w:val="1C5F9FAB"/>
    <w:rsid w:val="1C7D2A3B"/>
    <w:rsid w:val="1C97DFCD"/>
    <w:rsid w:val="1CA2C3B3"/>
    <w:rsid w:val="1CD094B2"/>
    <w:rsid w:val="1CEA6109"/>
    <w:rsid w:val="1CFD142F"/>
    <w:rsid w:val="1D0B6E65"/>
    <w:rsid w:val="1D1622CB"/>
    <w:rsid w:val="1D3D7671"/>
    <w:rsid w:val="1D4935D5"/>
    <w:rsid w:val="1D4D303D"/>
    <w:rsid w:val="1D500314"/>
    <w:rsid w:val="1D51C805"/>
    <w:rsid w:val="1DBA51A2"/>
    <w:rsid w:val="1DEC0437"/>
    <w:rsid w:val="1DF79F95"/>
    <w:rsid w:val="1DF90E31"/>
    <w:rsid w:val="1E023F76"/>
    <w:rsid w:val="1E09C888"/>
    <w:rsid w:val="1E31B27A"/>
    <w:rsid w:val="1E35F1A8"/>
    <w:rsid w:val="1E58854C"/>
    <w:rsid w:val="1E5B4F7F"/>
    <w:rsid w:val="1E60F531"/>
    <w:rsid w:val="1E6DDD88"/>
    <w:rsid w:val="1E99492A"/>
    <w:rsid w:val="1EE9962F"/>
    <w:rsid w:val="1EF913AA"/>
    <w:rsid w:val="1FBF3F66"/>
    <w:rsid w:val="1FF6E8D5"/>
    <w:rsid w:val="204F7E69"/>
    <w:rsid w:val="207DA78A"/>
    <w:rsid w:val="209F42D4"/>
    <w:rsid w:val="20CDADF9"/>
    <w:rsid w:val="20FD3ED4"/>
    <w:rsid w:val="21109B3B"/>
    <w:rsid w:val="214C06A5"/>
    <w:rsid w:val="217B3514"/>
    <w:rsid w:val="217B719C"/>
    <w:rsid w:val="21810453"/>
    <w:rsid w:val="21B55CDA"/>
    <w:rsid w:val="21D7074C"/>
    <w:rsid w:val="21F919FD"/>
    <w:rsid w:val="2205FB11"/>
    <w:rsid w:val="2210FDE4"/>
    <w:rsid w:val="2225C825"/>
    <w:rsid w:val="222AC536"/>
    <w:rsid w:val="224CD152"/>
    <w:rsid w:val="2283C38E"/>
    <w:rsid w:val="22ADEF5C"/>
    <w:rsid w:val="22B3C3BB"/>
    <w:rsid w:val="22B45694"/>
    <w:rsid w:val="22C0F8A9"/>
    <w:rsid w:val="22CCDC24"/>
    <w:rsid w:val="22E38D29"/>
    <w:rsid w:val="233AF017"/>
    <w:rsid w:val="234AF85F"/>
    <w:rsid w:val="234D94FB"/>
    <w:rsid w:val="2353B8F5"/>
    <w:rsid w:val="235DB927"/>
    <w:rsid w:val="237B0968"/>
    <w:rsid w:val="2402FFF4"/>
    <w:rsid w:val="2408434F"/>
    <w:rsid w:val="241B62F0"/>
    <w:rsid w:val="2449412B"/>
    <w:rsid w:val="246B57D0"/>
    <w:rsid w:val="247712B2"/>
    <w:rsid w:val="2490F622"/>
    <w:rsid w:val="24B6F9D5"/>
    <w:rsid w:val="24C61FB5"/>
    <w:rsid w:val="24DFBFB8"/>
    <w:rsid w:val="24E141DC"/>
    <w:rsid w:val="2541C549"/>
    <w:rsid w:val="257DBDBA"/>
    <w:rsid w:val="2590F6F3"/>
    <w:rsid w:val="25930555"/>
    <w:rsid w:val="25B1B62C"/>
    <w:rsid w:val="25CB2FCF"/>
    <w:rsid w:val="25D9D412"/>
    <w:rsid w:val="25DB9320"/>
    <w:rsid w:val="25E7D59C"/>
    <w:rsid w:val="26310A86"/>
    <w:rsid w:val="263170B7"/>
    <w:rsid w:val="263302E9"/>
    <w:rsid w:val="263BCC10"/>
    <w:rsid w:val="2657A6E8"/>
    <w:rsid w:val="266F1730"/>
    <w:rsid w:val="269BDCF9"/>
    <w:rsid w:val="26BCB6E1"/>
    <w:rsid w:val="26C93D58"/>
    <w:rsid w:val="26CFE05D"/>
    <w:rsid w:val="26FD54DE"/>
    <w:rsid w:val="270533B7"/>
    <w:rsid w:val="270E2375"/>
    <w:rsid w:val="2710B81E"/>
    <w:rsid w:val="27207CA9"/>
    <w:rsid w:val="27394816"/>
    <w:rsid w:val="2747F3A5"/>
    <w:rsid w:val="276CF091"/>
    <w:rsid w:val="2780AA3E"/>
    <w:rsid w:val="27A1F63A"/>
    <w:rsid w:val="27D7150E"/>
    <w:rsid w:val="282ACF28"/>
    <w:rsid w:val="282CBF64"/>
    <w:rsid w:val="28415237"/>
    <w:rsid w:val="284BE9C0"/>
    <w:rsid w:val="285B88B7"/>
    <w:rsid w:val="28615CC3"/>
    <w:rsid w:val="286FEBF4"/>
    <w:rsid w:val="28872777"/>
    <w:rsid w:val="28A4674F"/>
    <w:rsid w:val="28B8A610"/>
    <w:rsid w:val="28B9194E"/>
    <w:rsid w:val="28E3B678"/>
    <w:rsid w:val="28F8D805"/>
    <w:rsid w:val="29037445"/>
    <w:rsid w:val="2916466C"/>
    <w:rsid w:val="2936BA9D"/>
    <w:rsid w:val="293A9FB6"/>
    <w:rsid w:val="2946433C"/>
    <w:rsid w:val="29596C75"/>
    <w:rsid w:val="296CFB7C"/>
    <w:rsid w:val="29B0CFB6"/>
    <w:rsid w:val="29B29217"/>
    <w:rsid w:val="29B5A39E"/>
    <w:rsid w:val="29C02888"/>
    <w:rsid w:val="29D648A0"/>
    <w:rsid w:val="29FA32CB"/>
    <w:rsid w:val="2A358125"/>
    <w:rsid w:val="2A4ACDB1"/>
    <w:rsid w:val="2A5B233C"/>
    <w:rsid w:val="2A6242F1"/>
    <w:rsid w:val="2A68FAE6"/>
    <w:rsid w:val="2A8E7C27"/>
    <w:rsid w:val="2AC6CD44"/>
    <w:rsid w:val="2ACEA0CB"/>
    <w:rsid w:val="2ADC2438"/>
    <w:rsid w:val="2B1130D0"/>
    <w:rsid w:val="2B1FC6DB"/>
    <w:rsid w:val="2B29E913"/>
    <w:rsid w:val="2B32D4C4"/>
    <w:rsid w:val="2B5BB0CE"/>
    <w:rsid w:val="2B85806A"/>
    <w:rsid w:val="2B8C175C"/>
    <w:rsid w:val="2B9A1C1F"/>
    <w:rsid w:val="2BD19DC6"/>
    <w:rsid w:val="2C23E9F6"/>
    <w:rsid w:val="2C2E989F"/>
    <w:rsid w:val="2C34D85C"/>
    <w:rsid w:val="2C3B4467"/>
    <w:rsid w:val="2C4496C9"/>
    <w:rsid w:val="2C4D5512"/>
    <w:rsid w:val="2C63B6A6"/>
    <w:rsid w:val="2C775DF4"/>
    <w:rsid w:val="2C8EDA9F"/>
    <w:rsid w:val="2CD92975"/>
    <w:rsid w:val="2CE8BC5F"/>
    <w:rsid w:val="2D16B51E"/>
    <w:rsid w:val="2D2583E5"/>
    <w:rsid w:val="2D5CDB04"/>
    <w:rsid w:val="2D6F3026"/>
    <w:rsid w:val="2D7AAFBB"/>
    <w:rsid w:val="2D94D60A"/>
    <w:rsid w:val="2DBAE422"/>
    <w:rsid w:val="2DC18AC0"/>
    <w:rsid w:val="2DC40C8D"/>
    <w:rsid w:val="2DF88877"/>
    <w:rsid w:val="2E0AC047"/>
    <w:rsid w:val="2E63405D"/>
    <w:rsid w:val="2E7253DA"/>
    <w:rsid w:val="2E9842E0"/>
    <w:rsid w:val="2E993F31"/>
    <w:rsid w:val="2EB30925"/>
    <w:rsid w:val="2EFFBF32"/>
    <w:rsid w:val="2F4C60BA"/>
    <w:rsid w:val="2F7B7C14"/>
    <w:rsid w:val="2F7D6D7B"/>
    <w:rsid w:val="2FBFBBDC"/>
    <w:rsid w:val="303ACC15"/>
    <w:rsid w:val="30423BAF"/>
    <w:rsid w:val="305773C1"/>
    <w:rsid w:val="30712DB5"/>
    <w:rsid w:val="308C7EC3"/>
    <w:rsid w:val="30E48CDD"/>
    <w:rsid w:val="30F6E136"/>
    <w:rsid w:val="3100B93F"/>
    <w:rsid w:val="312E5B8B"/>
    <w:rsid w:val="313DEFA7"/>
    <w:rsid w:val="319A0FDE"/>
    <w:rsid w:val="31D0263A"/>
    <w:rsid w:val="31D0AD88"/>
    <w:rsid w:val="31D63300"/>
    <w:rsid w:val="31F308A5"/>
    <w:rsid w:val="31FE966E"/>
    <w:rsid w:val="3218153E"/>
    <w:rsid w:val="32329E44"/>
    <w:rsid w:val="323D2EB3"/>
    <w:rsid w:val="324290AE"/>
    <w:rsid w:val="32A06355"/>
    <w:rsid w:val="32D5DC56"/>
    <w:rsid w:val="32F1FD5E"/>
    <w:rsid w:val="32FFB493"/>
    <w:rsid w:val="330B5F26"/>
    <w:rsid w:val="33104BEC"/>
    <w:rsid w:val="33451B83"/>
    <w:rsid w:val="335DC0B1"/>
    <w:rsid w:val="338FA360"/>
    <w:rsid w:val="33A577C6"/>
    <w:rsid w:val="33A97D79"/>
    <w:rsid w:val="33C8F942"/>
    <w:rsid w:val="33CB6DC0"/>
    <w:rsid w:val="33CC66FA"/>
    <w:rsid w:val="33EE7F0E"/>
    <w:rsid w:val="33EF82EE"/>
    <w:rsid w:val="340F1538"/>
    <w:rsid w:val="3413D493"/>
    <w:rsid w:val="3416EEB8"/>
    <w:rsid w:val="343673A1"/>
    <w:rsid w:val="343E1C0A"/>
    <w:rsid w:val="344AD878"/>
    <w:rsid w:val="346770AB"/>
    <w:rsid w:val="3470E585"/>
    <w:rsid w:val="34AF615E"/>
    <w:rsid w:val="34E5B411"/>
    <w:rsid w:val="352C0FEB"/>
    <w:rsid w:val="3544A6A3"/>
    <w:rsid w:val="3571EE1C"/>
    <w:rsid w:val="359A870D"/>
    <w:rsid w:val="35B7F39A"/>
    <w:rsid w:val="35C965E1"/>
    <w:rsid w:val="35CE128A"/>
    <w:rsid w:val="36134A36"/>
    <w:rsid w:val="3631F8DD"/>
    <w:rsid w:val="3656B494"/>
    <w:rsid w:val="36701B62"/>
    <w:rsid w:val="367C9C6E"/>
    <w:rsid w:val="369F3201"/>
    <w:rsid w:val="36B2B86C"/>
    <w:rsid w:val="36B6FEC9"/>
    <w:rsid w:val="36E92B28"/>
    <w:rsid w:val="370A9CCC"/>
    <w:rsid w:val="37314549"/>
    <w:rsid w:val="3747D23C"/>
    <w:rsid w:val="375C88BA"/>
    <w:rsid w:val="379DDBED"/>
    <w:rsid w:val="37E71C7B"/>
    <w:rsid w:val="37ED3378"/>
    <w:rsid w:val="37EF1F13"/>
    <w:rsid w:val="385A34F3"/>
    <w:rsid w:val="3860C78A"/>
    <w:rsid w:val="386D8624"/>
    <w:rsid w:val="38A3E187"/>
    <w:rsid w:val="38AF4485"/>
    <w:rsid w:val="38BC4EEB"/>
    <w:rsid w:val="38D1E80D"/>
    <w:rsid w:val="38E05C52"/>
    <w:rsid w:val="38EF5975"/>
    <w:rsid w:val="38F23F13"/>
    <w:rsid w:val="391112AB"/>
    <w:rsid w:val="3927A5FE"/>
    <w:rsid w:val="39377D2F"/>
    <w:rsid w:val="39396FD2"/>
    <w:rsid w:val="39408714"/>
    <w:rsid w:val="3940E410"/>
    <w:rsid w:val="397B17A8"/>
    <w:rsid w:val="39812576"/>
    <w:rsid w:val="3985FBC9"/>
    <w:rsid w:val="3991C972"/>
    <w:rsid w:val="39996B36"/>
    <w:rsid w:val="39CC38F1"/>
    <w:rsid w:val="39D1D9DA"/>
    <w:rsid w:val="39E3BAC1"/>
    <w:rsid w:val="39F4F4E0"/>
    <w:rsid w:val="3A0FAEB7"/>
    <w:rsid w:val="3A58EE85"/>
    <w:rsid w:val="3A808CD1"/>
    <w:rsid w:val="3A898042"/>
    <w:rsid w:val="3AA28E26"/>
    <w:rsid w:val="3AA3B337"/>
    <w:rsid w:val="3AA5D492"/>
    <w:rsid w:val="3AB69EF3"/>
    <w:rsid w:val="3AF6F52C"/>
    <w:rsid w:val="3B08C671"/>
    <w:rsid w:val="3B198887"/>
    <w:rsid w:val="3B4C85C4"/>
    <w:rsid w:val="3B6A4490"/>
    <w:rsid w:val="3B6E46A7"/>
    <w:rsid w:val="3B9E6127"/>
    <w:rsid w:val="3BC24CC9"/>
    <w:rsid w:val="3BE552DE"/>
    <w:rsid w:val="3BE6ED66"/>
    <w:rsid w:val="3C39BD90"/>
    <w:rsid w:val="3C3FC6DD"/>
    <w:rsid w:val="3C4A5767"/>
    <w:rsid w:val="3C74A0B3"/>
    <w:rsid w:val="3C98F2DE"/>
    <w:rsid w:val="3CACDEDC"/>
    <w:rsid w:val="3CC89E74"/>
    <w:rsid w:val="3CDAD7C9"/>
    <w:rsid w:val="3CEF63E6"/>
    <w:rsid w:val="3CF79ECE"/>
    <w:rsid w:val="3D07F80F"/>
    <w:rsid w:val="3D156DA8"/>
    <w:rsid w:val="3D2D2125"/>
    <w:rsid w:val="3D345BE4"/>
    <w:rsid w:val="3D38B69C"/>
    <w:rsid w:val="3D45A3E5"/>
    <w:rsid w:val="3D4A4C10"/>
    <w:rsid w:val="3D4EB388"/>
    <w:rsid w:val="3D5958D5"/>
    <w:rsid w:val="3D5C2ED2"/>
    <w:rsid w:val="3D6844A2"/>
    <w:rsid w:val="3D92AAF5"/>
    <w:rsid w:val="3DA630DC"/>
    <w:rsid w:val="3DD0898C"/>
    <w:rsid w:val="3DD68B38"/>
    <w:rsid w:val="3DED1280"/>
    <w:rsid w:val="3E62C50A"/>
    <w:rsid w:val="3E72F6D7"/>
    <w:rsid w:val="3E7FE72D"/>
    <w:rsid w:val="3E86FB31"/>
    <w:rsid w:val="3E919DA2"/>
    <w:rsid w:val="3E9917EF"/>
    <w:rsid w:val="3EB544DC"/>
    <w:rsid w:val="3EC73FFA"/>
    <w:rsid w:val="3EE4B329"/>
    <w:rsid w:val="3EF5B410"/>
    <w:rsid w:val="3EF970EF"/>
    <w:rsid w:val="3F11368A"/>
    <w:rsid w:val="3F6A4239"/>
    <w:rsid w:val="3FB1295D"/>
    <w:rsid w:val="3FD8B113"/>
    <w:rsid w:val="3FE8169B"/>
    <w:rsid w:val="3FF3DAF3"/>
    <w:rsid w:val="3FFE1BA2"/>
    <w:rsid w:val="401699BB"/>
    <w:rsid w:val="40170BF6"/>
    <w:rsid w:val="4020020B"/>
    <w:rsid w:val="402C3D51"/>
    <w:rsid w:val="404E13CC"/>
    <w:rsid w:val="405966AF"/>
    <w:rsid w:val="4085EB8C"/>
    <w:rsid w:val="409C5E7C"/>
    <w:rsid w:val="40D647E3"/>
    <w:rsid w:val="40DB394A"/>
    <w:rsid w:val="40DBC19A"/>
    <w:rsid w:val="40F5AF14"/>
    <w:rsid w:val="410708B9"/>
    <w:rsid w:val="4108395D"/>
    <w:rsid w:val="412A2023"/>
    <w:rsid w:val="412C1030"/>
    <w:rsid w:val="4185C0FA"/>
    <w:rsid w:val="41A12433"/>
    <w:rsid w:val="41B8A9DD"/>
    <w:rsid w:val="41E4B58F"/>
    <w:rsid w:val="41EB73C9"/>
    <w:rsid w:val="4236920C"/>
    <w:rsid w:val="423F772E"/>
    <w:rsid w:val="42708CC9"/>
    <w:rsid w:val="4281365E"/>
    <w:rsid w:val="42A71FE4"/>
    <w:rsid w:val="42C4081A"/>
    <w:rsid w:val="42C4F3F2"/>
    <w:rsid w:val="42DAFEAF"/>
    <w:rsid w:val="42ED3ADD"/>
    <w:rsid w:val="4300FE42"/>
    <w:rsid w:val="43018A23"/>
    <w:rsid w:val="430942C4"/>
    <w:rsid w:val="431041C5"/>
    <w:rsid w:val="434F09ED"/>
    <w:rsid w:val="4369A298"/>
    <w:rsid w:val="438C01E2"/>
    <w:rsid w:val="439D3B07"/>
    <w:rsid w:val="43AC7D4E"/>
    <w:rsid w:val="43ADB25D"/>
    <w:rsid w:val="43C1EA04"/>
    <w:rsid w:val="43C781C5"/>
    <w:rsid w:val="43CFB146"/>
    <w:rsid w:val="4404867F"/>
    <w:rsid w:val="4425A4DB"/>
    <w:rsid w:val="446509FE"/>
    <w:rsid w:val="447EDD29"/>
    <w:rsid w:val="44879C3E"/>
    <w:rsid w:val="44D50813"/>
    <w:rsid w:val="45248FEC"/>
    <w:rsid w:val="454110B7"/>
    <w:rsid w:val="454D111C"/>
    <w:rsid w:val="45B0D568"/>
    <w:rsid w:val="45C1C797"/>
    <w:rsid w:val="45D968EE"/>
    <w:rsid w:val="45DA7124"/>
    <w:rsid w:val="45FC9679"/>
    <w:rsid w:val="460AF55F"/>
    <w:rsid w:val="4617B888"/>
    <w:rsid w:val="4620472E"/>
    <w:rsid w:val="4620C26A"/>
    <w:rsid w:val="462C934E"/>
    <w:rsid w:val="463C4326"/>
    <w:rsid w:val="464F92A8"/>
    <w:rsid w:val="465F3FFC"/>
    <w:rsid w:val="4684A969"/>
    <w:rsid w:val="46CDB1A1"/>
    <w:rsid w:val="46CDFE33"/>
    <w:rsid w:val="46CFF24A"/>
    <w:rsid w:val="46E3FFFE"/>
    <w:rsid w:val="46E9009D"/>
    <w:rsid w:val="47501C4E"/>
    <w:rsid w:val="47590175"/>
    <w:rsid w:val="476923AF"/>
    <w:rsid w:val="47B5EF09"/>
    <w:rsid w:val="47DAB883"/>
    <w:rsid w:val="4804A1D7"/>
    <w:rsid w:val="480A5E6B"/>
    <w:rsid w:val="48313887"/>
    <w:rsid w:val="485FBE83"/>
    <w:rsid w:val="48783C95"/>
    <w:rsid w:val="48940EE1"/>
    <w:rsid w:val="48A71D54"/>
    <w:rsid w:val="4934AC35"/>
    <w:rsid w:val="499D2BF7"/>
    <w:rsid w:val="49D2F26F"/>
    <w:rsid w:val="49DE137B"/>
    <w:rsid w:val="4A05199A"/>
    <w:rsid w:val="4A145BB7"/>
    <w:rsid w:val="4A50BC0B"/>
    <w:rsid w:val="4AC6CC15"/>
    <w:rsid w:val="4AC74313"/>
    <w:rsid w:val="4AC7A030"/>
    <w:rsid w:val="4AF56B33"/>
    <w:rsid w:val="4AF9FCD2"/>
    <w:rsid w:val="4AFF6BBF"/>
    <w:rsid w:val="4B18C3EA"/>
    <w:rsid w:val="4B2710FD"/>
    <w:rsid w:val="4B486331"/>
    <w:rsid w:val="4B4D3827"/>
    <w:rsid w:val="4B74E0A6"/>
    <w:rsid w:val="4BB09420"/>
    <w:rsid w:val="4BC83B21"/>
    <w:rsid w:val="4BCF389F"/>
    <w:rsid w:val="4BE45E9E"/>
    <w:rsid w:val="4BFEA8D8"/>
    <w:rsid w:val="4C3FDDFC"/>
    <w:rsid w:val="4C41365A"/>
    <w:rsid w:val="4C46C5A1"/>
    <w:rsid w:val="4C58268C"/>
    <w:rsid w:val="4C7A98BD"/>
    <w:rsid w:val="4C7B4C6C"/>
    <w:rsid w:val="4C7E927B"/>
    <w:rsid w:val="4CE6EB56"/>
    <w:rsid w:val="4CEAA7E8"/>
    <w:rsid w:val="4D060F1A"/>
    <w:rsid w:val="4D20757D"/>
    <w:rsid w:val="4D216CDF"/>
    <w:rsid w:val="4D2C9A53"/>
    <w:rsid w:val="4D313D99"/>
    <w:rsid w:val="4D379A1A"/>
    <w:rsid w:val="4D44633E"/>
    <w:rsid w:val="4D6D50E4"/>
    <w:rsid w:val="4D79C9FD"/>
    <w:rsid w:val="4DDA55C3"/>
    <w:rsid w:val="4DF6EC92"/>
    <w:rsid w:val="4E0B0040"/>
    <w:rsid w:val="4E1DE295"/>
    <w:rsid w:val="4E2905FD"/>
    <w:rsid w:val="4E2F6351"/>
    <w:rsid w:val="4E31BFF0"/>
    <w:rsid w:val="4E461AD2"/>
    <w:rsid w:val="4E50ABE7"/>
    <w:rsid w:val="4E5DC430"/>
    <w:rsid w:val="4E656B72"/>
    <w:rsid w:val="4E704DF5"/>
    <w:rsid w:val="4E8E6A7B"/>
    <w:rsid w:val="4E975EC3"/>
    <w:rsid w:val="4EA44CD0"/>
    <w:rsid w:val="4EBB83CC"/>
    <w:rsid w:val="4ECA61B0"/>
    <w:rsid w:val="4EE19D00"/>
    <w:rsid w:val="4EE41D5B"/>
    <w:rsid w:val="4F002A03"/>
    <w:rsid w:val="4F372905"/>
    <w:rsid w:val="4F4146AF"/>
    <w:rsid w:val="4F69F386"/>
    <w:rsid w:val="4F713652"/>
    <w:rsid w:val="4F7C17CF"/>
    <w:rsid w:val="4F7D1D9D"/>
    <w:rsid w:val="4FA408B3"/>
    <w:rsid w:val="4FB30B6E"/>
    <w:rsid w:val="4FE49CC7"/>
    <w:rsid w:val="4FF98916"/>
    <w:rsid w:val="500C6B0E"/>
    <w:rsid w:val="50216BF4"/>
    <w:rsid w:val="502B8BEC"/>
    <w:rsid w:val="506BA321"/>
    <w:rsid w:val="5096D285"/>
    <w:rsid w:val="509AEDB2"/>
    <w:rsid w:val="50A2DB64"/>
    <w:rsid w:val="50C62E5A"/>
    <w:rsid w:val="50CB1E8C"/>
    <w:rsid w:val="50FCD750"/>
    <w:rsid w:val="5102F2B3"/>
    <w:rsid w:val="510A0932"/>
    <w:rsid w:val="5162ECCA"/>
    <w:rsid w:val="517EEC9C"/>
    <w:rsid w:val="518161BB"/>
    <w:rsid w:val="51938FBA"/>
    <w:rsid w:val="519DF33B"/>
    <w:rsid w:val="51BE6A29"/>
    <w:rsid w:val="51CA3347"/>
    <w:rsid w:val="51FF92DB"/>
    <w:rsid w:val="5203E71A"/>
    <w:rsid w:val="5205910C"/>
    <w:rsid w:val="521D0476"/>
    <w:rsid w:val="522B7A64"/>
    <w:rsid w:val="522E5ED9"/>
    <w:rsid w:val="5253722F"/>
    <w:rsid w:val="5263AA42"/>
    <w:rsid w:val="5271107D"/>
    <w:rsid w:val="5275A05F"/>
    <w:rsid w:val="52C0F5FD"/>
    <w:rsid w:val="52EBBE45"/>
    <w:rsid w:val="53035F77"/>
    <w:rsid w:val="5306B94F"/>
    <w:rsid w:val="53118A87"/>
    <w:rsid w:val="532C1350"/>
    <w:rsid w:val="5347A718"/>
    <w:rsid w:val="539560C8"/>
    <w:rsid w:val="53A8FB89"/>
    <w:rsid w:val="53BF3EC6"/>
    <w:rsid w:val="53D0CC06"/>
    <w:rsid w:val="53D4DD3E"/>
    <w:rsid w:val="5404B953"/>
    <w:rsid w:val="5417DCF5"/>
    <w:rsid w:val="5436863A"/>
    <w:rsid w:val="546FA9D9"/>
    <w:rsid w:val="54990EC3"/>
    <w:rsid w:val="54AC96FC"/>
    <w:rsid w:val="54D65C44"/>
    <w:rsid w:val="54DBC641"/>
    <w:rsid w:val="54E41524"/>
    <w:rsid w:val="5513B736"/>
    <w:rsid w:val="55373087"/>
    <w:rsid w:val="55459B2E"/>
    <w:rsid w:val="5577AE2B"/>
    <w:rsid w:val="55AA73A1"/>
    <w:rsid w:val="55ACC157"/>
    <w:rsid w:val="55C31ECC"/>
    <w:rsid w:val="55D02D29"/>
    <w:rsid w:val="560668FB"/>
    <w:rsid w:val="561438C4"/>
    <w:rsid w:val="562268C3"/>
    <w:rsid w:val="5637708E"/>
    <w:rsid w:val="563E9EE6"/>
    <w:rsid w:val="5657B76E"/>
    <w:rsid w:val="567440D7"/>
    <w:rsid w:val="56865C42"/>
    <w:rsid w:val="56937FB4"/>
    <w:rsid w:val="569BC330"/>
    <w:rsid w:val="56A2EA7D"/>
    <w:rsid w:val="570BE2FD"/>
    <w:rsid w:val="571E9333"/>
    <w:rsid w:val="57320658"/>
    <w:rsid w:val="575590F4"/>
    <w:rsid w:val="5763992D"/>
    <w:rsid w:val="57898990"/>
    <w:rsid w:val="578AFF02"/>
    <w:rsid w:val="57A1349B"/>
    <w:rsid w:val="57ACD0AC"/>
    <w:rsid w:val="57C3F601"/>
    <w:rsid w:val="58C652B0"/>
    <w:rsid w:val="58C97CDB"/>
    <w:rsid w:val="58DD52EE"/>
    <w:rsid w:val="58E28BB7"/>
    <w:rsid w:val="58E97174"/>
    <w:rsid w:val="59032608"/>
    <w:rsid w:val="590E4206"/>
    <w:rsid w:val="592A7D5F"/>
    <w:rsid w:val="5946F674"/>
    <w:rsid w:val="594DE6C7"/>
    <w:rsid w:val="594FDDE6"/>
    <w:rsid w:val="59547603"/>
    <w:rsid w:val="5964C3AF"/>
    <w:rsid w:val="59958B22"/>
    <w:rsid w:val="59A58DB4"/>
    <w:rsid w:val="59A96A8F"/>
    <w:rsid w:val="59AA7FFF"/>
    <w:rsid w:val="59CC60A4"/>
    <w:rsid w:val="59F32BD4"/>
    <w:rsid w:val="5A1F4613"/>
    <w:rsid w:val="5A466224"/>
    <w:rsid w:val="5A500CF8"/>
    <w:rsid w:val="5A512628"/>
    <w:rsid w:val="5A596EE7"/>
    <w:rsid w:val="5A80ED96"/>
    <w:rsid w:val="5AAAA99C"/>
    <w:rsid w:val="5AAAE218"/>
    <w:rsid w:val="5ABCA5AA"/>
    <w:rsid w:val="5ADF24B8"/>
    <w:rsid w:val="5AE1CFCD"/>
    <w:rsid w:val="5B1B2ACF"/>
    <w:rsid w:val="5B27C998"/>
    <w:rsid w:val="5B2AD92F"/>
    <w:rsid w:val="5B6025CD"/>
    <w:rsid w:val="5B67D1E5"/>
    <w:rsid w:val="5B870143"/>
    <w:rsid w:val="5B8A83A6"/>
    <w:rsid w:val="5BA16E19"/>
    <w:rsid w:val="5BA95A4D"/>
    <w:rsid w:val="5BD80AC1"/>
    <w:rsid w:val="5C2148C4"/>
    <w:rsid w:val="5C238A03"/>
    <w:rsid w:val="5C259564"/>
    <w:rsid w:val="5C49473B"/>
    <w:rsid w:val="5C537D7A"/>
    <w:rsid w:val="5C68A925"/>
    <w:rsid w:val="5C85093F"/>
    <w:rsid w:val="5CA6ADEA"/>
    <w:rsid w:val="5CB8D3E0"/>
    <w:rsid w:val="5CC6876D"/>
    <w:rsid w:val="5CDDF42A"/>
    <w:rsid w:val="5CE650F2"/>
    <w:rsid w:val="5CF1CFBA"/>
    <w:rsid w:val="5D027E46"/>
    <w:rsid w:val="5D7C2003"/>
    <w:rsid w:val="5DB1984B"/>
    <w:rsid w:val="5DC196F9"/>
    <w:rsid w:val="5DDAE9BD"/>
    <w:rsid w:val="5DE1F1FA"/>
    <w:rsid w:val="5E2C13F4"/>
    <w:rsid w:val="5E69B36A"/>
    <w:rsid w:val="5E7338DF"/>
    <w:rsid w:val="5E8786C1"/>
    <w:rsid w:val="5E9EA0F7"/>
    <w:rsid w:val="5EE84BF5"/>
    <w:rsid w:val="5F1444B5"/>
    <w:rsid w:val="5F1BF3CE"/>
    <w:rsid w:val="5F4CFA4B"/>
    <w:rsid w:val="5F60FEAB"/>
    <w:rsid w:val="5F6A5342"/>
    <w:rsid w:val="5F714C64"/>
    <w:rsid w:val="5F76A971"/>
    <w:rsid w:val="5F7D3E58"/>
    <w:rsid w:val="5FBCED36"/>
    <w:rsid w:val="5FE5A39E"/>
    <w:rsid w:val="5FFE318E"/>
    <w:rsid w:val="600F67AB"/>
    <w:rsid w:val="601F49F8"/>
    <w:rsid w:val="603DFAEC"/>
    <w:rsid w:val="6060B7F5"/>
    <w:rsid w:val="611B0E8D"/>
    <w:rsid w:val="6121DC2D"/>
    <w:rsid w:val="615F9CCA"/>
    <w:rsid w:val="61692B2E"/>
    <w:rsid w:val="6178E866"/>
    <w:rsid w:val="6186DB44"/>
    <w:rsid w:val="61D89136"/>
    <w:rsid w:val="620C4004"/>
    <w:rsid w:val="621BECBB"/>
    <w:rsid w:val="62589F49"/>
    <w:rsid w:val="62791877"/>
    <w:rsid w:val="6287A84E"/>
    <w:rsid w:val="62955911"/>
    <w:rsid w:val="629F8701"/>
    <w:rsid w:val="62BF281C"/>
    <w:rsid w:val="62D3C5F5"/>
    <w:rsid w:val="62E9AF50"/>
    <w:rsid w:val="62F2FE99"/>
    <w:rsid w:val="630C70FC"/>
    <w:rsid w:val="631A23F2"/>
    <w:rsid w:val="631BF98F"/>
    <w:rsid w:val="632ACE3B"/>
    <w:rsid w:val="6355111C"/>
    <w:rsid w:val="6357C540"/>
    <w:rsid w:val="6380EB83"/>
    <w:rsid w:val="6383F6D2"/>
    <w:rsid w:val="6393D63D"/>
    <w:rsid w:val="63AC8B30"/>
    <w:rsid w:val="63AE94AA"/>
    <w:rsid w:val="63BCC1CA"/>
    <w:rsid w:val="63D0A679"/>
    <w:rsid w:val="63F96644"/>
    <w:rsid w:val="640F5074"/>
    <w:rsid w:val="644CB9DE"/>
    <w:rsid w:val="6470BF01"/>
    <w:rsid w:val="64779420"/>
    <w:rsid w:val="6482F088"/>
    <w:rsid w:val="648D8185"/>
    <w:rsid w:val="64B2AE63"/>
    <w:rsid w:val="64D423B0"/>
    <w:rsid w:val="64E6EEA9"/>
    <w:rsid w:val="64F06960"/>
    <w:rsid w:val="64F64EF8"/>
    <w:rsid w:val="650C64F3"/>
    <w:rsid w:val="65311B53"/>
    <w:rsid w:val="6532068B"/>
    <w:rsid w:val="65651076"/>
    <w:rsid w:val="657F9C1D"/>
    <w:rsid w:val="65986728"/>
    <w:rsid w:val="65CFFEFD"/>
    <w:rsid w:val="66107676"/>
    <w:rsid w:val="66154E35"/>
    <w:rsid w:val="66243870"/>
    <w:rsid w:val="66292883"/>
    <w:rsid w:val="662D1A81"/>
    <w:rsid w:val="66596463"/>
    <w:rsid w:val="666BB14A"/>
    <w:rsid w:val="66965E7C"/>
    <w:rsid w:val="66A7C9E1"/>
    <w:rsid w:val="66FC2034"/>
    <w:rsid w:val="6701A536"/>
    <w:rsid w:val="6701F41F"/>
    <w:rsid w:val="6714F58E"/>
    <w:rsid w:val="6740AD01"/>
    <w:rsid w:val="6746BFE6"/>
    <w:rsid w:val="6749E285"/>
    <w:rsid w:val="67542FB8"/>
    <w:rsid w:val="675981B6"/>
    <w:rsid w:val="6764EEEA"/>
    <w:rsid w:val="67762550"/>
    <w:rsid w:val="67B9AE3E"/>
    <w:rsid w:val="67C89E58"/>
    <w:rsid w:val="68091E62"/>
    <w:rsid w:val="6829D73E"/>
    <w:rsid w:val="684F2322"/>
    <w:rsid w:val="687C49EE"/>
    <w:rsid w:val="68828E0C"/>
    <w:rsid w:val="6896DF2A"/>
    <w:rsid w:val="68C9E4CA"/>
    <w:rsid w:val="68D0A2EB"/>
    <w:rsid w:val="68E9DC9D"/>
    <w:rsid w:val="68F2ECC7"/>
    <w:rsid w:val="68FEE616"/>
    <w:rsid w:val="6913FA1F"/>
    <w:rsid w:val="691ED468"/>
    <w:rsid w:val="69521835"/>
    <w:rsid w:val="6966A7E3"/>
    <w:rsid w:val="6970E999"/>
    <w:rsid w:val="6992797F"/>
    <w:rsid w:val="69937A31"/>
    <w:rsid w:val="69A88F09"/>
    <w:rsid w:val="69AAA0D1"/>
    <w:rsid w:val="69C093F7"/>
    <w:rsid w:val="69C5CD57"/>
    <w:rsid w:val="69D3E96B"/>
    <w:rsid w:val="6A0235E1"/>
    <w:rsid w:val="6A203677"/>
    <w:rsid w:val="6A48497E"/>
    <w:rsid w:val="6A60A398"/>
    <w:rsid w:val="6A6AF90F"/>
    <w:rsid w:val="6A6BB2A5"/>
    <w:rsid w:val="6A8B3832"/>
    <w:rsid w:val="6AF30E76"/>
    <w:rsid w:val="6AF3DE15"/>
    <w:rsid w:val="6AF8CD8E"/>
    <w:rsid w:val="6B0156F5"/>
    <w:rsid w:val="6B288988"/>
    <w:rsid w:val="6B583312"/>
    <w:rsid w:val="6B8081C3"/>
    <w:rsid w:val="6BAA6F03"/>
    <w:rsid w:val="6BB30A3E"/>
    <w:rsid w:val="6BC64F81"/>
    <w:rsid w:val="6BCDC171"/>
    <w:rsid w:val="6BE40CC0"/>
    <w:rsid w:val="6BEFFD0B"/>
    <w:rsid w:val="6C5C57E9"/>
    <w:rsid w:val="6C5CE0AB"/>
    <w:rsid w:val="6C7D7B7B"/>
    <w:rsid w:val="6C9AEA48"/>
    <w:rsid w:val="6CA7C962"/>
    <w:rsid w:val="6CD7A300"/>
    <w:rsid w:val="6CED5A54"/>
    <w:rsid w:val="6D031422"/>
    <w:rsid w:val="6D160ACE"/>
    <w:rsid w:val="6D47EEA0"/>
    <w:rsid w:val="6D82658B"/>
    <w:rsid w:val="6DA4DBBE"/>
    <w:rsid w:val="6DB35AD2"/>
    <w:rsid w:val="6DB5A99A"/>
    <w:rsid w:val="6DE76667"/>
    <w:rsid w:val="6E38A2A4"/>
    <w:rsid w:val="6E5B778C"/>
    <w:rsid w:val="6E88B660"/>
    <w:rsid w:val="6E9C10E9"/>
    <w:rsid w:val="6EE142DB"/>
    <w:rsid w:val="6EF2C0EA"/>
    <w:rsid w:val="6F1DE3B0"/>
    <w:rsid w:val="6F2FD6D1"/>
    <w:rsid w:val="6F390F12"/>
    <w:rsid w:val="6F4E5E71"/>
    <w:rsid w:val="6F7DEE72"/>
    <w:rsid w:val="6F8F489A"/>
    <w:rsid w:val="6F9D1815"/>
    <w:rsid w:val="6FB4BE0B"/>
    <w:rsid w:val="6FB5CCC5"/>
    <w:rsid w:val="6FBFF5F6"/>
    <w:rsid w:val="6FC24A9D"/>
    <w:rsid w:val="6FC4FDF7"/>
    <w:rsid w:val="6FCD82FD"/>
    <w:rsid w:val="6FF0B7D0"/>
    <w:rsid w:val="700EE82E"/>
    <w:rsid w:val="702DC31A"/>
    <w:rsid w:val="704D420B"/>
    <w:rsid w:val="705EE047"/>
    <w:rsid w:val="7077C1F6"/>
    <w:rsid w:val="7086470E"/>
    <w:rsid w:val="70935137"/>
    <w:rsid w:val="70DBE63D"/>
    <w:rsid w:val="70F55789"/>
    <w:rsid w:val="70FAD37E"/>
    <w:rsid w:val="71070F63"/>
    <w:rsid w:val="7158453B"/>
    <w:rsid w:val="71674BB7"/>
    <w:rsid w:val="7183EB89"/>
    <w:rsid w:val="7186780B"/>
    <w:rsid w:val="7193D131"/>
    <w:rsid w:val="71BA5147"/>
    <w:rsid w:val="71D5D284"/>
    <w:rsid w:val="71D999BF"/>
    <w:rsid w:val="71EB597D"/>
    <w:rsid w:val="727E6F25"/>
    <w:rsid w:val="728070AE"/>
    <w:rsid w:val="7283EB36"/>
    <w:rsid w:val="7288881D"/>
    <w:rsid w:val="728CCB14"/>
    <w:rsid w:val="72B743D2"/>
    <w:rsid w:val="72F31405"/>
    <w:rsid w:val="73370100"/>
    <w:rsid w:val="734C3EBE"/>
    <w:rsid w:val="739DE43E"/>
    <w:rsid w:val="73E29E46"/>
    <w:rsid w:val="74008323"/>
    <w:rsid w:val="74290BF3"/>
    <w:rsid w:val="743C8FDF"/>
    <w:rsid w:val="745E55D3"/>
    <w:rsid w:val="745EF868"/>
    <w:rsid w:val="7476F680"/>
    <w:rsid w:val="74858B71"/>
    <w:rsid w:val="74B29D3E"/>
    <w:rsid w:val="74BC9DC0"/>
    <w:rsid w:val="74C2CDD0"/>
    <w:rsid w:val="74CA7F38"/>
    <w:rsid w:val="7508007F"/>
    <w:rsid w:val="753C697E"/>
    <w:rsid w:val="754E3825"/>
    <w:rsid w:val="75608341"/>
    <w:rsid w:val="757E98B0"/>
    <w:rsid w:val="7586F81A"/>
    <w:rsid w:val="758ED5DE"/>
    <w:rsid w:val="75BC58B2"/>
    <w:rsid w:val="75D2F5D5"/>
    <w:rsid w:val="7630FE92"/>
    <w:rsid w:val="763520EF"/>
    <w:rsid w:val="76396FBD"/>
    <w:rsid w:val="7645DF5A"/>
    <w:rsid w:val="76517BE4"/>
    <w:rsid w:val="7660BC84"/>
    <w:rsid w:val="7680F30C"/>
    <w:rsid w:val="76A0AFFE"/>
    <w:rsid w:val="76CD1171"/>
    <w:rsid w:val="76F56F28"/>
    <w:rsid w:val="770A10A9"/>
    <w:rsid w:val="771642E2"/>
    <w:rsid w:val="7725ED64"/>
    <w:rsid w:val="7762F701"/>
    <w:rsid w:val="77A1E4E8"/>
    <w:rsid w:val="77C04E2B"/>
    <w:rsid w:val="77E74168"/>
    <w:rsid w:val="77FE934C"/>
    <w:rsid w:val="7812475A"/>
    <w:rsid w:val="781706E1"/>
    <w:rsid w:val="781C8BD7"/>
    <w:rsid w:val="781F4AD0"/>
    <w:rsid w:val="784D83F9"/>
    <w:rsid w:val="786D0450"/>
    <w:rsid w:val="786E30FD"/>
    <w:rsid w:val="788F3E0D"/>
    <w:rsid w:val="78AB6BC9"/>
    <w:rsid w:val="78DF26B5"/>
    <w:rsid w:val="78E7BC66"/>
    <w:rsid w:val="78FAD24A"/>
    <w:rsid w:val="791A9BCA"/>
    <w:rsid w:val="79252596"/>
    <w:rsid w:val="79782303"/>
    <w:rsid w:val="79CA5B3F"/>
    <w:rsid w:val="79E4EBB8"/>
    <w:rsid w:val="7A2E2568"/>
    <w:rsid w:val="7A411C8C"/>
    <w:rsid w:val="7A472A04"/>
    <w:rsid w:val="7A63779C"/>
    <w:rsid w:val="7A64155B"/>
    <w:rsid w:val="7A740CEC"/>
    <w:rsid w:val="7A7C97F8"/>
    <w:rsid w:val="7A88C6BF"/>
    <w:rsid w:val="7A89F2C1"/>
    <w:rsid w:val="7AABF474"/>
    <w:rsid w:val="7AB493FF"/>
    <w:rsid w:val="7AE19EDC"/>
    <w:rsid w:val="7AE77411"/>
    <w:rsid w:val="7B0738B0"/>
    <w:rsid w:val="7B127081"/>
    <w:rsid w:val="7B17A948"/>
    <w:rsid w:val="7B96E6A4"/>
    <w:rsid w:val="7B9B45F0"/>
    <w:rsid w:val="7BA10DFD"/>
    <w:rsid w:val="7BF16C95"/>
    <w:rsid w:val="7C2A75A0"/>
    <w:rsid w:val="7C329D82"/>
    <w:rsid w:val="7C519E71"/>
    <w:rsid w:val="7C565E3C"/>
    <w:rsid w:val="7C85E4D0"/>
    <w:rsid w:val="7C9B87AC"/>
    <w:rsid w:val="7CB8726A"/>
    <w:rsid w:val="7CBC952E"/>
    <w:rsid w:val="7CC2EC8E"/>
    <w:rsid w:val="7CD9E883"/>
    <w:rsid w:val="7CEFAFEC"/>
    <w:rsid w:val="7D94EACE"/>
    <w:rsid w:val="7DA2295C"/>
    <w:rsid w:val="7DC377D3"/>
    <w:rsid w:val="7DDE61B8"/>
    <w:rsid w:val="7E023B19"/>
    <w:rsid w:val="7E45D07B"/>
    <w:rsid w:val="7E45E648"/>
    <w:rsid w:val="7E620F85"/>
    <w:rsid w:val="7E6B9EDE"/>
    <w:rsid w:val="7E6C052D"/>
    <w:rsid w:val="7E818396"/>
    <w:rsid w:val="7E87CE09"/>
    <w:rsid w:val="7EC18D89"/>
    <w:rsid w:val="7ED27B76"/>
    <w:rsid w:val="7F11CBE0"/>
    <w:rsid w:val="7F2E62D7"/>
    <w:rsid w:val="7F476E15"/>
    <w:rsid w:val="7F5B9778"/>
    <w:rsid w:val="7F8ED324"/>
    <w:rsid w:val="7FCB8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39AC"/>
  <w15:chartTrackingRefBased/>
  <w15:docId w15:val="{727E549F-3736-4C07-9D55-C89A904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9"/>
    <w:rPr>
      <w:sz w:val="24"/>
    </w:rPr>
  </w:style>
  <w:style w:type="paragraph" w:styleId="Heading1">
    <w:name w:val="heading 1"/>
    <w:basedOn w:val="Title"/>
    <w:next w:val="Normal"/>
    <w:link w:val="Heading1Char"/>
    <w:uiPriority w:val="9"/>
    <w:qFormat/>
    <w:rsid w:val="008D5537"/>
    <w:pPr>
      <w:pBdr>
        <w:bottom w:val="single" w:sz="4" w:space="1" w:color="auto"/>
      </w:pBdr>
      <w:spacing w:after="240" w:line="276" w:lineRule="auto"/>
      <w:outlineLvl w:val="0"/>
    </w:pPr>
    <w:rPr>
      <w:rFonts w:ascii="Arial" w:eastAsia="Calibri" w:hAnsi="Arial" w:cs="Arial"/>
      <w:color w:val="000000" w:themeColor="text1"/>
      <w:sz w:val="32"/>
      <w:szCs w:val="32"/>
    </w:rPr>
  </w:style>
  <w:style w:type="paragraph" w:styleId="Heading2">
    <w:name w:val="heading 2"/>
    <w:basedOn w:val="Normal"/>
    <w:next w:val="Normal"/>
    <w:link w:val="Heading2Char"/>
    <w:uiPriority w:val="9"/>
    <w:unhideWhenUsed/>
    <w:qFormat/>
    <w:rsid w:val="008D5537"/>
    <w:pPr>
      <w:keepNext/>
      <w:keepLines/>
      <w:spacing w:before="240" w:after="0"/>
      <w:outlineLvl w:val="1"/>
    </w:pPr>
    <w:rPr>
      <w:rFonts w:ascii="Arial" w:eastAsiaTheme="majorEastAsia" w:hAnsi="Arial" w:cs="Arial"/>
      <w:sz w:val="36"/>
      <w:szCs w:val="36"/>
    </w:rPr>
  </w:style>
  <w:style w:type="paragraph" w:styleId="Heading3">
    <w:name w:val="heading 3"/>
    <w:basedOn w:val="Normal"/>
    <w:link w:val="Heading3Char"/>
    <w:uiPriority w:val="9"/>
    <w:qFormat/>
    <w:rsid w:val="008D5537"/>
    <w:pPr>
      <w:outlineLvl w:val="2"/>
    </w:pPr>
    <w:rPr>
      <w:rFonts w:ascii="Arial" w:eastAsia="Aptos"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CB1"/>
    <w:pPr>
      <w:ind w:left="720"/>
      <w:contextualSpacing/>
    </w:pPr>
  </w:style>
  <w:style w:type="character" w:customStyle="1" w:styleId="Heading3Char">
    <w:name w:val="Heading 3 Char"/>
    <w:basedOn w:val="DefaultParagraphFont"/>
    <w:link w:val="Heading3"/>
    <w:uiPriority w:val="9"/>
    <w:rsid w:val="008D5537"/>
    <w:rPr>
      <w:rFonts w:ascii="Arial" w:eastAsia="Aptos" w:hAnsi="Arial" w:cs="Arial"/>
      <w:b/>
      <w:bCs/>
    </w:rPr>
  </w:style>
  <w:style w:type="character" w:styleId="CommentReference">
    <w:name w:val="annotation reference"/>
    <w:basedOn w:val="DefaultParagraphFont"/>
    <w:uiPriority w:val="99"/>
    <w:semiHidden/>
    <w:unhideWhenUsed/>
    <w:rsid w:val="00EA097B"/>
    <w:rPr>
      <w:sz w:val="16"/>
      <w:szCs w:val="16"/>
    </w:rPr>
  </w:style>
  <w:style w:type="paragraph" w:styleId="CommentText">
    <w:name w:val="annotation text"/>
    <w:basedOn w:val="Normal"/>
    <w:link w:val="CommentTextChar"/>
    <w:uiPriority w:val="99"/>
    <w:unhideWhenUsed/>
    <w:rsid w:val="00EA097B"/>
    <w:pPr>
      <w:spacing w:line="240" w:lineRule="auto"/>
    </w:pPr>
    <w:rPr>
      <w:sz w:val="20"/>
      <w:szCs w:val="20"/>
    </w:rPr>
  </w:style>
  <w:style w:type="character" w:customStyle="1" w:styleId="CommentTextChar">
    <w:name w:val="Comment Text Char"/>
    <w:basedOn w:val="DefaultParagraphFont"/>
    <w:link w:val="CommentText"/>
    <w:uiPriority w:val="99"/>
    <w:rsid w:val="00EA097B"/>
    <w:rPr>
      <w:sz w:val="20"/>
      <w:szCs w:val="20"/>
    </w:rPr>
  </w:style>
  <w:style w:type="paragraph" w:styleId="BalloonText">
    <w:name w:val="Balloon Text"/>
    <w:basedOn w:val="Normal"/>
    <w:link w:val="BalloonTextChar"/>
    <w:uiPriority w:val="99"/>
    <w:semiHidden/>
    <w:unhideWhenUsed/>
    <w:rsid w:val="00EA0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7B"/>
    <w:rPr>
      <w:rFonts w:ascii="Segoe UI" w:hAnsi="Segoe UI" w:cs="Segoe UI"/>
      <w:sz w:val="18"/>
      <w:szCs w:val="18"/>
    </w:rPr>
  </w:style>
  <w:style w:type="paragraph" w:styleId="Header">
    <w:name w:val="header"/>
    <w:basedOn w:val="Normal"/>
    <w:link w:val="HeaderChar"/>
    <w:uiPriority w:val="99"/>
    <w:unhideWhenUsed/>
    <w:rsid w:val="00EB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D7"/>
  </w:style>
  <w:style w:type="paragraph" w:styleId="Footer">
    <w:name w:val="footer"/>
    <w:basedOn w:val="Normal"/>
    <w:link w:val="FooterChar"/>
    <w:uiPriority w:val="99"/>
    <w:unhideWhenUsed/>
    <w:rsid w:val="00EB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D7"/>
  </w:style>
  <w:style w:type="paragraph" w:styleId="CommentSubject">
    <w:name w:val="annotation subject"/>
    <w:basedOn w:val="CommentText"/>
    <w:next w:val="CommentText"/>
    <w:link w:val="CommentSubjectChar"/>
    <w:uiPriority w:val="99"/>
    <w:semiHidden/>
    <w:unhideWhenUsed/>
    <w:rsid w:val="006D12D3"/>
    <w:rPr>
      <w:b/>
      <w:bCs/>
    </w:rPr>
  </w:style>
  <w:style w:type="character" w:customStyle="1" w:styleId="CommentSubjectChar">
    <w:name w:val="Comment Subject Char"/>
    <w:basedOn w:val="CommentTextChar"/>
    <w:link w:val="CommentSubject"/>
    <w:uiPriority w:val="99"/>
    <w:semiHidden/>
    <w:rsid w:val="006D12D3"/>
    <w:rPr>
      <w:b/>
      <w:bCs/>
      <w:sz w:val="20"/>
      <w:szCs w:val="20"/>
    </w:rPr>
  </w:style>
  <w:style w:type="character" w:styleId="Hyperlink">
    <w:name w:val="Hyperlink"/>
    <w:basedOn w:val="DefaultParagraphFont"/>
    <w:uiPriority w:val="99"/>
    <w:unhideWhenUsed/>
    <w:rsid w:val="009D6E03"/>
    <w:rPr>
      <w:color w:val="0000FF"/>
      <w:u w:val="single"/>
    </w:rPr>
  </w:style>
  <w:style w:type="paragraph" w:customStyle="1" w:styleId="ColorfulList-Accent11">
    <w:name w:val="Colorful List - Accent 11"/>
    <w:basedOn w:val="Normal"/>
    <w:link w:val="ColorfulList-Accent1Char"/>
    <w:uiPriority w:val="34"/>
    <w:qFormat/>
    <w:rsid w:val="00E6411F"/>
    <w:pPr>
      <w:spacing w:after="200" w:line="276" w:lineRule="auto"/>
      <w:ind w:left="720"/>
      <w:contextualSpacing/>
    </w:pPr>
    <w:rPr>
      <w:rFonts w:ascii="Cambria" w:eastAsia="Cambria" w:hAnsi="Cambria" w:cs="Times New Roman"/>
    </w:rPr>
  </w:style>
  <w:style w:type="character" w:customStyle="1" w:styleId="ColorfulList-Accent1Char">
    <w:name w:val="Colorful List - Accent 1 Char"/>
    <w:link w:val="ColorfulList-Accent11"/>
    <w:uiPriority w:val="34"/>
    <w:rsid w:val="00E6411F"/>
    <w:rPr>
      <w:rFonts w:ascii="Cambria" w:eastAsia="Cambria" w:hAnsi="Cambria" w:cs="Times New Roman"/>
    </w:rPr>
  </w:style>
  <w:style w:type="character" w:styleId="Emphasis">
    <w:name w:val="Emphasis"/>
    <w:basedOn w:val="DefaultParagraphFont"/>
    <w:uiPriority w:val="20"/>
    <w:qFormat/>
    <w:rsid w:val="00136FE7"/>
    <w:rPr>
      <w:i/>
      <w:iCs/>
    </w:rPr>
  </w:style>
  <w:style w:type="character" w:customStyle="1" w:styleId="Heading2Char">
    <w:name w:val="Heading 2 Char"/>
    <w:basedOn w:val="DefaultParagraphFont"/>
    <w:link w:val="Heading2"/>
    <w:uiPriority w:val="9"/>
    <w:rsid w:val="008D5537"/>
    <w:rPr>
      <w:rFonts w:ascii="Arial" w:eastAsiaTheme="majorEastAsia" w:hAnsi="Arial" w:cs="Arial"/>
      <w:sz w:val="36"/>
      <w:szCs w:val="36"/>
    </w:rPr>
  </w:style>
  <w:style w:type="paragraph" w:styleId="NormalWeb">
    <w:name w:val="Normal (Web)"/>
    <w:basedOn w:val="Normal"/>
    <w:uiPriority w:val="99"/>
    <w:unhideWhenUsed/>
    <w:rsid w:val="00703A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tab-span">
    <w:name w:val="apple-tab-span"/>
    <w:basedOn w:val="DefaultParagraphFont"/>
    <w:rsid w:val="00703A97"/>
  </w:style>
  <w:style w:type="character" w:styleId="UnresolvedMention">
    <w:name w:val="Unresolved Mention"/>
    <w:basedOn w:val="DefaultParagraphFont"/>
    <w:uiPriority w:val="99"/>
    <w:semiHidden/>
    <w:unhideWhenUsed/>
    <w:rsid w:val="00703A97"/>
    <w:rPr>
      <w:color w:val="605E5C"/>
      <w:shd w:val="clear" w:color="auto" w:fill="E1DFDD"/>
    </w:rPr>
  </w:style>
  <w:style w:type="character" w:customStyle="1" w:styleId="Heading1Char">
    <w:name w:val="Heading 1 Char"/>
    <w:basedOn w:val="DefaultParagraphFont"/>
    <w:link w:val="Heading1"/>
    <w:uiPriority w:val="9"/>
    <w:rsid w:val="008D5537"/>
    <w:rPr>
      <w:rFonts w:ascii="Arial" w:eastAsia="Calibri" w:hAnsi="Arial" w:cs="Arial"/>
      <w:color w:val="000000" w:themeColor="text1"/>
      <w:spacing w:val="-10"/>
      <w:kern w:val="28"/>
      <w:sz w:val="32"/>
      <w:szCs w:val="32"/>
    </w:rPr>
  </w:style>
  <w:style w:type="paragraph" w:styleId="NoSpacing">
    <w:name w:val="No Spacing"/>
    <w:uiPriority w:val="1"/>
    <w:qFormat/>
    <w:rsid w:val="00731380"/>
    <w:pPr>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727BD2"/>
    <w:pPr>
      <w:spacing w:after="0" w:line="240" w:lineRule="auto"/>
    </w:pPr>
  </w:style>
  <w:style w:type="character" w:customStyle="1" w:styleId="FootnoteTextChar1">
    <w:name w:val="Footnote Text Char1"/>
    <w:basedOn w:val="DefaultParagraphFont"/>
    <w:uiPriority w:val="99"/>
    <w:semiHidden/>
    <w:rsid w:val="00727BD2"/>
    <w:rPr>
      <w:sz w:val="20"/>
      <w:szCs w:val="20"/>
    </w:rPr>
  </w:style>
  <w:style w:type="character" w:styleId="Mention">
    <w:name w:val="Mention"/>
    <w:basedOn w:val="DefaultParagraphFont"/>
    <w:uiPriority w:val="99"/>
    <w:unhideWhenUsed/>
    <w:rsid w:val="00E50494"/>
    <w:rPr>
      <w:color w:val="2B579A"/>
      <w:shd w:val="clear" w:color="auto" w:fill="E6E6E6"/>
    </w:rPr>
  </w:style>
  <w:style w:type="character" w:customStyle="1" w:styleId="cf01">
    <w:name w:val="cf01"/>
    <w:basedOn w:val="DefaultParagraphFont"/>
    <w:rsid w:val="00A02388"/>
    <w:rPr>
      <w:rFonts w:ascii="Segoe UI" w:hAnsi="Segoe UI" w:cs="Segoe UI" w:hint="default"/>
      <w:sz w:val="18"/>
      <w:szCs w:val="18"/>
    </w:rPr>
  </w:style>
  <w:style w:type="paragraph" w:styleId="PlainText">
    <w:name w:val="Plain Text"/>
    <w:basedOn w:val="Normal"/>
    <w:link w:val="PlainTextChar"/>
    <w:uiPriority w:val="99"/>
    <w:unhideWhenUsed/>
    <w:rsid w:val="002D1D8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2D1D8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004">
      <w:bodyDiv w:val="1"/>
      <w:marLeft w:val="0"/>
      <w:marRight w:val="0"/>
      <w:marTop w:val="0"/>
      <w:marBottom w:val="0"/>
      <w:divBdr>
        <w:top w:val="none" w:sz="0" w:space="0" w:color="auto"/>
        <w:left w:val="none" w:sz="0" w:space="0" w:color="auto"/>
        <w:bottom w:val="none" w:sz="0" w:space="0" w:color="auto"/>
        <w:right w:val="none" w:sz="0" w:space="0" w:color="auto"/>
      </w:divBdr>
    </w:div>
    <w:div w:id="114521174">
      <w:bodyDiv w:val="1"/>
      <w:marLeft w:val="0"/>
      <w:marRight w:val="0"/>
      <w:marTop w:val="0"/>
      <w:marBottom w:val="0"/>
      <w:divBdr>
        <w:top w:val="none" w:sz="0" w:space="0" w:color="auto"/>
        <w:left w:val="none" w:sz="0" w:space="0" w:color="auto"/>
        <w:bottom w:val="none" w:sz="0" w:space="0" w:color="auto"/>
        <w:right w:val="none" w:sz="0" w:space="0" w:color="auto"/>
      </w:divBdr>
    </w:div>
    <w:div w:id="178743279">
      <w:bodyDiv w:val="1"/>
      <w:marLeft w:val="0"/>
      <w:marRight w:val="0"/>
      <w:marTop w:val="0"/>
      <w:marBottom w:val="0"/>
      <w:divBdr>
        <w:top w:val="none" w:sz="0" w:space="0" w:color="auto"/>
        <w:left w:val="none" w:sz="0" w:space="0" w:color="auto"/>
        <w:bottom w:val="none" w:sz="0" w:space="0" w:color="auto"/>
        <w:right w:val="none" w:sz="0" w:space="0" w:color="auto"/>
      </w:divBdr>
    </w:div>
    <w:div w:id="186675244">
      <w:bodyDiv w:val="1"/>
      <w:marLeft w:val="0"/>
      <w:marRight w:val="0"/>
      <w:marTop w:val="0"/>
      <w:marBottom w:val="0"/>
      <w:divBdr>
        <w:top w:val="none" w:sz="0" w:space="0" w:color="auto"/>
        <w:left w:val="none" w:sz="0" w:space="0" w:color="auto"/>
        <w:bottom w:val="none" w:sz="0" w:space="0" w:color="auto"/>
        <w:right w:val="none" w:sz="0" w:space="0" w:color="auto"/>
      </w:divBdr>
    </w:div>
    <w:div w:id="186994002">
      <w:bodyDiv w:val="1"/>
      <w:marLeft w:val="0"/>
      <w:marRight w:val="0"/>
      <w:marTop w:val="0"/>
      <w:marBottom w:val="0"/>
      <w:divBdr>
        <w:top w:val="none" w:sz="0" w:space="0" w:color="auto"/>
        <w:left w:val="none" w:sz="0" w:space="0" w:color="auto"/>
        <w:bottom w:val="none" w:sz="0" w:space="0" w:color="auto"/>
        <w:right w:val="none" w:sz="0" w:space="0" w:color="auto"/>
      </w:divBdr>
    </w:div>
    <w:div w:id="196311596">
      <w:bodyDiv w:val="1"/>
      <w:marLeft w:val="0"/>
      <w:marRight w:val="0"/>
      <w:marTop w:val="0"/>
      <w:marBottom w:val="0"/>
      <w:divBdr>
        <w:top w:val="none" w:sz="0" w:space="0" w:color="auto"/>
        <w:left w:val="none" w:sz="0" w:space="0" w:color="auto"/>
        <w:bottom w:val="none" w:sz="0" w:space="0" w:color="auto"/>
        <w:right w:val="none" w:sz="0" w:space="0" w:color="auto"/>
      </w:divBdr>
    </w:div>
    <w:div w:id="217740011">
      <w:bodyDiv w:val="1"/>
      <w:marLeft w:val="0"/>
      <w:marRight w:val="0"/>
      <w:marTop w:val="0"/>
      <w:marBottom w:val="0"/>
      <w:divBdr>
        <w:top w:val="none" w:sz="0" w:space="0" w:color="auto"/>
        <w:left w:val="none" w:sz="0" w:space="0" w:color="auto"/>
        <w:bottom w:val="none" w:sz="0" w:space="0" w:color="auto"/>
        <w:right w:val="none" w:sz="0" w:space="0" w:color="auto"/>
      </w:divBdr>
    </w:div>
    <w:div w:id="255211472">
      <w:bodyDiv w:val="1"/>
      <w:marLeft w:val="0"/>
      <w:marRight w:val="0"/>
      <w:marTop w:val="0"/>
      <w:marBottom w:val="0"/>
      <w:divBdr>
        <w:top w:val="none" w:sz="0" w:space="0" w:color="auto"/>
        <w:left w:val="none" w:sz="0" w:space="0" w:color="auto"/>
        <w:bottom w:val="none" w:sz="0" w:space="0" w:color="auto"/>
        <w:right w:val="none" w:sz="0" w:space="0" w:color="auto"/>
      </w:divBdr>
    </w:div>
    <w:div w:id="323778432">
      <w:bodyDiv w:val="1"/>
      <w:marLeft w:val="0"/>
      <w:marRight w:val="0"/>
      <w:marTop w:val="0"/>
      <w:marBottom w:val="0"/>
      <w:divBdr>
        <w:top w:val="none" w:sz="0" w:space="0" w:color="auto"/>
        <w:left w:val="none" w:sz="0" w:space="0" w:color="auto"/>
        <w:bottom w:val="none" w:sz="0" w:space="0" w:color="auto"/>
        <w:right w:val="none" w:sz="0" w:space="0" w:color="auto"/>
      </w:divBdr>
    </w:div>
    <w:div w:id="458183804">
      <w:bodyDiv w:val="1"/>
      <w:marLeft w:val="0"/>
      <w:marRight w:val="0"/>
      <w:marTop w:val="0"/>
      <w:marBottom w:val="0"/>
      <w:divBdr>
        <w:top w:val="none" w:sz="0" w:space="0" w:color="auto"/>
        <w:left w:val="none" w:sz="0" w:space="0" w:color="auto"/>
        <w:bottom w:val="none" w:sz="0" w:space="0" w:color="auto"/>
        <w:right w:val="none" w:sz="0" w:space="0" w:color="auto"/>
      </w:divBdr>
    </w:div>
    <w:div w:id="658584591">
      <w:bodyDiv w:val="1"/>
      <w:marLeft w:val="0"/>
      <w:marRight w:val="0"/>
      <w:marTop w:val="0"/>
      <w:marBottom w:val="0"/>
      <w:divBdr>
        <w:top w:val="none" w:sz="0" w:space="0" w:color="auto"/>
        <w:left w:val="none" w:sz="0" w:space="0" w:color="auto"/>
        <w:bottom w:val="none" w:sz="0" w:space="0" w:color="auto"/>
        <w:right w:val="none" w:sz="0" w:space="0" w:color="auto"/>
      </w:divBdr>
    </w:div>
    <w:div w:id="740174082">
      <w:bodyDiv w:val="1"/>
      <w:marLeft w:val="0"/>
      <w:marRight w:val="0"/>
      <w:marTop w:val="0"/>
      <w:marBottom w:val="0"/>
      <w:divBdr>
        <w:top w:val="none" w:sz="0" w:space="0" w:color="auto"/>
        <w:left w:val="none" w:sz="0" w:space="0" w:color="auto"/>
        <w:bottom w:val="none" w:sz="0" w:space="0" w:color="auto"/>
        <w:right w:val="none" w:sz="0" w:space="0" w:color="auto"/>
      </w:divBdr>
    </w:div>
    <w:div w:id="748426791">
      <w:bodyDiv w:val="1"/>
      <w:marLeft w:val="0"/>
      <w:marRight w:val="0"/>
      <w:marTop w:val="0"/>
      <w:marBottom w:val="0"/>
      <w:divBdr>
        <w:top w:val="none" w:sz="0" w:space="0" w:color="auto"/>
        <w:left w:val="none" w:sz="0" w:space="0" w:color="auto"/>
        <w:bottom w:val="none" w:sz="0" w:space="0" w:color="auto"/>
        <w:right w:val="none" w:sz="0" w:space="0" w:color="auto"/>
      </w:divBdr>
    </w:div>
    <w:div w:id="796723620">
      <w:bodyDiv w:val="1"/>
      <w:marLeft w:val="0"/>
      <w:marRight w:val="0"/>
      <w:marTop w:val="0"/>
      <w:marBottom w:val="0"/>
      <w:divBdr>
        <w:top w:val="none" w:sz="0" w:space="0" w:color="auto"/>
        <w:left w:val="none" w:sz="0" w:space="0" w:color="auto"/>
        <w:bottom w:val="none" w:sz="0" w:space="0" w:color="auto"/>
        <w:right w:val="none" w:sz="0" w:space="0" w:color="auto"/>
      </w:divBdr>
    </w:div>
    <w:div w:id="1030375198">
      <w:bodyDiv w:val="1"/>
      <w:marLeft w:val="0"/>
      <w:marRight w:val="0"/>
      <w:marTop w:val="0"/>
      <w:marBottom w:val="0"/>
      <w:divBdr>
        <w:top w:val="none" w:sz="0" w:space="0" w:color="auto"/>
        <w:left w:val="none" w:sz="0" w:space="0" w:color="auto"/>
        <w:bottom w:val="none" w:sz="0" w:space="0" w:color="auto"/>
        <w:right w:val="none" w:sz="0" w:space="0" w:color="auto"/>
      </w:divBdr>
    </w:div>
    <w:div w:id="1054696799">
      <w:bodyDiv w:val="1"/>
      <w:marLeft w:val="0"/>
      <w:marRight w:val="0"/>
      <w:marTop w:val="0"/>
      <w:marBottom w:val="0"/>
      <w:divBdr>
        <w:top w:val="none" w:sz="0" w:space="0" w:color="auto"/>
        <w:left w:val="none" w:sz="0" w:space="0" w:color="auto"/>
        <w:bottom w:val="none" w:sz="0" w:space="0" w:color="auto"/>
        <w:right w:val="none" w:sz="0" w:space="0" w:color="auto"/>
      </w:divBdr>
    </w:div>
    <w:div w:id="1074668872">
      <w:bodyDiv w:val="1"/>
      <w:marLeft w:val="0"/>
      <w:marRight w:val="0"/>
      <w:marTop w:val="0"/>
      <w:marBottom w:val="0"/>
      <w:divBdr>
        <w:top w:val="none" w:sz="0" w:space="0" w:color="auto"/>
        <w:left w:val="none" w:sz="0" w:space="0" w:color="auto"/>
        <w:bottom w:val="none" w:sz="0" w:space="0" w:color="auto"/>
        <w:right w:val="none" w:sz="0" w:space="0" w:color="auto"/>
      </w:divBdr>
    </w:div>
    <w:div w:id="1213804362">
      <w:bodyDiv w:val="1"/>
      <w:marLeft w:val="0"/>
      <w:marRight w:val="0"/>
      <w:marTop w:val="0"/>
      <w:marBottom w:val="0"/>
      <w:divBdr>
        <w:top w:val="none" w:sz="0" w:space="0" w:color="auto"/>
        <w:left w:val="none" w:sz="0" w:space="0" w:color="auto"/>
        <w:bottom w:val="none" w:sz="0" w:space="0" w:color="auto"/>
        <w:right w:val="none" w:sz="0" w:space="0" w:color="auto"/>
      </w:divBdr>
    </w:div>
    <w:div w:id="1296184169">
      <w:bodyDiv w:val="1"/>
      <w:marLeft w:val="0"/>
      <w:marRight w:val="0"/>
      <w:marTop w:val="0"/>
      <w:marBottom w:val="0"/>
      <w:divBdr>
        <w:top w:val="none" w:sz="0" w:space="0" w:color="auto"/>
        <w:left w:val="none" w:sz="0" w:space="0" w:color="auto"/>
        <w:bottom w:val="none" w:sz="0" w:space="0" w:color="auto"/>
        <w:right w:val="none" w:sz="0" w:space="0" w:color="auto"/>
      </w:divBdr>
    </w:div>
    <w:div w:id="1622958460">
      <w:bodyDiv w:val="1"/>
      <w:marLeft w:val="0"/>
      <w:marRight w:val="0"/>
      <w:marTop w:val="0"/>
      <w:marBottom w:val="0"/>
      <w:divBdr>
        <w:top w:val="none" w:sz="0" w:space="0" w:color="auto"/>
        <w:left w:val="none" w:sz="0" w:space="0" w:color="auto"/>
        <w:bottom w:val="none" w:sz="0" w:space="0" w:color="auto"/>
        <w:right w:val="none" w:sz="0" w:space="0" w:color="auto"/>
      </w:divBdr>
    </w:div>
    <w:div w:id="1698239819">
      <w:bodyDiv w:val="1"/>
      <w:marLeft w:val="0"/>
      <w:marRight w:val="0"/>
      <w:marTop w:val="0"/>
      <w:marBottom w:val="0"/>
      <w:divBdr>
        <w:top w:val="none" w:sz="0" w:space="0" w:color="auto"/>
        <w:left w:val="none" w:sz="0" w:space="0" w:color="auto"/>
        <w:bottom w:val="none" w:sz="0" w:space="0" w:color="auto"/>
        <w:right w:val="none" w:sz="0" w:space="0" w:color="auto"/>
      </w:divBdr>
      <w:divsChild>
        <w:div w:id="888878877">
          <w:marLeft w:val="360"/>
          <w:marRight w:val="0"/>
          <w:marTop w:val="200"/>
          <w:marBottom w:val="0"/>
          <w:divBdr>
            <w:top w:val="none" w:sz="0" w:space="0" w:color="auto"/>
            <w:left w:val="none" w:sz="0" w:space="0" w:color="auto"/>
            <w:bottom w:val="none" w:sz="0" w:space="0" w:color="auto"/>
            <w:right w:val="none" w:sz="0" w:space="0" w:color="auto"/>
          </w:divBdr>
        </w:div>
      </w:divsChild>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33888732">
      <w:bodyDiv w:val="1"/>
      <w:marLeft w:val="0"/>
      <w:marRight w:val="0"/>
      <w:marTop w:val="0"/>
      <w:marBottom w:val="0"/>
      <w:divBdr>
        <w:top w:val="none" w:sz="0" w:space="0" w:color="auto"/>
        <w:left w:val="none" w:sz="0" w:space="0" w:color="auto"/>
        <w:bottom w:val="none" w:sz="0" w:space="0" w:color="auto"/>
        <w:right w:val="none" w:sz="0" w:space="0" w:color="auto"/>
      </w:divBdr>
    </w:div>
    <w:div w:id="1757632731">
      <w:bodyDiv w:val="1"/>
      <w:marLeft w:val="0"/>
      <w:marRight w:val="0"/>
      <w:marTop w:val="0"/>
      <w:marBottom w:val="0"/>
      <w:divBdr>
        <w:top w:val="none" w:sz="0" w:space="0" w:color="auto"/>
        <w:left w:val="none" w:sz="0" w:space="0" w:color="auto"/>
        <w:bottom w:val="none" w:sz="0" w:space="0" w:color="auto"/>
        <w:right w:val="none" w:sz="0" w:space="0" w:color="auto"/>
      </w:divBdr>
    </w:div>
    <w:div w:id="1764260406">
      <w:bodyDiv w:val="1"/>
      <w:marLeft w:val="0"/>
      <w:marRight w:val="0"/>
      <w:marTop w:val="0"/>
      <w:marBottom w:val="0"/>
      <w:divBdr>
        <w:top w:val="none" w:sz="0" w:space="0" w:color="auto"/>
        <w:left w:val="none" w:sz="0" w:space="0" w:color="auto"/>
        <w:bottom w:val="none" w:sz="0" w:space="0" w:color="auto"/>
        <w:right w:val="none" w:sz="0" w:space="0" w:color="auto"/>
      </w:divBdr>
    </w:div>
    <w:div w:id="1824353832">
      <w:bodyDiv w:val="1"/>
      <w:marLeft w:val="0"/>
      <w:marRight w:val="0"/>
      <w:marTop w:val="0"/>
      <w:marBottom w:val="0"/>
      <w:divBdr>
        <w:top w:val="none" w:sz="0" w:space="0" w:color="auto"/>
        <w:left w:val="none" w:sz="0" w:space="0" w:color="auto"/>
        <w:bottom w:val="none" w:sz="0" w:space="0" w:color="auto"/>
        <w:right w:val="none" w:sz="0" w:space="0" w:color="auto"/>
      </w:divBdr>
    </w:div>
    <w:div w:id="1839492384">
      <w:bodyDiv w:val="1"/>
      <w:marLeft w:val="0"/>
      <w:marRight w:val="0"/>
      <w:marTop w:val="0"/>
      <w:marBottom w:val="0"/>
      <w:divBdr>
        <w:top w:val="none" w:sz="0" w:space="0" w:color="auto"/>
        <w:left w:val="none" w:sz="0" w:space="0" w:color="auto"/>
        <w:bottom w:val="none" w:sz="0" w:space="0" w:color="auto"/>
        <w:right w:val="none" w:sz="0" w:space="0" w:color="auto"/>
      </w:divBdr>
    </w:div>
    <w:div w:id="1851022423">
      <w:bodyDiv w:val="1"/>
      <w:marLeft w:val="0"/>
      <w:marRight w:val="0"/>
      <w:marTop w:val="0"/>
      <w:marBottom w:val="0"/>
      <w:divBdr>
        <w:top w:val="none" w:sz="0" w:space="0" w:color="auto"/>
        <w:left w:val="none" w:sz="0" w:space="0" w:color="auto"/>
        <w:bottom w:val="none" w:sz="0" w:space="0" w:color="auto"/>
        <w:right w:val="none" w:sz="0" w:space="0" w:color="auto"/>
      </w:divBdr>
    </w:div>
    <w:div w:id="1872255106">
      <w:bodyDiv w:val="1"/>
      <w:marLeft w:val="0"/>
      <w:marRight w:val="0"/>
      <w:marTop w:val="0"/>
      <w:marBottom w:val="0"/>
      <w:divBdr>
        <w:top w:val="none" w:sz="0" w:space="0" w:color="auto"/>
        <w:left w:val="none" w:sz="0" w:space="0" w:color="auto"/>
        <w:bottom w:val="none" w:sz="0" w:space="0" w:color="auto"/>
        <w:right w:val="none" w:sz="0" w:space="0" w:color="auto"/>
      </w:divBdr>
    </w:div>
    <w:div w:id="1983000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3FD37F4-1B0A-4C56-B874-4BF0259FAAB9}">
    <t:Anchor>
      <t:Comment id="504381885"/>
    </t:Anchor>
    <t:History>
      <t:Event id="{1334F0CB-F7DF-4535-8A71-B0AC1AE72B1D}" time="2025-09-02T15:32:03.491Z">
        <t:Attribution userId="S::michelle.l.griffin@mass.gov::d21ce911-71ff-4eea-8e9b-de00341400fd" userProvider="AD" userName="Griffin, Michelle (DESE)"/>
        <t:Anchor>
          <t:Comment id="142784803"/>
        </t:Anchor>
        <t:Create/>
      </t:Event>
      <t:Event id="{5DF591D5-15FD-4468-B3E5-C3ACA7A3CE61}" time="2025-09-02T15:32:03.491Z">
        <t:Attribution userId="S::michelle.l.griffin@mass.gov::d21ce911-71ff-4eea-8e9b-de00341400fd" userProvider="AD" userName="Griffin, Michelle (DESE)"/>
        <t:Anchor>
          <t:Comment id="142784803"/>
        </t:Anchor>
        <t:Assign userId="S::Rhoda.E.Schneider@mass.gov::d0126d03-90dd-41f7-a22f-30a70334c8c9" userProvider="AD" userName="Schneider, Rhoda E (DESE)"/>
      </t:Event>
      <t:Event id="{5F21881A-89BF-44E7-BBB6-B0E9D98B49EA}" time="2025-09-02T15:32:03.491Z">
        <t:Attribution userId="S::michelle.l.griffin@mass.gov::d21ce911-71ff-4eea-8e9b-de00341400fd" userProvider="AD" userName="Griffin, Michelle (DESE)"/>
        <t:Anchor>
          <t:Comment id="142784803"/>
        </t:Anchor>
        <t:SetTitle title="Hi Rhoda@Schneider, Rhoda E (DESE) - Yes, it appears that &quot;be&quot; is missing. Thank you for catching that. Was it intended that this entire column/row be deleted? (I can't tell whose change it is)"/>
      </t:Event>
      <t:Event id="{78CA2FB5-E830-4F32-A3D4-BF0095F22673}" time="2025-09-02T17:52:25.485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AE20B-B7F8-4EC5-9FB4-BDE11AC5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3731E-382E-426A-831F-802C0FE105F6}">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19BB96B0-5A04-437A-8623-E85AA34B5F19}">
  <ds:schemaRefs>
    <ds:schemaRef ds:uri="http://schemas.openxmlformats.org/officeDocument/2006/bibliography"/>
  </ds:schemaRefs>
</ds:datastoreItem>
</file>

<file path=customXml/itemProps4.xml><?xml version="1.0" encoding="utf-8"?>
<ds:datastoreItem xmlns:ds="http://schemas.openxmlformats.org/officeDocument/2006/customXml" ds:itemID="{1ED07BEB-0B3F-44BB-BC17-5FC60A41858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BESE June 23, 2026 Regular Meeting Item 3 Attachment: Summary of Public Comments on Proposed Changes to the Regulations on Special Education, 603 CMR 28.00</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3 Attachment: Summary of Public Comments on Proposed Changes to the Regulations on Special Education, 603 CMR 28.00</dc:title>
  <dc:subject/>
  <dc:creator>DESE</dc:creator>
  <cp:keywords/>
  <dc:description/>
  <cp:lastModifiedBy>Zou, Dong (EOE)</cp:lastModifiedBy>
  <cp:revision>7</cp:revision>
  <cp:lastPrinted>2026-05-13T16:08:00Z</cp:lastPrinted>
  <dcterms:created xsi:type="dcterms:W3CDTF">2026-06-17T17:27:00Z</dcterms:created>
  <dcterms:modified xsi:type="dcterms:W3CDTF">2026-06-17T22:52:00Z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