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26C70" w14:textId="77777777" w:rsidR="00032C6B" w:rsidRDefault="001536F3">
      <w:r>
        <w:rPr>
          <w:noProof/>
        </w:rPr>
        <w:drawing>
          <wp:anchor distT="0" distB="0" distL="114300" distR="114300" simplePos="0" relativeHeight="251658240" behindDoc="1" locked="0" layoutInCell="1" allowOverlap="1" wp14:anchorId="1B04145B" wp14:editId="068DA81A">
            <wp:simplePos x="0" y="0"/>
            <wp:positionH relativeFrom="page">
              <wp:posOffset>173809</wp:posOffset>
            </wp:positionH>
            <wp:positionV relativeFrom="paragraph">
              <wp:posOffset>-914400</wp:posOffset>
            </wp:positionV>
            <wp:extent cx="7318828" cy="1447023"/>
            <wp:effectExtent l="0" t="0" r="0" b="0"/>
            <wp:wrapNone/>
            <wp:docPr id="671528852" name="Picture 1" descr="D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528852" name="Picture 1" descr="DESE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318828" cy="1447023"/>
                    </a:xfrm>
                    <a:prstGeom prst="rect">
                      <a:avLst/>
                    </a:prstGeom>
                  </pic:spPr>
                </pic:pic>
              </a:graphicData>
            </a:graphic>
            <wp14:sizeRelH relativeFrom="page">
              <wp14:pctWidth>0</wp14:pctWidth>
            </wp14:sizeRelH>
            <wp14:sizeRelV relativeFrom="page">
              <wp14:pctHeight>0</wp14:pctHeight>
            </wp14:sizeRelV>
          </wp:anchor>
        </w:drawing>
      </w:r>
    </w:p>
    <w:p w14:paraId="2C670292" w14:textId="77777777" w:rsidR="00C84EE3" w:rsidRDefault="00C84EE3"/>
    <w:p w14:paraId="06DA5483" w14:textId="77777777" w:rsidR="000F11A7" w:rsidRDefault="000F11A7">
      <w:pPr>
        <w:sectPr w:rsidR="000F11A7" w:rsidSect="00C84EE3">
          <w:footerReference w:type="default" r:id="rId11"/>
          <w:footerReference w:type="first" r:id="rId12"/>
          <w:pgSz w:w="12240" w:h="15840"/>
          <w:pgMar w:top="1440" w:right="1440" w:bottom="1440" w:left="1440" w:header="720" w:footer="720" w:gutter="0"/>
          <w:cols w:space="720"/>
          <w:titlePg/>
          <w:docGrid w:linePitch="360"/>
        </w:sectPr>
      </w:pPr>
    </w:p>
    <w:p w14:paraId="00E8E548" w14:textId="6810AB8C" w:rsidR="00B86C3D" w:rsidRPr="0021555D" w:rsidRDefault="00B86C3D" w:rsidP="0021555D">
      <w:pPr>
        <w:rPr>
          <w:rFonts w:ascii="Arial" w:hAnsi="Arial" w:cs="Arial"/>
          <w:sz w:val="20"/>
          <w:szCs w:val="20"/>
        </w:rPr>
      </w:pPr>
      <w:r w:rsidRPr="0AC562A3">
        <w:rPr>
          <w:rFonts w:ascii="Arial" w:hAnsi="Arial" w:cs="Arial"/>
          <w:sz w:val="20"/>
          <w:szCs w:val="20"/>
        </w:rPr>
        <w:t>135 Santilli Hwy, Everett MA 02149   Voice: (781) 3</w:t>
      </w:r>
      <w:r w:rsidR="75D6D764" w:rsidRPr="0AC562A3">
        <w:rPr>
          <w:rFonts w:ascii="Arial" w:hAnsi="Arial" w:cs="Arial"/>
          <w:sz w:val="20"/>
          <w:szCs w:val="20"/>
        </w:rPr>
        <w:t>3</w:t>
      </w:r>
      <w:r w:rsidRPr="0AC562A3">
        <w:rPr>
          <w:rFonts w:ascii="Arial" w:hAnsi="Arial" w:cs="Arial"/>
          <w:sz w:val="20"/>
          <w:szCs w:val="20"/>
        </w:rPr>
        <w:t>8-3000   TTY: 1-800-439-2370    www.doe.mass.edu</w:t>
      </w:r>
    </w:p>
    <w:p w14:paraId="746CF466" w14:textId="77777777" w:rsidR="00C3665B" w:rsidRDefault="00C3665B" w:rsidP="0021555D">
      <w:pPr>
        <w:pStyle w:val="Heading1"/>
        <w:jc w:val="center"/>
        <w:rPr>
          <w:rFonts w:ascii="Arial" w:hAnsi="Arial" w:cs="Arial"/>
          <w:b/>
          <w:bCs/>
          <w:color w:val="auto"/>
        </w:rPr>
      </w:pPr>
      <w:r w:rsidRPr="00864969">
        <w:rPr>
          <w:rFonts w:ascii="Arial" w:hAnsi="Arial" w:cs="Arial"/>
          <w:b/>
          <w:bCs/>
          <w:color w:val="auto"/>
        </w:rPr>
        <w:t>M</w:t>
      </w:r>
      <w:r w:rsidR="007C2E84">
        <w:rPr>
          <w:rFonts w:ascii="Arial" w:hAnsi="Arial" w:cs="Arial"/>
          <w:b/>
          <w:bCs/>
          <w:color w:val="auto"/>
        </w:rPr>
        <w:t>emorandum</w:t>
      </w:r>
    </w:p>
    <w:p w14:paraId="12E8DD7C" w14:textId="1C638DFF" w:rsidR="00F93DAF" w:rsidRPr="001A5F2E" w:rsidRDefault="00F93DAF" w:rsidP="00F93DAF">
      <w:pPr>
        <w:rPr>
          <w:rFonts w:ascii="Arial" w:hAnsi="Arial" w:cs="Arial"/>
        </w:rPr>
      </w:pPr>
      <w:r w:rsidRPr="001A5F2E">
        <w:rPr>
          <w:rFonts w:ascii="Arial" w:hAnsi="Arial" w:cs="Arial"/>
          <w:b/>
          <w:bCs/>
        </w:rPr>
        <w:t>To</w:t>
      </w:r>
      <w:r w:rsidRPr="001A5F2E">
        <w:rPr>
          <w:rFonts w:ascii="Arial" w:hAnsi="Arial" w:cs="Arial"/>
        </w:rPr>
        <w:t xml:space="preserve">: </w:t>
      </w:r>
      <w:r w:rsidR="009A5E14">
        <w:rPr>
          <w:rFonts w:ascii="Arial" w:hAnsi="Arial" w:cs="Arial"/>
        </w:rPr>
        <w:t>Members of the Board of Elementary and Secondary Education</w:t>
      </w:r>
      <w:r w:rsidRPr="001A5F2E">
        <w:rPr>
          <w:rFonts w:ascii="Arial" w:hAnsi="Arial" w:cs="Arial"/>
        </w:rPr>
        <w:t xml:space="preserve"> </w:t>
      </w:r>
    </w:p>
    <w:p w14:paraId="0A85A2E9" w14:textId="77777777" w:rsidR="00F93DAF" w:rsidRPr="001A5F2E" w:rsidRDefault="00F93DAF" w:rsidP="00F93DAF">
      <w:pPr>
        <w:rPr>
          <w:rFonts w:ascii="Arial" w:hAnsi="Arial" w:cs="Arial"/>
        </w:rPr>
      </w:pPr>
      <w:r w:rsidRPr="001A5F2E">
        <w:rPr>
          <w:rFonts w:ascii="Arial" w:hAnsi="Arial" w:cs="Arial"/>
          <w:b/>
          <w:bCs/>
        </w:rPr>
        <w:t>From</w:t>
      </w:r>
      <w:r w:rsidRPr="001A5F2E">
        <w:rPr>
          <w:rFonts w:ascii="Arial" w:hAnsi="Arial" w:cs="Arial"/>
        </w:rPr>
        <w:t>: Pedro Martinez, Commissioner</w:t>
      </w:r>
    </w:p>
    <w:p w14:paraId="43C77559" w14:textId="787D49BD" w:rsidR="00F93DAF" w:rsidRPr="001A5F2E" w:rsidRDefault="031D8ADB" w:rsidP="00F93DAF">
      <w:pPr>
        <w:rPr>
          <w:rFonts w:ascii="Arial" w:hAnsi="Arial" w:cs="Arial"/>
        </w:rPr>
      </w:pPr>
      <w:r w:rsidRPr="3911FF84">
        <w:rPr>
          <w:rFonts w:ascii="Arial" w:hAnsi="Arial" w:cs="Arial"/>
          <w:b/>
          <w:bCs/>
        </w:rPr>
        <w:t>Date</w:t>
      </w:r>
      <w:r w:rsidRPr="3911FF84">
        <w:rPr>
          <w:rFonts w:ascii="Arial" w:hAnsi="Arial" w:cs="Arial"/>
        </w:rPr>
        <w:t xml:space="preserve">: </w:t>
      </w:r>
      <w:r w:rsidR="252F8260" w:rsidRPr="3911FF84">
        <w:rPr>
          <w:rFonts w:ascii="Arial" w:hAnsi="Arial" w:cs="Arial"/>
        </w:rPr>
        <w:t>September 1</w:t>
      </w:r>
      <w:r w:rsidR="5D42580F" w:rsidRPr="3911FF84">
        <w:rPr>
          <w:rFonts w:ascii="Arial" w:hAnsi="Arial" w:cs="Arial"/>
        </w:rPr>
        <w:t>5</w:t>
      </w:r>
      <w:r w:rsidRPr="3911FF84">
        <w:rPr>
          <w:rFonts w:ascii="Arial" w:hAnsi="Arial" w:cs="Arial"/>
        </w:rPr>
        <w:t>, 202</w:t>
      </w:r>
      <w:r w:rsidR="31ECB7E8" w:rsidRPr="3911FF84">
        <w:rPr>
          <w:rFonts w:ascii="Arial" w:hAnsi="Arial" w:cs="Arial"/>
        </w:rPr>
        <w:t>6</w:t>
      </w:r>
    </w:p>
    <w:p w14:paraId="3DA2B85B" w14:textId="485AE0F3" w:rsidR="002E4BDE" w:rsidRPr="00482BA2" w:rsidRDefault="00F93DAF" w:rsidP="4F8E7AA4">
      <w:pPr>
        <w:widowControl w:val="0"/>
        <w:tabs>
          <w:tab w:val="center" w:pos="4680"/>
          <w:tab w:val="right" w:pos="9360"/>
        </w:tabs>
        <w:spacing w:after="0" w:line="240" w:lineRule="auto"/>
        <w:rPr>
          <w:rFonts w:ascii="Arial" w:eastAsia="Arial" w:hAnsi="Arial" w:cs="Arial"/>
        </w:rPr>
        <w:sectPr w:rsidR="002E4BDE" w:rsidRPr="00482BA2" w:rsidSect="00725BB6">
          <w:footerReference w:type="default" r:id="rId13"/>
          <w:type w:val="continuous"/>
          <w:pgSz w:w="12240" w:h="15840"/>
          <w:pgMar w:top="1440" w:right="1440" w:bottom="1440" w:left="1440" w:header="720" w:footer="720" w:gutter="0"/>
          <w:cols w:space="720"/>
          <w:docGrid w:linePitch="360"/>
        </w:sectPr>
      </w:pPr>
      <w:r w:rsidRPr="4F8E7AA4">
        <w:rPr>
          <w:rFonts w:ascii="Arial" w:hAnsi="Arial" w:cs="Arial"/>
          <w:b/>
          <w:bCs/>
        </w:rPr>
        <w:t>Subject</w:t>
      </w:r>
      <w:r w:rsidRPr="4F8E7AA4">
        <w:rPr>
          <w:rFonts w:ascii="Arial" w:hAnsi="Arial" w:cs="Arial"/>
        </w:rPr>
        <w:t>:</w:t>
      </w:r>
      <w:r w:rsidR="00792F95" w:rsidRPr="4F8E7AA4">
        <w:rPr>
          <w:rFonts w:ascii="Arial" w:hAnsi="Arial" w:cs="Arial"/>
        </w:rPr>
        <w:t xml:space="preserve"> </w:t>
      </w:r>
      <w:r w:rsidR="18EF7900" w:rsidRPr="4F8E7AA4">
        <w:rPr>
          <w:rFonts w:ascii="Arial" w:eastAsia="Arial" w:hAnsi="Arial" w:cs="Arial"/>
          <w:color w:val="000000" w:themeColor="text1"/>
        </w:rPr>
        <w:t>Early Literacy Updates</w:t>
      </w:r>
    </w:p>
    <w:p w14:paraId="6347AF1D" w14:textId="77777777" w:rsidR="00792F95" w:rsidRDefault="00792F95" w:rsidP="00511972">
      <w:pPr>
        <w:rPr>
          <w:rFonts w:ascii="Arial" w:hAnsi="Arial" w:cs="Arial"/>
          <w:u w:val="single"/>
        </w:rPr>
      </w:pPr>
    </w:p>
    <w:p w14:paraId="38533D10" w14:textId="67D1EBC0" w:rsidR="2A7BE148" w:rsidRDefault="11538900" w:rsidP="4F8E7AA4">
      <w:pPr>
        <w:rPr>
          <w:rFonts w:ascii="Arial" w:eastAsia="Arial" w:hAnsi="Arial" w:cs="Arial"/>
          <w:color w:val="000000" w:themeColor="text1"/>
        </w:rPr>
      </w:pPr>
      <w:r w:rsidRPr="2B6607BE">
        <w:rPr>
          <w:rFonts w:ascii="Arial" w:eastAsia="Arial" w:hAnsi="Arial" w:cs="Arial"/>
          <w:color w:val="000000" w:themeColor="text1"/>
        </w:rPr>
        <w:t xml:space="preserve">In June, Governor Healey signed </w:t>
      </w:r>
      <w:hyperlink r:id="rId14">
        <w:r w:rsidRPr="2B6607BE">
          <w:rPr>
            <w:rStyle w:val="Hyperlink"/>
            <w:rFonts w:ascii="Arial" w:eastAsia="Arial" w:hAnsi="Arial" w:cs="Arial"/>
            <w:b/>
            <w:bCs/>
          </w:rPr>
          <w:t>An Act Relative to Teacher Preparation and Student Literacy</w:t>
        </w:r>
      </w:hyperlink>
      <w:r w:rsidRPr="2B6607BE">
        <w:rPr>
          <w:rFonts w:ascii="Arial" w:eastAsia="Arial" w:hAnsi="Arial" w:cs="Arial"/>
          <w:color w:val="000000" w:themeColor="text1"/>
        </w:rPr>
        <w:t>, legislation designed to provide schools and educators with additional tools to support early literacy across the Commonwealth. The new law establishes requirements related to high-quality K–3 literacy curricula, universal literacy screening, and educator preparation.</w:t>
      </w:r>
    </w:p>
    <w:p w14:paraId="647E9480" w14:textId="2C1E97EF" w:rsidR="2A7BE148" w:rsidRDefault="07CEEF4A" w:rsidP="2B6607BE">
      <w:pPr>
        <w:rPr>
          <w:rFonts w:ascii="Arial" w:eastAsia="Arial" w:hAnsi="Arial" w:cs="Arial"/>
          <w:color w:val="141414"/>
        </w:rPr>
      </w:pPr>
      <w:r w:rsidRPr="2B6607BE">
        <w:rPr>
          <w:rFonts w:ascii="Arial" w:eastAsia="Arial" w:hAnsi="Arial" w:cs="Arial"/>
          <w:color w:val="000000" w:themeColor="text1"/>
        </w:rPr>
        <w:t xml:space="preserve">The legislation builds on work already underway in Massachusetts schools, </w:t>
      </w:r>
      <w:r w:rsidR="7BD96D45" w:rsidRPr="2B6607BE">
        <w:rPr>
          <w:rFonts w:ascii="Arial" w:eastAsia="Arial" w:hAnsi="Arial" w:cs="Arial"/>
          <w:color w:val="000000" w:themeColor="text1"/>
        </w:rPr>
        <w:t xml:space="preserve">including Governor Healey’s </w:t>
      </w:r>
      <w:hyperlink r:id="rId15">
        <w:r w:rsidR="7BD96D45" w:rsidRPr="2B6607BE">
          <w:rPr>
            <w:rStyle w:val="Hyperlink"/>
            <w:rFonts w:ascii="Arial" w:eastAsia="Arial" w:hAnsi="Arial" w:cs="Arial"/>
          </w:rPr>
          <w:t>Literacy Launch: Reading Success from Age 3 through Grade 3</w:t>
        </w:r>
      </w:hyperlink>
      <w:r w:rsidR="2AACF448" w:rsidRPr="2B6607BE">
        <w:rPr>
          <w:rFonts w:ascii="Arial" w:eastAsia="Arial" w:hAnsi="Arial" w:cs="Arial"/>
          <w:color w:val="141414"/>
        </w:rPr>
        <w:t xml:space="preserve">, which began in 2024 and has included grants for high-quality materials, free professional development for teachers, and </w:t>
      </w:r>
      <w:r w:rsidR="6E7E6CDF" w:rsidRPr="2B6607BE">
        <w:rPr>
          <w:rFonts w:ascii="Arial" w:eastAsia="Arial" w:hAnsi="Arial" w:cs="Arial"/>
          <w:color w:val="141414"/>
        </w:rPr>
        <w:t xml:space="preserve">accelerated </w:t>
      </w:r>
      <w:r w:rsidR="2AACF448" w:rsidRPr="2B6607BE">
        <w:rPr>
          <w:rFonts w:ascii="Arial" w:eastAsia="Arial" w:hAnsi="Arial" w:cs="Arial"/>
          <w:color w:val="141414"/>
        </w:rPr>
        <w:t>review</w:t>
      </w:r>
      <w:r w:rsidR="4CCB7CCF" w:rsidRPr="2B6607BE">
        <w:rPr>
          <w:rFonts w:ascii="Arial" w:eastAsia="Arial" w:hAnsi="Arial" w:cs="Arial"/>
          <w:color w:val="141414"/>
        </w:rPr>
        <w:t>s</w:t>
      </w:r>
      <w:r w:rsidR="2AACF448" w:rsidRPr="2B6607BE">
        <w:rPr>
          <w:rFonts w:ascii="Arial" w:eastAsia="Arial" w:hAnsi="Arial" w:cs="Arial"/>
          <w:color w:val="141414"/>
        </w:rPr>
        <w:t xml:space="preserve"> of teacher education programs. </w:t>
      </w:r>
    </w:p>
    <w:p w14:paraId="072F657B" w14:textId="1D0629A6" w:rsidR="2A7BE148" w:rsidRDefault="07CEEF4A" w:rsidP="3911FF84">
      <w:pPr>
        <w:spacing w:after="135"/>
        <w:rPr>
          <w:rFonts w:ascii="Arial" w:eastAsia="Arial" w:hAnsi="Arial" w:cs="Arial"/>
          <w:color w:val="000000" w:themeColor="text1"/>
        </w:rPr>
      </w:pPr>
      <w:r w:rsidRPr="2B6607BE">
        <w:rPr>
          <w:rFonts w:ascii="Arial" w:eastAsia="Arial" w:hAnsi="Arial" w:cs="Arial"/>
          <w:color w:val="000000" w:themeColor="text1"/>
        </w:rPr>
        <w:t xml:space="preserve">Key provisions of </w:t>
      </w:r>
      <w:r w:rsidR="446C98A0" w:rsidRPr="2B6607BE">
        <w:rPr>
          <w:rFonts w:ascii="Arial" w:eastAsia="Arial" w:hAnsi="Arial" w:cs="Arial"/>
          <w:color w:val="000000" w:themeColor="text1"/>
        </w:rPr>
        <w:t xml:space="preserve">An Act Relative to Teacher Preparation and Student </w:t>
      </w:r>
      <w:r w:rsidR="6F904B20" w:rsidRPr="2B6607BE">
        <w:rPr>
          <w:rFonts w:ascii="Arial" w:eastAsia="Arial" w:hAnsi="Arial" w:cs="Arial"/>
          <w:color w:val="000000" w:themeColor="text1"/>
        </w:rPr>
        <w:t>L</w:t>
      </w:r>
      <w:r w:rsidR="4E845576" w:rsidRPr="2B6607BE">
        <w:rPr>
          <w:rFonts w:ascii="Arial" w:eastAsia="Arial" w:hAnsi="Arial" w:cs="Arial"/>
          <w:color w:val="000000" w:themeColor="text1"/>
        </w:rPr>
        <w:t xml:space="preserve">iteracy </w:t>
      </w:r>
      <w:r w:rsidRPr="2B6607BE">
        <w:rPr>
          <w:rFonts w:ascii="Arial" w:eastAsia="Arial" w:hAnsi="Arial" w:cs="Arial"/>
          <w:color w:val="000000" w:themeColor="text1"/>
        </w:rPr>
        <w:t>include:</w:t>
      </w:r>
    </w:p>
    <w:p w14:paraId="2970944C" w14:textId="3F91AB59" w:rsidR="2A7BE148" w:rsidRDefault="2A7BE148" w:rsidP="4F8E7AA4">
      <w:pPr>
        <w:rPr>
          <w:rFonts w:ascii="Arial" w:eastAsia="Arial" w:hAnsi="Arial" w:cs="Arial"/>
          <w:color w:val="000000" w:themeColor="text1"/>
        </w:rPr>
      </w:pPr>
      <w:r w:rsidRPr="4F8E7AA4">
        <w:rPr>
          <w:rFonts w:ascii="Arial" w:eastAsia="Arial" w:hAnsi="Arial" w:cs="Arial"/>
          <w:b/>
          <w:bCs/>
          <w:color w:val="000000" w:themeColor="text1"/>
        </w:rPr>
        <w:t>K–3 Reading Curricula</w:t>
      </w:r>
      <w:r>
        <w:br/>
      </w:r>
      <w:r w:rsidRPr="4F8E7AA4">
        <w:rPr>
          <w:rFonts w:ascii="Arial" w:eastAsia="Arial" w:hAnsi="Arial" w:cs="Arial"/>
          <w:color w:val="000000" w:themeColor="text1"/>
        </w:rPr>
        <w:t>The legislation requires school districts to select high-quality literacy curricula for kindergarten through grade 3 that are backed by scientific research and have demonstrated success in improving students’ reading, vocabulary, oral language, and comprehension. The law defines a “high-quality curriculum” as one reviewed and approved by DESE.</w:t>
      </w:r>
    </w:p>
    <w:p w14:paraId="1D3926C8" w14:textId="5408E850" w:rsidR="2A7BE148" w:rsidRDefault="2A7BE148" w:rsidP="4F8E7AA4">
      <w:pPr>
        <w:rPr>
          <w:rFonts w:ascii="Arial" w:eastAsia="Arial" w:hAnsi="Arial" w:cs="Arial"/>
          <w:color w:val="000000" w:themeColor="text1"/>
        </w:rPr>
      </w:pPr>
      <w:r w:rsidRPr="4F8E7AA4">
        <w:rPr>
          <w:rFonts w:ascii="Arial" w:eastAsia="Arial" w:hAnsi="Arial" w:cs="Arial"/>
          <w:color w:val="000000" w:themeColor="text1"/>
        </w:rPr>
        <w:t>DESE will maintain and publish a list of approved curricular materials. The legislation also requires DESE to maintain and make available, at no cost, a complete, high-quality kindergarten through grade 3 literacy curriculum.</w:t>
      </w:r>
    </w:p>
    <w:p w14:paraId="7EF6D4CE" w14:textId="39CB3A9B" w:rsidR="2A7BE148" w:rsidRDefault="1553E608" w:rsidP="4F8E7AA4">
      <w:pPr>
        <w:rPr>
          <w:rFonts w:ascii="Arial" w:eastAsia="Arial" w:hAnsi="Arial" w:cs="Arial"/>
          <w:color w:val="000000" w:themeColor="text1"/>
        </w:rPr>
      </w:pPr>
      <w:r w:rsidRPr="73CD18B2">
        <w:rPr>
          <w:rFonts w:ascii="Arial" w:eastAsia="Arial" w:hAnsi="Arial" w:cs="Arial"/>
          <w:b/>
          <w:bCs/>
          <w:color w:val="000000" w:themeColor="text1"/>
        </w:rPr>
        <w:t>Early Literacy Universal Screening</w:t>
      </w:r>
      <w:r w:rsidR="2A7BE148">
        <w:br/>
      </w:r>
      <w:r w:rsidRPr="73CD18B2">
        <w:rPr>
          <w:rFonts w:ascii="Arial" w:eastAsia="Arial" w:hAnsi="Arial" w:cs="Arial"/>
          <w:color w:val="000000" w:themeColor="text1"/>
        </w:rPr>
        <w:t xml:space="preserve">The legislation requires schools to develop reading screening protocols and to report annually on their screening practices. Districts must assess students’ reading ability and review their progress at least twice each school year from kindergarten through grade </w:t>
      </w:r>
      <w:r w:rsidR="0FB0CFFC" w:rsidRPr="73CD18B2">
        <w:rPr>
          <w:rFonts w:ascii="Arial" w:eastAsia="Arial" w:hAnsi="Arial" w:cs="Arial"/>
          <w:color w:val="000000" w:themeColor="text1"/>
        </w:rPr>
        <w:t>3</w:t>
      </w:r>
      <w:r w:rsidRPr="73CD18B2">
        <w:rPr>
          <w:rFonts w:ascii="Arial" w:eastAsia="Arial" w:hAnsi="Arial" w:cs="Arial"/>
          <w:color w:val="000000" w:themeColor="text1"/>
        </w:rPr>
        <w:t>.</w:t>
      </w:r>
    </w:p>
    <w:p w14:paraId="741F0457" w14:textId="54FE90C1" w:rsidR="2A7BE148" w:rsidRDefault="2A7BE148" w:rsidP="4F8E7AA4">
      <w:pPr>
        <w:rPr>
          <w:rFonts w:ascii="Arial" w:eastAsia="Arial" w:hAnsi="Arial" w:cs="Arial"/>
          <w:color w:val="000000" w:themeColor="text1"/>
        </w:rPr>
      </w:pPr>
      <w:r w:rsidRPr="4F8E7AA4">
        <w:rPr>
          <w:rFonts w:ascii="Arial" w:eastAsia="Arial" w:hAnsi="Arial" w:cs="Arial"/>
          <w:color w:val="000000" w:themeColor="text1"/>
        </w:rPr>
        <w:lastRenderedPageBreak/>
        <w:t xml:space="preserve">This provision builds on requirements in effect </w:t>
      </w:r>
      <w:proofErr w:type="gramStart"/>
      <w:r w:rsidRPr="4F8E7AA4">
        <w:rPr>
          <w:rFonts w:ascii="Arial" w:eastAsia="Arial" w:hAnsi="Arial" w:cs="Arial"/>
          <w:color w:val="000000" w:themeColor="text1"/>
        </w:rPr>
        <w:t>since</w:t>
      </w:r>
      <w:proofErr w:type="gramEnd"/>
      <w:r w:rsidRPr="4F8E7AA4">
        <w:rPr>
          <w:rFonts w:ascii="Arial" w:eastAsia="Arial" w:hAnsi="Arial" w:cs="Arial"/>
          <w:color w:val="000000" w:themeColor="text1"/>
        </w:rPr>
        <w:t xml:space="preserve"> July 1, 2023, under which elementary schools assess each student’s reading abilities and early literacy skills at least twice annually from kindergarten through at least third grade (</w:t>
      </w:r>
      <w:hyperlink r:id="rId16">
        <w:r w:rsidRPr="4F8E7AA4">
          <w:rPr>
            <w:rStyle w:val="Hyperlink"/>
          </w:rPr>
          <w:t>603 CMR 28.03</w:t>
        </w:r>
      </w:hyperlink>
      <w:r w:rsidRPr="4F8E7AA4">
        <w:rPr>
          <w:rFonts w:ascii="Arial" w:eastAsia="Arial" w:hAnsi="Arial" w:cs="Arial"/>
          <w:color w:val="000000" w:themeColor="text1"/>
        </w:rPr>
        <w:t>). DESE will continue to update its list of approved screening assessments to reflect current evidence and best practices. DESE must also set a threshold at which students are considered significantly below benchmark.</w:t>
      </w:r>
    </w:p>
    <w:p w14:paraId="32066693" w14:textId="1231D2CA" w:rsidR="2A7BE148" w:rsidRDefault="2A7BE148" w:rsidP="4F8E7AA4">
      <w:pPr>
        <w:rPr>
          <w:rFonts w:ascii="Arial" w:eastAsia="Arial" w:hAnsi="Arial" w:cs="Arial"/>
          <w:color w:val="000000" w:themeColor="text1"/>
        </w:rPr>
      </w:pPr>
      <w:r w:rsidRPr="4F8E7AA4">
        <w:rPr>
          <w:rFonts w:ascii="Arial" w:eastAsia="Arial" w:hAnsi="Arial" w:cs="Arial"/>
          <w:b/>
          <w:bCs/>
          <w:color w:val="000000" w:themeColor="text1"/>
        </w:rPr>
        <w:t xml:space="preserve">Teacher Apprenticeships and Educator Preparation </w:t>
      </w:r>
      <w:r>
        <w:br/>
      </w:r>
      <w:r w:rsidRPr="4F8E7AA4">
        <w:rPr>
          <w:rFonts w:ascii="Arial" w:eastAsia="Arial" w:hAnsi="Arial" w:cs="Arial"/>
          <w:color w:val="000000" w:themeColor="text1"/>
        </w:rPr>
        <w:t xml:space="preserve">Subject to appropriation, the legislation expands </w:t>
      </w:r>
      <w:proofErr w:type="gramStart"/>
      <w:r w:rsidRPr="4F8E7AA4">
        <w:rPr>
          <w:rFonts w:ascii="Arial" w:eastAsia="Arial" w:hAnsi="Arial" w:cs="Arial"/>
          <w:color w:val="000000" w:themeColor="text1"/>
        </w:rPr>
        <w:t>the Commonwealth’s</w:t>
      </w:r>
      <w:proofErr w:type="gramEnd"/>
      <w:r w:rsidRPr="4F8E7AA4">
        <w:rPr>
          <w:rFonts w:ascii="Arial" w:eastAsia="Arial" w:hAnsi="Arial" w:cs="Arial"/>
          <w:color w:val="000000" w:themeColor="text1"/>
        </w:rPr>
        <w:t xml:space="preserve"> existing Registered Teacher Apprenticeship Program to support paid teaching apprenticeships in high-needs districts.</w:t>
      </w:r>
    </w:p>
    <w:p w14:paraId="34090B9C" w14:textId="0D0DB466" w:rsidR="2A7BE148" w:rsidRDefault="2A7BE148" w:rsidP="4F8E7AA4">
      <w:pPr>
        <w:rPr>
          <w:rFonts w:ascii="Arial" w:eastAsia="Arial" w:hAnsi="Arial" w:cs="Arial"/>
          <w:color w:val="000000" w:themeColor="text1"/>
        </w:rPr>
      </w:pPr>
      <w:r w:rsidRPr="45973997">
        <w:rPr>
          <w:rFonts w:ascii="Arial" w:eastAsia="Arial" w:hAnsi="Arial" w:cs="Arial"/>
          <w:color w:val="000000" w:themeColor="text1"/>
        </w:rPr>
        <w:t xml:space="preserve">The legislation also supports DESE’s expedited review of teacher preparation programs to </w:t>
      </w:r>
      <w:r w:rsidR="6D8B25F8" w:rsidRPr="45973997">
        <w:rPr>
          <w:rFonts w:ascii="Arial" w:eastAsia="Arial" w:hAnsi="Arial" w:cs="Arial"/>
          <w:color w:val="000000" w:themeColor="text1"/>
        </w:rPr>
        <w:t xml:space="preserve">confirm </w:t>
      </w:r>
      <w:r w:rsidRPr="45973997">
        <w:rPr>
          <w:rFonts w:ascii="Arial" w:eastAsia="Arial" w:hAnsi="Arial" w:cs="Arial"/>
          <w:color w:val="000000" w:themeColor="text1"/>
        </w:rPr>
        <w:t>that programs provide educators with evidence-based literacy training, strengthening the connection between educator preparation and the instructional practices students encounter in classrooms.</w:t>
      </w:r>
    </w:p>
    <w:p w14:paraId="6E4C63EF" w14:textId="53FD9CD9" w:rsidR="2A7BE148" w:rsidRDefault="2A7BE148" w:rsidP="4F8E7AA4">
      <w:pPr>
        <w:rPr>
          <w:rFonts w:ascii="Arial" w:eastAsia="Arial" w:hAnsi="Arial" w:cs="Arial"/>
          <w:color w:val="000000" w:themeColor="text1"/>
        </w:rPr>
      </w:pPr>
      <w:r w:rsidRPr="4F8E7AA4">
        <w:rPr>
          <w:rFonts w:ascii="Arial" w:eastAsia="Arial" w:hAnsi="Arial" w:cs="Arial"/>
          <w:b/>
          <w:bCs/>
          <w:color w:val="000000" w:themeColor="text1"/>
        </w:rPr>
        <w:t>Next Steps for Implementation</w:t>
      </w:r>
      <w:r>
        <w:br/>
      </w:r>
      <w:r w:rsidRPr="4F8E7AA4">
        <w:rPr>
          <w:rFonts w:ascii="Arial" w:eastAsia="Arial" w:hAnsi="Arial" w:cs="Arial"/>
          <w:color w:val="000000" w:themeColor="text1"/>
        </w:rPr>
        <w:t>The legislation represents an important next step in the Commonwealth’s ongoing effort to ensure that all students receive strong, evidence-based literacy instruction in the early grades. DESE is now working on implementation of the new law, including developing and communicating timelines, approved resources, regulatory updates, and other guidance for schools and districts. I look forward to keeping the Board informed as this work advances.</w:t>
      </w:r>
    </w:p>
    <w:p w14:paraId="6BFA2090" w14:textId="47459E43" w:rsidR="2A7BE148" w:rsidRDefault="2A7BE148" w:rsidP="4F8E7AA4">
      <w:r w:rsidRPr="4F8E7AA4">
        <w:rPr>
          <w:rFonts w:ascii="Arial" w:eastAsia="Arial" w:hAnsi="Arial" w:cs="Arial"/>
          <w:color w:val="000000" w:themeColor="text1"/>
        </w:rPr>
        <w:t>At the September Board meeting, I will invite Lauren Woo, Deputy Commissioner; Erin Hashimoto-Martell, Senior Associate Commissioner of Teaching and Learning; and Katherine Tarca, Associate Commissioner of Curriculum and Standards, to discuss these updates with members of the Board and answer your questions.</w:t>
      </w:r>
    </w:p>
    <w:p w14:paraId="0FFEDB2C" w14:textId="77777777" w:rsidR="00725BB6" w:rsidRPr="00482BA2" w:rsidRDefault="00725BB6">
      <w:pPr>
        <w:rPr>
          <w:rFonts w:ascii="Arial" w:hAnsi="Arial" w:cs="Arial"/>
        </w:rPr>
      </w:pPr>
    </w:p>
    <w:sectPr w:rsidR="00725BB6" w:rsidRPr="00482BA2" w:rsidSect="00725BB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72DD4" w14:textId="77777777" w:rsidR="001C36B4" w:rsidRDefault="001C36B4" w:rsidP="00C84EE3">
      <w:pPr>
        <w:spacing w:after="0" w:line="240" w:lineRule="auto"/>
      </w:pPr>
      <w:r>
        <w:separator/>
      </w:r>
    </w:p>
  </w:endnote>
  <w:endnote w:type="continuationSeparator" w:id="0">
    <w:p w14:paraId="696937D6" w14:textId="77777777" w:rsidR="001C36B4" w:rsidRDefault="001C36B4" w:rsidP="00C84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EB67F" w14:textId="77777777" w:rsidR="00725BB6" w:rsidRDefault="004C46FB">
    <w:pPr>
      <w:pStyle w:val="Footer"/>
    </w:pPr>
    <w:r>
      <w:rPr>
        <w:noProof/>
      </w:rPr>
      <w:drawing>
        <wp:anchor distT="0" distB="0" distL="114300" distR="114300" simplePos="0" relativeHeight="251658240" behindDoc="1" locked="0" layoutInCell="1" allowOverlap="1" wp14:anchorId="2B2E5D0E" wp14:editId="2CB4B5C8">
          <wp:simplePos x="0" y="0"/>
          <wp:positionH relativeFrom="margin">
            <wp:align>center</wp:align>
          </wp:positionH>
          <wp:positionV relativeFrom="paragraph">
            <wp:posOffset>-22225</wp:posOffset>
          </wp:positionV>
          <wp:extent cx="7472567" cy="495510"/>
          <wp:effectExtent l="0" t="0" r="0" b="0"/>
          <wp:wrapNone/>
          <wp:docPr id="97760463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604634"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472567" cy="49551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05F98" w14:textId="77777777" w:rsidR="004C46FB" w:rsidRDefault="004C46FB">
    <w:pPr>
      <w:pStyle w:val="Footer"/>
      <w:jc w:val="right"/>
    </w:pPr>
  </w:p>
  <w:p w14:paraId="16E0281B" w14:textId="77777777" w:rsidR="00C84EE3" w:rsidRPr="009600D2" w:rsidRDefault="00C84EE3">
    <w:pPr>
      <w:pStyle w:val="Footer"/>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584847137"/>
      <w:docPartObj>
        <w:docPartGallery w:val="Page Numbers (Bottom of Page)"/>
        <w:docPartUnique/>
      </w:docPartObj>
    </w:sdtPr>
    <w:sdtEndPr>
      <w:rPr>
        <w:noProof/>
      </w:rPr>
    </w:sdtEndPr>
    <w:sdtContent>
      <w:p w14:paraId="3B7B45BF" w14:textId="77777777" w:rsidR="001B3D3D" w:rsidRPr="00C95D04" w:rsidRDefault="001B3D3D">
        <w:pPr>
          <w:pStyle w:val="Footer"/>
          <w:jc w:val="right"/>
          <w:rPr>
            <w:rFonts w:ascii="Arial" w:hAnsi="Arial" w:cs="Arial"/>
          </w:rPr>
        </w:pPr>
        <w:r w:rsidRPr="00C95D04">
          <w:rPr>
            <w:rFonts w:ascii="Arial" w:hAnsi="Arial" w:cs="Arial"/>
          </w:rPr>
          <w:fldChar w:fldCharType="begin"/>
        </w:r>
        <w:r w:rsidRPr="00C95D04">
          <w:rPr>
            <w:rFonts w:ascii="Arial" w:hAnsi="Arial" w:cs="Arial"/>
          </w:rPr>
          <w:instrText xml:space="preserve"> PAGE   \* MERGEFORMAT </w:instrText>
        </w:r>
        <w:r w:rsidRPr="00C95D04">
          <w:rPr>
            <w:rFonts w:ascii="Arial" w:hAnsi="Arial" w:cs="Arial"/>
          </w:rPr>
          <w:fldChar w:fldCharType="separate"/>
        </w:r>
        <w:r w:rsidRPr="00C95D04">
          <w:rPr>
            <w:rFonts w:ascii="Arial" w:hAnsi="Arial" w:cs="Arial"/>
            <w:noProof/>
          </w:rPr>
          <w:t>2</w:t>
        </w:r>
        <w:r w:rsidRPr="00C95D04">
          <w:rPr>
            <w:rFonts w:ascii="Arial" w:hAnsi="Arial" w:cs="Arial"/>
            <w:noProof/>
          </w:rPr>
          <w:fldChar w:fldCharType="end"/>
        </w:r>
      </w:p>
    </w:sdtContent>
  </w:sdt>
  <w:p w14:paraId="032F92D9" w14:textId="77777777" w:rsidR="00BE0EFA" w:rsidRPr="00C95D04" w:rsidRDefault="00BE0EFA">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12140" w14:textId="77777777" w:rsidR="001C36B4" w:rsidRDefault="001C36B4" w:rsidP="00C84EE3">
      <w:pPr>
        <w:spacing w:after="0" w:line="240" w:lineRule="auto"/>
      </w:pPr>
      <w:r>
        <w:separator/>
      </w:r>
    </w:p>
  </w:footnote>
  <w:footnote w:type="continuationSeparator" w:id="0">
    <w:p w14:paraId="290251E2" w14:textId="77777777" w:rsidR="001C36B4" w:rsidRDefault="001C36B4" w:rsidP="00C84E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46B2AD"/>
    <w:multiLevelType w:val="hybridMultilevel"/>
    <w:tmpl w:val="6768878A"/>
    <w:lvl w:ilvl="0" w:tplc="620AB7A6">
      <w:start w:val="1"/>
      <w:numFmt w:val="bullet"/>
      <w:lvlText w:val=""/>
      <w:lvlJc w:val="left"/>
      <w:pPr>
        <w:ind w:left="720" w:hanging="360"/>
      </w:pPr>
      <w:rPr>
        <w:rFonts w:ascii="Symbol" w:hAnsi="Symbol" w:hint="default"/>
      </w:rPr>
    </w:lvl>
    <w:lvl w:ilvl="1" w:tplc="D6609800">
      <w:start w:val="1"/>
      <w:numFmt w:val="bullet"/>
      <w:lvlText w:val="o"/>
      <w:lvlJc w:val="left"/>
      <w:pPr>
        <w:ind w:left="1440" w:hanging="360"/>
      </w:pPr>
      <w:rPr>
        <w:rFonts w:ascii="Courier New" w:hAnsi="Courier New" w:hint="default"/>
      </w:rPr>
    </w:lvl>
    <w:lvl w:ilvl="2" w:tplc="B61615D6">
      <w:start w:val="1"/>
      <w:numFmt w:val="bullet"/>
      <w:lvlText w:val=""/>
      <w:lvlJc w:val="left"/>
      <w:pPr>
        <w:ind w:left="2160" w:hanging="360"/>
      </w:pPr>
      <w:rPr>
        <w:rFonts w:ascii="Wingdings" w:hAnsi="Wingdings" w:hint="default"/>
      </w:rPr>
    </w:lvl>
    <w:lvl w:ilvl="3" w:tplc="F3D6DCB6">
      <w:start w:val="1"/>
      <w:numFmt w:val="bullet"/>
      <w:lvlText w:val=""/>
      <w:lvlJc w:val="left"/>
      <w:pPr>
        <w:ind w:left="2880" w:hanging="360"/>
      </w:pPr>
      <w:rPr>
        <w:rFonts w:ascii="Symbol" w:hAnsi="Symbol" w:hint="default"/>
      </w:rPr>
    </w:lvl>
    <w:lvl w:ilvl="4" w:tplc="E5B293DC">
      <w:start w:val="1"/>
      <w:numFmt w:val="bullet"/>
      <w:lvlText w:val="o"/>
      <w:lvlJc w:val="left"/>
      <w:pPr>
        <w:ind w:left="3600" w:hanging="360"/>
      </w:pPr>
      <w:rPr>
        <w:rFonts w:ascii="Courier New" w:hAnsi="Courier New" w:hint="default"/>
      </w:rPr>
    </w:lvl>
    <w:lvl w:ilvl="5" w:tplc="09B22D16">
      <w:start w:val="1"/>
      <w:numFmt w:val="bullet"/>
      <w:lvlText w:val=""/>
      <w:lvlJc w:val="left"/>
      <w:pPr>
        <w:ind w:left="4320" w:hanging="360"/>
      </w:pPr>
      <w:rPr>
        <w:rFonts w:ascii="Wingdings" w:hAnsi="Wingdings" w:hint="default"/>
      </w:rPr>
    </w:lvl>
    <w:lvl w:ilvl="6" w:tplc="FFD884EC">
      <w:start w:val="1"/>
      <w:numFmt w:val="bullet"/>
      <w:lvlText w:val=""/>
      <w:lvlJc w:val="left"/>
      <w:pPr>
        <w:ind w:left="5040" w:hanging="360"/>
      </w:pPr>
      <w:rPr>
        <w:rFonts w:ascii="Symbol" w:hAnsi="Symbol" w:hint="default"/>
      </w:rPr>
    </w:lvl>
    <w:lvl w:ilvl="7" w:tplc="B15217B0">
      <w:start w:val="1"/>
      <w:numFmt w:val="bullet"/>
      <w:lvlText w:val="o"/>
      <w:lvlJc w:val="left"/>
      <w:pPr>
        <w:ind w:left="5760" w:hanging="360"/>
      </w:pPr>
      <w:rPr>
        <w:rFonts w:ascii="Courier New" w:hAnsi="Courier New" w:hint="default"/>
      </w:rPr>
    </w:lvl>
    <w:lvl w:ilvl="8" w:tplc="0F5A42B4">
      <w:start w:val="1"/>
      <w:numFmt w:val="bullet"/>
      <w:lvlText w:val=""/>
      <w:lvlJc w:val="left"/>
      <w:pPr>
        <w:ind w:left="6480" w:hanging="360"/>
      </w:pPr>
      <w:rPr>
        <w:rFonts w:ascii="Wingdings" w:hAnsi="Wingdings" w:hint="default"/>
      </w:rPr>
    </w:lvl>
  </w:abstractNum>
  <w:num w:numId="1" w16cid:durableId="1469742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E14"/>
    <w:rsid w:val="00032C6B"/>
    <w:rsid w:val="00042EAE"/>
    <w:rsid w:val="000B7084"/>
    <w:rsid w:val="000C7ED0"/>
    <w:rsid w:val="000E55CC"/>
    <w:rsid w:val="000F11A7"/>
    <w:rsid w:val="001068F1"/>
    <w:rsid w:val="001536F3"/>
    <w:rsid w:val="001A5F2E"/>
    <w:rsid w:val="001B1FD9"/>
    <w:rsid w:val="001B3D3D"/>
    <w:rsid w:val="001B454B"/>
    <w:rsid w:val="001C36B4"/>
    <w:rsid w:val="001C7034"/>
    <w:rsid w:val="001F1D3E"/>
    <w:rsid w:val="0021555D"/>
    <w:rsid w:val="002C5430"/>
    <w:rsid w:val="002E4BDE"/>
    <w:rsid w:val="002F2314"/>
    <w:rsid w:val="00311A71"/>
    <w:rsid w:val="00332A74"/>
    <w:rsid w:val="00342BB8"/>
    <w:rsid w:val="0036060D"/>
    <w:rsid w:val="0039604D"/>
    <w:rsid w:val="003D259A"/>
    <w:rsid w:val="003E2FDF"/>
    <w:rsid w:val="00405BF2"/>
    <w:rsid w:val="00473160"/>
    <w:rsid w:val="00482BA2"/>
    <w:rsid w:val="00482D8E"/>
    <w:rsid w:val="00490D13"/>
    <w:rsid w:val="004A291D"/>
    <w:rsid w:val="004C46FB"/>
    <w:rsid w:val="00511972"/>
    <w:rsid w:val="00560D69"/>
    <w:rsid w:val="005A00CE"/>
    <w:rsid w:val="005B2261"/>
    <w:rsid w:val="006738A6"/>
    <w:rsid w:val="006B7DF9"/>
    <w:rsid w:val="006F27F5"/>
    <w:rsid w:val="006F4B1B"/>
    <w:rsid w:val="00710A3F"/>
    <w:rsid w:val="00725BB6"/>
    <w:rsid w:val="007415A4"/>
    <w:rsid w:val="00743AF1"/>
    <w:rsid w:val="007628BB"/>
    <w:rsid w:val="007647E2"/>
    <w:rsid w:val="00787421"/>
    <w:rsid w:val="00792F95"/>
    <w:rsid w:val="0079511B"/>
    <w:rsid w:val="00797DBE"/>
    <w:rsid w:val="007B636F"/>
    <w:rsid w:val="007C2E84"/>
    <w:rsid w:val="0083306A"/>
    <w:rsid w:val="00864969"/>
    <w:rsid w:val="008D3A83"/>
    <w:rsid w:val="008F75C1"/>
    <w:rsid w:val="00922FD3"/>
    <w:rsid w:val="00932874"/>
    <w:rsid w:val="00957FD0"/>
    <w:rsid w:val="009600D2"/>
    <w:rsid w:val="00985BFF"/>
    <w:rsid w:val="009A28ED"/>
    <w:rsid w:val="009A5E14"/>
    <w:rsid w:val="009D39E0"/>
    <w:rsid w:val="009D566C"/>
    <w:rsid w:val="00A1121D"/>
    <w:rsid w:val="00A47614"/>
    <w:rsid w:val="00A94732"/>
    <w:rsid w:val="00AB547A"/>
    <w:rsid w:val="00AC2A7B"/>
    <w:rsid w:val="00B0650F"/>
    <w:rsid w:val="00B110B6"/>
    <w:rsid w:val="00B150A1"/>
    <w:rsid w:val="00B35E0D"/>
    <w:rsid w:val="00B86C3D"/>
    <w:rsid w:val="00BC5E2D"/>
    <w:rsid w:val="00BE0EFA"/>
    <w:rsid w:val="00BE5695"/>
    <w:rsid w:val="00C31524"/>
    <w:rsid w:val="00C3665B"/>
    <w:rsid w:val="00C824D2"/>
    <w:rsid w:val="00C84EE3"/>
    <w:rsid w:val="00C95D04"/>
    <w:rsid w:val="00D33DCB"/>
    <w:rsid w:val="00D3533D"/>
    <w:rsid w:val="00D42808"/>
    <w:rsid w:val="00D94D2B"/>
    <w:rsid w:val="00DB2544"/>
    <w:rsid w:val="00DD6EF6"/>
    <w:rsid w:val="00E0707D"/>
    <w:rsid w:val="00E60944"/>
    <w:rsid w:val="00E63E19"/>
    <w:rsid w:val="00E76720"/>
    <w:rsid w:val="00F00022"/>
    <w:rsid w:val="00F24E91"/>
    <w:rsid w:val="00F91901"/>
    <w:rsid w:val="00F93DAF"/>
    <w:rsid w:val="031D8ADB"/>
    <w:rsid w:val="033EA75E"/>
    <w:rsid w:val="05A1F614"/>
    <w:rsid w:val="07CEEF4A"/>
    <w:rsid w:val="0AC562A3"/>
    <w:rsid w:val="0B23F0C0"/>
    <w:rsid w:val="0B7587BC"/>
    <w:rsid w:val="0FB0CFFC"/>
    <w:rsid w:val="11538900"/>
    <w:rsid w:val="1553E608"/>
    <w:rsid w:val="18EF7900"/>
    <w:rsid w:val="19E4D920"/>
    <w:rsid w:val="20551977"/>
    <w:rsid w:val="21275DDF"/>
    <w:rsid w:val="252F8260"/>
    <w:rsid w:val="29610792"/>
    <w:rsid w:val="2A7BE148"/>
    <w:rsid w:val="2AACF448"/>
    <w:rsid w:val="2B6607BE"/>
    <w:rsid w:val="2BB38F2D"/>
    <w:rsid w:val="2CEE9DCC"/>
    <w:rsid w:val="2F35C18C"/>
    <w:rsid w:val="31ECB7E8"/>
    <w:rsid w:val="38886D8D"/>
    <w:rsid w:val="3911FF84"/>
    <w:rsid w:val="446C98A0"/>
    <w:rsid w:val="44AFF574"/>
    <w:rsid w:val="45973997"/>
    <w:rsid w:val="45A980F8"/>
    <w:rsid w:val="46694B08"/>
    <w:rsid w:val="46A8C622"/>
    <w:rsid w:val="4CCB7CCF"/>
    <w:rsid w:val="4E845576"/>
    <w:rsid w:val="4EF88026"/>
    <w:rsid w:val="4F8E7AA4"/>
    <w:rsid w:val="54537A78"/>
    <w:rsid w:val="55B73D35"/>
    <w:rsid w:val="576581F6"/>
    <w:rsid w:val="5A7A3B2E"/>
    <w:rsid w:val="5B69D71A"/>
    <w:rsid w:val="5BEF9C21"/>
    <w:rsid w:val="5D42580F"/>
    <w:rsid w:val="6C7F4CC6"/>
    <w:rsid w:val="6D8B25F8"/>
    <w:rsid w:val="6E1BE67B"/>
    <w:rsid w:val="6E7E6CDF"/>
    <w:rsid w:val="6F42B5D1"/>
    <w:rsid w:val="6F904B20"/>
    <w:rsid w:val="73CD18B2"/>
    <w:rsid w:val="7490E63A"/>
    <w:rsid w:val="74BAA706"/>
    <w:rsid w:val="75D6D764"/>
    <w:rsid w:val="7BD96D45"/>
    <w:rsid w:val="7BDD6DB5"/>
    <w:rsid w:val="7F06B17A"/>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F27EB"/>
  <w15:chartTrackingRefBased/>
  <w15:docId w15:val="{AFFCC71B-B57B-43F3-9890-7C8C0E7B9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4E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84E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4E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4E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4E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4E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4E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4E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4E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4E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84E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4E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4E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4E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4E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4E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4E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4EE3"/>
    <w:rPr>
      <w:rFonts w:eastAsiaTheme="majorEastAsia" w:cstheme="majorBidi"/>
      <w:color w:val="272727" w:themeColor="text1" w:themeTint="D8"/>
    </w:rPr>
  </w:style>
  <w:style w:type="paragraph" w:styleId="Title">
    <w:name w:val="Title"/>
    <w:basedOn w:val="Normal"/>
    <w:next w:val="Normal"/>
    <w:link w:val="TitleChar"/>
    <w:uiPriority w:val="10"/>
    <w:qFormat/>
    <w:rsid w:val="00C84E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4E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4E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4E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4EE3"/>
    <w:pPr>
      <w:spacing w:before="160"/>
      <w:jc w:val="center"/>
    </w:pPr>
    <w:rPr>
      <w:i/>
      <w:iCs/>
      <w:color w:val="404040" w:themeColor="text1" w:themeTint="BF"/>
    </w:rPr>
  </w:style>
  <w:style w:type="character" w:customStyle="1" w:styleId="QuoteChar">
    <w:name w:val="Quote Char"/>
    <w:basedOn w:val="DefaultParagraphFont"/>
    <w:link w:val="Quote"/>
    <w:uiPriority w:val="29"/>
    <w:rsid w:val="00C84EE3"/>
    <w:rPr>
      <w:i/>
      <w:iCs/>
      <w:color w:val="404040" w:themeColor="text1" w:themeTint="BF"/>
    </w:rPr>
  </w:style>
  <w:style w:type="paragraph" w:styleId="ListParagraph">
    <w:name w:val="List Paragraph"/>
    <w:basedOn w:val="Normal"/>
    <w:uiPriority w:val="34"/>
    <w:qFormat/>
    <w:rsid w:val="00C84EE3"/>
    <w:pPr>
      <w:ind w:left="720"/>
      <w:contextualSpacing/>
    </w:pPr>
  </w:style>
  <w:style w:type="character" w:styleId="IntenseEmphasis">
    <w:name w:val="Intense Emphasis"/>
    <w:basedOn w:val="DefaultParagraphFont"/>
    <w:uiPriority w:val="21"/>
    <w:qFormat/>
    <w:rsid w:val="00C84EE3"/>
    <w:rPr>
      <w:i/>
      <w:iCs/>
      <w:color w:val="0F4761" w:themeColor="accent1" w:themeShade="BF"/>
    </w:rPr>
  </w:style>
  <w:style w:type="paragraph" w:styleId="IntenseQuote">
    <w:name w:val="Intense Quote"/>
    <w:basedOn w:val="Normal"/>
    <w:next w:val="Normal"/>
    <w:link w:val="IntenseQuoteChar"/>
    <w:uiPriority w:val="30"/>
    <w:qFormat/>
    <w:rsid w:val="00C84E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4EE3"/>
    <w:rPr>
      <w:i/>
      <w:iCs/>
      <w:color w:val="0F4761" w:themeColor="accent1" w:themeShade="BF"/>
    </w:rPr>
  </w:style>
  <w:style w:type="character" w:styleId="IntenseReference">
    <w:name w:val="Intense Reference"/>
    <w:basedOn w:val="DefaultParagraphFont"/>
    <w:uiPriority w:val="32"/>
    <w:qFormat/>
    <w:rsid w:val="00C84EE3"/>
    <w:rPr>
      <w:b/>
      <w:bCs/>
      <w:smallCaps/>
      <w:color w:val="0F4761" w:themeColor="accent1" w:themeShade="BF"/>
      <w:spacing w:val="5"/>
    </w:rPr>
  </w:style>
  <w:style w:type="paragraph" w:styleId="Header">
    <w:name w:val="header"/>
    <w:basedOn w:val="Normal"/>
    <w:link w:val="HeaderChar"/>
    <w:uiPriority w:val="99"/>
    <w:unhideWhenUsed/>
    <w:rsid w:val="00C84E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E3"/>
  </w:style>
  <w:style w:type="paragraph" w:styleId="Footer">
    <w:name w:val="footer"/>
    <w:basedOn w:val="Normal"/>
    <w:link w:val="FooterChar"/>
    <w:uiPriority w:val="99"/>
    <w:unhideWhenUsed/>
    <w:rsid w:val="00C84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E3"/>
  </w:style>
  <w:style w:type="character" w:customStyle="1" w:styleId="normaltextrun">
    <w:name w:val="normaltextrun"/>
    <w:basedOn w:val="DefaultParagraphFont"/>
    <w:uiPriority w:val="1"/>
    <w:rsid w:val="7490E63A"/>
    <w:rPr>
      <w:rFonts w:asciiTheme="minorHAnsi" w:eastAsiaTheme="minorEastAsia" w:hAnsiTheme="minorHAnsi" w:cstheme="minorBidi"/>
      <w:sz w:val="24"/>
      <w:szCs w:val="24"/>
    </w:rPr>
  </w:style>
  <w:style w:type="character" w:styleId="Hyperlink">
    <w:name w:val="Hyperlink"/>
    <w:basedOn w:val="DefaultParagraphFont"/>
    <w:uiPriority w:val="99"/>
    <w:unhideWhenUsed/>
    <w:rsid w:val="4F8E7AA4"/>
    <w:rPr>
      <w:color w:val="467886"/>
      <w:u w:val="single"/>
    </w:rPr>
  </w:style>
  <w:style w:type="paragraph" w:styleId="Revision">
    <w:name w:val="Revision"/>
    <w:hidden/>
    <w:uiPriority w:val="99"/>
    <w:semiHidden/>
    <w:rsid w:val="00797DBE"/>
    <w:pPr>
      <w:spacing w:after="0" w:line="240" w:lineRule="auto"/>
    </w:pPr>
  </w:style>
  <w:style w:type="character" w:styleId="CommentReference">
    <w:name w:val="annotation reference"/>
    <w:basedOn w:val="DefaultParagraphFont"/>
    <w:uiPriority w:val="99"/>
    <w:semiHidden/>
    <w:unhideWhenUsed/>
    <w:rsid w:val="00473160"/>
    <w:rPr>
      <w:sz w:val="16"/>
      <w:szCs w:val="16"/>
    </w:rPr>
  </w:style>
  <w:style w:type="paragraph" w:styleId="CommentText">
    <w:name w:val="annotation text"/>
    <w:basedOn w:val="Normal"/>
    <w:link w:val="CommentTextChar"/>
    <w:uiPriority w:val="99"/>
    <w:unhideWhenUsed/>
    <w:rsid w:val="00473160"/>
    <w:pPr>
      <w:spacing w:line="240" w:lineRule="auto"/>
    </w:pPr>
    <w:rPr>
      <w:sz w:val="20"/>
      <w:szCs w:val="20"/>
    </w:rPr>
  </w:style>
  <w:style w:type="character" w:customStyle="1" w:styleId="CommentTextChar">
    <w:name w:val="Comment Text Char"/>
    <w:basedOn w:val="DefaultParagraphFont"/>
    <w:link w:val="CommentText"/>
    <w:uiPriority w:val="99"/>
    <w:rsid w:val="00473160"/>
    <w:rPr>
      <w:sz w:val="20"/>
      <w:szCs w:val="20"/>
    </w:rPr>
  </w:style>
  <w:style w:type="paragraph" w:styleId="CommentSubject">
    <w:name w:val="annotation subject"/>
    <w:basedOn w:val="CommentText"/>
    <w:next w:val="CommentText"/>
    <w:link w:val="CommentSubjectChar"/>
    <w:uiPriority w:val="99"/>
    <w:semiHidden/>
    <w:unhideWhenUsed/>
    <w:rsid w:val="00473160"/>
    <w:rPr>
      <w:b/>
      <w:bCs/>
    </w:rPr>
  </w:style>
  <w:style w:type="character" w:customStyle="1" w:styleId="CommentSubjectChar">
    <w:name w:val="Comment Subject Char"/>
    <w:basedOn w:val="CommentTextChar"/>
    <w:link w:val="CommentSubject"/>
    <w:uiPriority w:val="99"/>
    <w:semiHidden/>
    <w:rsid w:val="00473160"/>
    <w:rPr>
      <w:b/>
      <w:bCs/>
      <w:sz w:val="20"/>
      <w:szCs w:val="20"/>
    </w:rPr>
  </w:style>
  <w:style w:type="character" w:styleId="UnresolvedMention">
    <w:name w:val="Unresolved Mention"/>
    <w:basedOn w:val="DefaultParagraphFont"/>
    <w:uiPriority w:val="99"/>
    <w:semiHidden/>
    <w:unhideWhenUsed/>
    <w:rsid w:val="004731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doe.mass.edu/lawsregs/603cmr28.html?section=03"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mass.gov/info-details/literacy-launch-reading-success-from-age-3-through-grade-3"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alegislature.gov/Laws/SessionLaws/Acts/2026/Chapter113"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HB\OneDrive%20-%20Commonwealth%20of%20Massachusetts\Communication\Letterhead%20Templates\DESE%20Memo%20Commissioner%20Martinez%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0EA0BB4E6A684694772750B001C800" ma:contentTypeVersion="15" ma:contentTypeDescription="Create a new document." ma:contentTypeScope="" ma:versionID="0f90ca5a2085d8c0a242a18c5743b1a5">
  <xsd:schema xmlns:xsd="http://www.w3.org/2001/XMLSchema" xmlns:xs="http://www.w3.org/2001/XMLSchema" xmlns:p="http://schemas.microsoft.com/office/2006/metadata/properties" xmlns:ns2="0128f6a2-0fe6-40ac-973e-bb0bf351512f" xmlns:ns3="7a12eb2f-f040-4639-9fb2-5a6588dc8035" targetNamespace="http://schemas.microsoft.com/office/2006/metadata/properties" ma:root="true" ma:fieldsID="cb07360ac9a85e116485bb8f524b855d" ns2:_="" ns3:_="">
    <xsd:import namespace="0128f6a2-0fe6-40ac-973e-bb0bf351512f"/>
    <xsd:import namespace="7a12eb2f-f040-4639-9fb2-5a6588dc80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28f6a2-0fe6-40ac-973e-bb0bf3515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eb2f-f040-4639-9fb2-5a6588dc80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7bb8feb-9677-4bc1-b64f-9fa6907871bd}" ma:internalName="TaxCatchAll" ma:showField="CatchAllData" ma:web="7a12eb2f-f040-4639-9fb2-5a6588dc80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a12eb2f-f040-4639-9fb2-5a6588dc8035" xsi:nil="true"/>
    <lcf76f155ced4ddcb4097134ff3c332f xmlns="0128f6a2-0fe6-40ac-973e-bb0bf35151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637A378-D7C3-4BC4-998C-FE02BB89D8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28f6a2-0fe6-40ac-973e-bb0bf351512f"/>
    <ds:schemaRef ds:uri="7a12eb2f-f040-4639-9fb2-5a6588dc80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782DF4-49BE-4D3A-A96E-00B3464CBADD}">
  <ds:schemaRefs>
    <ds:schemaRef ds:uri="http://schemas.microsoft.com/sharepoint/v3/contenttype/forms"/>
  </ds:schemaRefs>
</ds:datastoreItem>
</file>

<file path=customXml/itemProps3.xml><?xml version="1.0" encoding="utf-8"?>
<ds:datastoreItem xmlns:ds="http://schemas.openxmlformats.org/officeDocument/2006/customXml" ds:itemID="{5E013C92-6C9A-453A-9BC0-B00C66274D14}">
  <ds:schemaRefs>
    <ds:schemaRef ds:uri="http://schemas.microsoft.com/office/2006/metadata/properties"/>
    <ds:schemaRef ds:uri="http://schemas.microsoft.com/office/infopath/2007/PartnerControls"/>
    <ds:schemaRef ds:uri="7a12eb2f-f040-4639-9fb2-5a6588dc8035"/>
    <ds:schemaRef ds:uri="0128f6a2-0fe6-40ac-973e-bb0bf351512f"/>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DESE Memo Commissioner Martinez 2026.dotx</Template>
  <TotalTime>2</TotalTime>
  <Pages>2</Pages>
  <Words>597</Words>
  <Characters>3407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BESE September 22, 2026 Regular Meeting Item 4: Early Literacy: Mass Early Literacy Law</vt:lpstr>
    </vt:vector>
  </TitlesOfParts>
  <Company/>
  <LinksUpToDate>false</LinksUpToDate>
  <CharactersWithSpaces>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BESE September 22, 2026 Regular Meeting Item 4: Early Literacy Updates</dc:title>
  <dc:subject/>
  <dc:creator>DESE</dc:creator>
  <cp:keywords/>
  <dc:description/>
  <cp:lastModifiedBy>Zou, Dong (EOE)</cp:lastModifiedBy>
  <cp:revision>4</cp:revision>
  <dcterms:created xsi:type="dcterms:W3CDTF">2026-09-16T20:56:00Z</dcterms:created>
  <dcterms:modified xsi:type="dcterms:W3CDTF">2026-09-16T21:49:00Z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16 2026 12:00AM</vt:lpwstr>
  </property>
</Properties>
</file>