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5DC5" w14:textId="73328E23" w:rsidR="00BE667C" w:rsidRDefault="00BA3EC2" w:rsidP="00BA3EC2">
      <w:pPr>
        <w:ind w:left="-270"/>
        <w:jc w:val="both"/>
      </w:pPr>
      <w:r>
        <w:rPr>
          <w:b/>
          <w:noProof/>
          <w:sz w:val="44"/>
          <w:lang w:eastAsia="zh-CN"/>
        </w:rPr>
        <mc:AlternateContent>
          <mc:Choice Requires="wps">
            <w:drawing>
              <wp:anchor distT="0" distB="0" distL="114300" distR="114300" simplePos="0" relativeHeight="251659264" behindDoc="0" locked="0" layoutInCell="1" allowOverlap="1" wp14:anchorId="2724D1B5" wp14:editId="324087E0">
                <wp:simplePos x="0" y="0"/>
                <wp:positionH relativeFrom="margin">
                  <wp:posOffset>1077595</wp:posOffset>
                </wp:positionH>
                <wp:positionV relativeFrom="paragraph">
                  <wp:posOffset>85090</wp:posOffset>
                </wp:positionV>
                <wp:extent cx="5400675" cy="487680"/>
                <wp:effectExtent l="0" t="0" r="28575" b="2667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00675" cy="487680"/>
                        </a:xfrm>
                        <a:prstGeom prst="rect">
                          <a:avLst/>
                        </a:prstGeom>
                        <a:solidFill>
                          <a:schemeClr val="accent1">
                            <a:lumMod val="40000"/>
                            <a:lumOff val="60000"/>
                          </a:schemeClr>
                        </a:solidFill>
                        <a:ln w="6350">
                          <a:solidFill>
                            <a:prstClr val="black"/>
                          </a:solidFill>
                        </a:ln>
                      </wps:spPr>
                      <wps:txbx>
                        <w:txbxContent>
                          <w:p w14:paraId="1C503FB4" w14:textId="45119697" w:rsidR="00BE667C" w:rsidRPr="00A83B54" w:rsidRDefault="00A83B54" w:rsidP="00A83B54">
                            <w:pPr>
                              <w:spacing w:after="0" w:line="240" w:lineRule="auto"/>
                              <w:jc w:val="center"/>
                              <w:rPr>
                                <w:b/>
                                <w:sz w:val="40"/>
                                <w:szCs w:val="40"/>
                              </w:rPr>
                            </w:pPr>
                            <w:r w:rsidRPr="00A83B54">
                              <w:rPr>
                                <w:b/>
                                <w:sz w:val="40"/>
                                <w:szCs w:val="40"/>
                              </w:rPr>
                              <w:t>Use</w:t>
                            </w:r>
                            <w:r w:rsidR="00BE667C" w:rsidRPr="00A83B54">
                              <w:rPr>
                                <w:b/>
                                <w:sz w:val="40"/>
                                <w:szCs w:val="40"/>
                              </w:rPr>
                              <w:t xml:space="preserve"> EWIS to improve students’ college </w:t>
                            </w:r>
                            <w:r w:rsidR="00DA2167" w:rsidRPr="00A83B54">
                              <w:rPr>
                                <w:b/>
                                <w:sz w:val="40"/>
                                <w:szCs w:val="40"/>
                              </w:rPr>
                              <w:t>readiness.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4D1B5" id="_x0000_t202" coordsize="21600,21600" o:spt="202" path="m,l,21600r21600,l21600,xe">
                <v:stroke joinstyle="miter"/>
                <v:path gradientshapeok="t" o:connecttype="rect"/>
              </v:shapetype>
              <v:shape id="Text Box 5" o:spid="_x0000_s1026" type="#_x0000_t202" alt="&quot;&quot;" style="position:absolute;left:0;text-align:left;margin-left:84.85pt;margin-top:6.7pt;width:425.25pt;height:3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" fillcolor="#bdd6ee [1300]" strokeweight=".5pt">
                <v:textbox>
                  <w:txbxContent>
                    <w:p w14:paraId="1C503FB4" w14:textId="45119697" w:rsidR="00BE667C" w:rsidRPr="00A83B54" w:rsidRDefault="00A83B54" w:rsidP="00A83B54">
                      <w:pPr>
                        <w:spacing w:after="0" w:line="240" w:lineRule="auto"/>
                        <w:jc w:val="center"/>
                        <w:rPr>
                          <w:b/>
                          <w:sz w:val="40"/>
                          <w:szCs w:val="40"/>
                        </w:rPr>
                      </w:pPr>
                      <w:r w:rsidRPr="00A83B54">
                        <w:rPr>
                          <w:b/>
                          <w:sz w:val="40"/>
                          <w:szCs w:val="40"/>
                        </w:rPr>
                        <w:t>Use</w:t>
                      </w:r>
                      <w:r w:rsidR="00BE667C" w:rsidRPr="00A83B54">
                        <w:rPr>
                          <w:b/>
                          <w:sz w:val="40"/>
                          <w:szCs w:val="40"/>
                        </w:rPr>
                        <w:t xml:space="preserve"> EWIS to improve students’ college </w:t>
                      </w:r>
                      <w:r w:rsidR="00DA2167" w:rsidRPr="00A83B54">
                        <w:rPr>
                          <w:b/>
                          <w:sz w:val="40"/>
                          <w:szCs w:val="40"/>
                        </w:rPr>
                        <w:t>readiness.</w:t>
                      </w:r>
                    </w:p>
                  </w:txbxContent>
                </v:textbox>
                <w10:wrap anchorx="margin"/>
              </v:shape>
            </w:pict>
          </mc:Fallback>
        </mc:AlternateContent>
      </w:r>
      <w:r w:rsidRPr="00540A60">
        <w:rPr>
          <w:noProof/>
          <w:lang w:eastAsia="zh-CN"/>
        </w:rPr>
        <w:drawing>
          <wp:inline distT="0" distB="0" distL="0" distR="0" wp14:anchorId="7660D8AD" wp14:editId="74F77089">
            <wp:extent cx="1177734" cy="572770"/>
            <wp:effectExtent l="0" t="0" r="3810" b="0"/>
            <wp:docPr id="7" name="图片 6" descr="ESE logo.">
              <a:extLst xmlns:a="http://schemas.openxmlformats.org/drawingml/2006/main">
                <a:ext uri="{FF2B5EF4-FFF2-40B4-BE49-F238E27FC236}">
                  <a16:creationId xmlns:a16="http://schemas.microsoft.com/office/drawing/2014/main" id="{C0409D6F-5022-4C54-A665-4417B8EF04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ESE logo.">
                      <a:extLst>
                        <a:ext uri="{FF2B5EF4-FFF2-40B4-BE49-F238E27FC236}">
                          <a16:creationId xmlns:a16="http://schemas.microsoft.com/office/drawing/2014/main" id="{C0409D6F-5022-4C54-A665-4417B8EF049C}"/>
                        </a:ext>
                      </a:extLst>
                    </pic:cNvPr>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305537" cy="634925"/>
                    </a:xfrm>
                    <a:prstGeom prst="rect">
                      <a:avLst/>
                    </a:prstGeom>
                  </pic:spPr>
                </pic:pic>
              </a:graphicData>
            </a:graphic>
          </wp:inline>
        </w:drawing>
      </w:r>
    </w:p>
    <w:tbl>
      <w:tblPr>
        <w:tblStyle w:val="TableGrid"/>
        <w:tblW w:w="10435" w:type="dxa"/>
        <w:tblInd w:w="-185" w:type="dxa"/>
        <w:tblLook w:val="04A0" w:firstRow="1" w:lastRow="0" w:firstColumn="1" w:lastColumn="0" w:noHBand="0" w:noVBand="1"/>
        <w:tblDescription w:val="The challenge:&#10;At least some college education is increasingly important for success in the workforce &#10;&amp;&#10;there are deep gaps in college-going patterns when comparing groups of students statewide .&#10;&#10;How can all students be set up for success? &#10;DESE has developed the Postsecondary EWIS to help districts understand who is at risk of missing college readiness milestones so that they can intervene early and prepare all students for success after high school.&#10; EWIS: A data-informed approach&#10;With EWIS, educators can see exactly who is at risk of missing three important college readiness milestones. &#10;&#10;College Enrollment&#10;Academic Readiness&#10;College Persistence &#10;&#10;Educators use EWIS with local data and context to understand students’ strengths &amp; needs and modify student supports. This data-driven approach may lead to interventions at the individual, small group, and school- or district-wide levels. &#10;&#10;How does it work? &#10;• Early in the year, review EWIS reports to understand who is at risk.&#10;&#10;• Then, explore causes to determine why they are at risk. For example: Are students not taking higher-level courses because they do not recognize the options; or due to scheduling limitations; or for other reasons? &#10;&#10;• After considering why students are at risk, assign supports. &#10;&#10;• Then, monitor risk through the year to ensure supports are having desired effects. By tracking ABCs (Attendance, Behavior and Course selection &amp; performance) and monitoring FAFSA completion, educators can update their view of which students are still at risk and adjust supports.&#10;See the reverse for more about a data inquiry cycle. Here are some examples:&#10;&#10;With the help of EWIS, school counselors in one district saw that at-risk students had not taken a second year of a foreign language, recommended in MassCore. Counselors scheduled the students in the appropriate courses, and could review their course selection processes to prevent this in the future.&#10;&#10;Counselors in another district tracked FAFSA completion as part of their risk monitoring system. Noticing that FAFSA completion had stagnated in mid-winter, they offered a second springtime FAFSA Info Night for graduating seniors and their families.&#10;&#10;Others combine EWIS with student survey insights, first-generation college-going and other local context, and look for ways to strengthen AP and early college course offerings and other school-wide supports. &#10;Want to know more about College Readiness?&#10;CRIS recognizes three interdependent dimensions of college readiness: &#10;• Academic preparedness is the content knowledge and cognitive strategies to succeed in college-level work.&#10;• Academic tenacity covers underlying beliefs and attitudes that drive student achievement. &#10;• College knowledge includes knowledge and contextual skills enabling students to access and navigate college, e.g. financial requirements, college visits and promoting of a college-going culture among all students.&#10;Other research highlights the importance of writing, research and a demanding core curriculum for college success.&#10;&#10;"/>
      </w:tblPr>
      <w:tblGrid>
        <w:gridCol w:w="5125"/>
        <w:gridCol w:w="5310"/>
      </w:tblGrid>
      <w:tr w:rsidR="00BE667C" w14:paraId="6C5A4069" w14:textId="77777777" w:rsidTr="00242FD4">
        <w:trPr>
          <w:trHeight w:val="3860"/>
          <w:tblHeader/>
        </w:trPr>
        <w:tc>
          <w:tcPr>
            <w:tcW w:w="5125" w:type="dxa"/>
            <w:tcBorders>
              <w:top w:val="nil"/>
              <w:left w:val="nil"/>
              <w:bottom w:val="thinThickLargeGap" w:sz="24" w:space="0" w:color="000000"/>
              <w:right w:val="nil"/>
            </w:tcBorders>
          </w:tcPr>
          <w:p w14:paraId="41F60CD3" w14:textId="77777777" w:rsidR="00496D8C" w:rsidRPr="002C437C" w:rsidRDefault="00496D8C" w:rsidP="00496D8C">
            <w:pPr>
              <w:jc w:val="center"/>
              <w:rPr>
                <w:b/>
                <w:color w:val="1F4E79" w:themeColor="accent1" w:themeShade="80"/>
                <w:sz w:val="28"/>
                <w:szCs w:val="28"/>
              </w:rPr>
            </w:pPr>
            <w:r w:rsidRPr="002C437C">
              <w:rPr>
                <w:b/>
                <w:color w:val="1F4E79" w:themeColor="accent1" w:themeShade="80"/>
                <w:sz w:val="28"/>
                <w:szCs w:val="28"/>
              </w:rPr>
              <w:t>The challenge:</w:t>
            </w:r>
          </w:p>
          <w:p w14:paraId="1756CBCD" w14:textId="2C6F7584" w:rsidR="00496D8C" w:rsidRPr="00B2282E" w:rsidRDefault="00496D8C" w:rsidP="00496D8C">
            <w:pPr>
              <w:jc w:val="center"/>
            </w:pPr>
            <w:r w:rsidRPr="00B2282E">
              <w:t>At least some college education is increasing</w:t>
            </w:r>
            <w:r w:rsidR="00B179B4">
              <w:t>ly</w:t>
            </w:r>
            <w:r w:rsidRPr="00B2282E">
              <w:t xml:space="preserve"> important for success in the workforce</w:t>
            </w:r>
            <w:r w:rsidRPr="00B2282E">
              <w:rPr>
                <w:rStyle w:val="FootnoteReference"/>
              </w:rPr>
              <w:footnoteReference w:id="1"/>
            </w:r>
          </w:p>
          <w:p w14:paraId="77D54672" w14:textId="0A8FB6BA" w:rsidR="00496D8C" w:rsidRPr="00B2282E" w:rsidRDefault="002C437C" w:rsidP="00496D8C">
            <w:pPr>
              <w:jc w:val="center"/>
            </w:pPr>
            <w:r>
              <w:t>&amp;</w:t>
            </w:r>
          </w:p>
          <w:p w14:paraId="4BFC6E7C" w14:textId="25243372" w:rsidR="00496D8C" w:rsidRPr="00B2282E" w:rsidRDefault="00B179B4" w:rsidP="00496D8C">
            <w:pPr>
              <w:jc w:val="center"/>
            </w:pPr>
            <w:r>
              <w:t>t</w:t>
            </w:r>
            <w:r w:rsidR="00496D8C" w:rsidRPr="00B2282E">
              <w:t>here are deep gaps in college</w:t>
            </w:r>
            <w:r>
              <w:t>-</w:t>
            </w:r>
            <w:r w:rsidR="00496D8C" w:rsidRPr="00B2282E">
              <w:t xml:space="preserve">going patterns </w:t>
            </w:r>
            <w:r>
              <w:t xml:space="preserve">when </w:t>
            </w:r>
            <w:r w:rsidRPr="004978F7">
              <w:t>comparing groups of students statewide</w:t>
            </w:r>
            <w:r w:rsidR="00496D8C" w:rsidRPr="004978F7">
              <w:rPr>
                <w:rStyle w:val="FootnoteReference"/>
              </w:rPr>
              <w:footnoteReference w:id="2"/>
            </w:r>
            <w:r w:rsidRPr="004978F7">
              <w:t>.</w:t>
            </w:r>
          </w:p>
          <w:p w14:paraId="7A9618CB" w14:textId="77777777" w:rsidR="00496D8C" w:rsidRDefault="00496D8C" w:rsidP="00B2282E"/>
          <w:p w14:paraId="6B420E98" w14:textId="0EC40713" w:rsidR="00496D8C" w:rsidRPr="002C437C" w:rsidRDefault="00496D8C" w:rsidP="002C437C">
            <w:pPr>
              <w:spacing w:after="120"/>
              <w:rPr>
                <w:b/>
                <w:color w:val="1F4E79" w:themeColor="accent1" w:themeShade="80"/>
                <w:sz w:val="27"/>
                <w:szCs w:val="27"/>
              </w:rPr>
            </w:pPr>
            <w:r w:rsidRPr="002C437C">
              <w:rPr>
                <w:b/>
                <w:color w:val="1F4E79" w:themeColor="accent1" w:themeShade="80"/>
                <w:sz w:val="27"/>
                <w:szCs w:val="27"/>
              </w:rPr>
              <w:t xml:space="preserve">How </w:t>
            </w:r>
            <w:r w:rsidR="002C437C" w:rsidRPr="002C437C">
              <w:rPr>
                <w:b/>
                <w:color w:val="1F4E79" w:themeColor="accent1" w:themeShade="80"/>
                <w:sz w:val="27"/>
                <w:szCs w:val="27"/>
              </w:rPr>
              <w:t>can</w:t>
            </w:r>
            <w:r w:rsidRPr="002C437C">
              <w:rPr>
                <w:b/>
                <w:color w:val="1F4E79" w:themeColor="accent1" w:themeShade="80"/>
                <w:sz w:val="27"/>
                <w:szCs w:val="27"/>
              </w:rPr>
              <w:t xml:space="preserve"> all students be set up for success? </w:t>
            </w:r>
          </w:p>
          <w:p w14:paraId="6036C358" w14:textId="572BE43E" w:rsidR="00496D8C" w:rsidRDefault="00A83B54" w:rsidP="00496D8C">
            <w:r>
              <w:t>DESE has developed the P</w:t>
            </w:r>
            <w:r w:rsidR="00496D8C">
              <w:t>ostsecondary EWIS to help districts understand who is at risk of missing college readiness milestones so that they can intervene early and prepare all students for success after high school.</w:t>
            </w:r>
          </w:p>
          <w:p w14:paraId="3E4D55DE" w14:textId="01321D2E" w:rsidR="00496D8C" w:rsidRDefault="00496D8C" w:rsidP="00B2282E"/>
        </w:tc>
        <w:tc>
          <w:tcPr>
            <w:tcW w:w="5310" w:type="dxa"/>
            <w:tcBorders>
              <w:top w:val="nil"/>
              <w:left w:val="nil"/>
              <w:bottom w:val="thinThickLargeGap" w:sz="24" w:space="0" w:color="000000"/>
              <w:right w:val="nil"/>
            </w:tcBorders>
          </w:tcPr>
          <w:p w14:paraId="33941DDB" w14:textId="5A1A71AE" w:rsidR="00496D8C" w:rsidRPr="002C437C" w:rsidRDefault="00000000" w:rsidP="002C437C">
            <w:pPr>
              <w:spacing w:after="120"/>
              <w:jc w:val="center"/>
              <w:rPr>
                <w:b/>
                <w:color w:val="1F4E79" w:themeColor="accent1" w:themeShade="80"/>
                <w:sz w:val="28"/>
                <w:szCs w:val="28"/>
              </w:rPr>
            </w:pPr>
            <w:hyperlink r:id="rId13" w:history="1">
              <w:r w:rsidR="002C437C" w:rsidRPr="0055169D">
                <w:rPr>
                  <w:rStyle w:val="Hyperlink"/>
                  <w:b/>
                  <w:sz w:val="28"/>
                  <w:szCs w:val="28"/>
                </w:rPr>
                <w:t xml:space="preserve">EWIS: </w:t>
              </w:r>
              <w:r w:rsidR="00496D8C" w:rsidRPr="0055169D">
                <w:rPr>
                  <w:rStyle w:val="Hyperlink"/>
                  <w:b/>
                  <w:sz w:val="28"/>
                  <w:szCs w:val="28"/>
                </w:rPr>
                <w:t>A data-informed approach</w:t>
              </w:r>
            </w:hyperlink>
          </w:p>
          <w:p w14:paraId="544A22CA" w14:textId="45ADD877" w:rsidR="00496D8C" w:rsidRDefault="00496D8C" w:rsidP="00496D8C">
            <w:r w:rsidRPr="002A7C2E">
              <w:t xml:space="preserve">With EWIS, educators can see </w:t>
            </w:r>
            <w:r w:rsidRPr="00796E74">
              <w:rPr>
                <w:i/>
              </w:rPr>
              <w:t>exactly</w:t>
            </w:r>
            <w:r w:rsidRPr="002A7C2E">
              <w:t xml:space="preserve"> who is at risk of missing</w:t>
            </w:r>
            <w:r>
              <w:t xml:space="preserve"> t</w:t>
            </w:r>
            <w:r w:rsidR="00CA2532">
              <w:t>wo</w:t>
            </w:r>
            <w:r w:rsidRPr="002A7C2E">
              <w:t xml:space="preserve"> important </w:t>
            </w:r>
            <w:r>
              <w:t>college readiness m</w:t>
            </w:r>
            <w:r w:rsidRPr="002A7C2E">
              <w:t xml:space="preserve">ilestones. </w:t>
            </w:r>
          </w:p>
          <w:p w14:paraId="4CA1E3D2" w14:textId="77777777" w:rsidR="00496D8C" w:rsidRPr="0055169D" w:rsidRDefault="00496D8C" w:rsidP="00496D8C">
            <w:pPr>
              <w:rPr>
                <w:rFonts w:cstheme="minorHAnsi"/>
                <w:sz w:val="12"/>
              </w:rPr>
            </w:pPr>
          </w:p>
          <w:tbl>
            <w:tblPr>
              <w:tblW w:w="4320" w:type="dxa"/>
              <w:tblInd w:w="245" w:type="dxa"/>
              <w:tblCellMar>
                <w:left w:w="0" w:type="dxa"/>
                <w:right w:w="0" w:type="dxa"/>
              </w:tblCellMar>
              <w:tblLook w:val="0600" w:firstRow="0" w:lastRow="0" w:firstColumn="0" w:lastColumn="0" w:noHBand="1" w:noVBand="1"/>
            </w:tblPr>
            <w:tblGrid>
              <w:gridCol w:w="4320"/>
            </w:tblGrid>
            <w:tr w:rsidR="00496D8C" w:rsidRPr="00D23381" w14:paraId="283DCAA8" w14:textId="77777777" w:rsidTr="00B53796">
              <w:trPr>
                <w:trHeight w:val="31"/>
              </w:trPr>
              <w:tc>
                <w:tcPr>
                  <w:tcW w:w="4320"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56" w:type="dxa"/>
                    <w:left w:w="151" w:type="dxa"/>
                    <w:bottom w:w="56" w:type="dxa"/>
                    <w:right w:w="151" w:type="dxa"/>
                  </w:tcMar>
                  <w:hideMark/>
                </w:tcPr>
                <w:p w14:paraId="3B257D1E" w14:textId="137FD726" w:rsidR="00496D8C" w:rsidRPr="00D23381" w:rsidRDefault="00496D8C" w:rsidP="00496D8C">
                  <w:pPr>
                    <w:spacing w:after="0" w:line="240" w:lineRule="auto"/>
                    <w:rPr>
                      <w:rFonts w:cstheme="minorHAnsi"/>
                    </w:rPr>
                  </w:pPr>
                  <w:r w:rsidRPr="00D23381">
                    <w:rPr>
                      <w:rFonts w:cstheme="minorHAnsi"/>
                    </w:rPr>
                    <w:t>College Enrollment</w:t>
                  </w:r>
                  <w:r w:rsidR="00B53796">
                    <w:rPr>
                      <w:rFonts w:cstheme="minorHAnsi"/>
                    </w:rPr>
                    <w:t xml:space="preserve">: immediate enrollment in </w:t>
                  </w:r>
                  <w:r w:rsidR="0022424C">
                    <w:rPr>
                      <w:rFonts w:cstheme="minorHAnsi"/>
                    </w:rPr>
                    <w:t>higher education</w:t>
                  </w:r>
                </w:p>
              </w:tc>
            </w:tr>
            <w:tr w:rsidR="00496D8C" w:rsidRPr="00D23381" w14:paraId="3696A1E9" w14:textId="77777777" w:rsidTr="00B53796">
              <w:trPr>
                <w:trHeight w:val="2"/>
              </w:trPr>
              <w:tc>
                <w:tcPr>
                  <w:tcW w:w="4320" w:type="dxa"/>
                  <w:tcBorders>
                    <w:top w:val="single" w:sz="4" w:space="0" w:color="auto"/>
                    <w:left w:val="single" w:sz="8" w:space="0" w:color="FFFFFF"/>
                    <w:bottom w:val="single" w:sz="8" w:space="0" w:color="FFFFFF"/>
                    <w:right w:val="single" w:sz="8" w:space="0" w:color="FFFFFF"/>
                  </w:tcBorders>
                  <w:shd w:val="clear" w:color="auto" w:fill="BDD6EE" w:themeFill="accent1" w:themeFillTint="66"/>
                  <w:tcMar>
                    <w:top w:w="56" w:type="dxa"/>
                    <w:left w:w="151" w:type="dxa"/>
                    <w:bottom w:w="56" w:type="dxa"/>
                    <w:right w:w="151" w:type="dxa"/>
                  </w:tcMar>
                  <w:hideMark/>
                </w:tcPr>
                <w:p w14:paraId="71FDF46B" w14:textId="0E494B55" w:rsidR="00496D8C" w:rsidRPr="00D23381" w:rsidRDefault="00496D8C" w:rsidP="00496D8C">
                  <w:pPr>
                    <w:spacing w:after="0" w:line="240" w:lineRule="auto"/>
                    <w:rPr>
                      <w:rFonts w:cstheme="minorHAnsi"/>
                    </w:rPr>
                  </w:pPr>
                  <w:r w:rsidRPr="00D23381">
                    <w:rPr>
                      <w:rFonts w:cstheme="minorHAnsi"/>
                    </w:rPr>
                    <w:t xml:space="preserve">College </w:t>
                  </w:r>
                  <w:r w:rsidR="0058555C" w:rsidRPr="00D23381">
                    <w:rPr>
                      <w:rFonts w:cstheme="minorHAnsi"/>
                    </w:rPr>
                    <w:t>Persistence:</w:t>
                  </w:r>
                  <w:r w:rsidR="0022424C">
                    <w:rPr>
                      <w:rFonts w:cstheme="minorHAnsi"/>
                    </w:rPr>
                    <w:t xml:space="preserve"> continuing to a second year of higher education</w:t>
                  </w:r>
                </w:p>
              </w:tc>
            </w:tr>
          </w:tbl>
          <w:p w14:paraId="72ECF7A1" w14:textId="77777777" w:rsidR="00496D8C" w:rsidRPr="0055169D" w:rsidRDefault="00496D8C" w:rsidP="00496D8C">
            <w:pPr>
              <w:rPr>
                <w:rFonts w:cstheme="minorHAnsi"/>
                <w:sz w:val="12"/>
              </w:rPr>
            </w:pPr>
          </w:p>
          <w:p w14:paraId="7D84F6B3" w14:textId="77777777" w:rsidR="00BE667C" w:rsidRDefault="00496D8C" w:rsidP="0055169D">
            <w:pPr>
              <w:ind w:left="-5"/>
              <w:rPr>
                <w:rFonts w:cstheme="minorHAnsi"/>
              </w:rPr>
            </w:pPr>
            <w:r w:rsidRPr="00D23381">
              <w:rPr>
                <w:rFonts w:cstheme="minorHAnsi"/>
              </w:rPr>
              <w:t>Educators use EWIS with local data and context to understand students’ strengths &amp; needs and modify student supports.</w:t>
            </w:r>
            <w:r w:rsidR="0055169D">
              <w:rPr>
                <w:rFonts w:cstheme="minorHAnsi"/>
              </w:rPr>
              <w:t xml:space="preserve"> </w:t>
            </w:r>
            <w:r w:rsidR="0055169D">
              <w:t xml:space="preserve">This data-driven approach may lead to interventions at the individual, small group, and school- or district-wide levels. </w:t>
            </w:r>
          </w:p>
          <w:p w14:paraId="2EBEE4BF" w14:textId="66A25ADE" w:rsidR="0055169D" w:rsidRPr="0055169D" w:rsidRDefault="0055169D" w:rsidP="0055169D">
            <w:pPr>
              <w:ind w:left="-5"/>
              <w:rPr>
                <w:rFonts w:cstheme="minorHAnsi"/>
                <w:sz w:val="12"/>
              </w:rPr>
            </w:pPr>
          </w:p>
        </w:tc>
      </w:tr>
      <w:tr w:rsidR="00D05BFE" w14:paraId="7B1737CD" w14:textId="77777777" w:rsidTr="00242FD4">
        <w:trPr>
          <w:trHeight w:val="3092"/>
          <w:tblHeader/>
        </w:trPr>
        <w:tc>
          <w:tcPr>
            <w:tcW w:w="5125" w:type="dxa"/>
            <w:tcBorders>
              <w:top w:val="thinThickLargeGap" w:sz="24" w:space="0" w:color="000000"/>
              <w:left w:val="nil"/>
              <w:bottom w:val="thinThickLargeGap" w:sz="24" w:space="0" w:color="000000"/>
              <w:right w:val="nil"/>
            </w:tcBorders>
          </w:tcPr>
          <w:p w14:paraId="1FC3433D" w14:textId="3963003B" w:rsidR="00496D8C" w:rsidRPr="00BA3EC2" w:rsidRDefault="00496D8C" w:rsidP="002C437C">
            <w:pPr>
              <w:spacing w:after="120"/>
              <w:rPr>
                <w:rFonts w:cstheme="minorHAnsi"/>
                <w:b/>
                <w:color w:val="1F4E79" w:themeColor="accent1" w:themeShade="80"/>
                <w:sz w:val="28"/>
                <w:szCs w:val="28"/>
              </w:rPr>
            </w:pPr>
            <w:r w:rsidRPr="00BA3EC2">
              <w:rPr>
                <w:rFonts w:cstheme="minorHAnsi"/>
                <w:b/>
                <w:color w:val="1F4E79" w:themeColor="accent1" w:themeShade="80"/>
                <w:sz w:val="28"/>
                <w:szCs w:val="28"/>
              </w:rPr>
              <w:t xml:space="preserve">How does it work? </w:t>
            </w:r>
          </w:p>
          <w:p w14:paraId="5C769792" w14:textId="4CD98EBB" w:rsidR="00496D8C" w:rsidRDefault="00496D8C" w:rsidP="00B179B4">
            <w:pPr>
              <w:pStyle w:val="ListParagraph"/>
              <w:numPr>
                <w:ilvl w:val="0"/>
                <w:numId w:val="1"/>
              </w:numPr>
              <w:spacing w:after="120"/>
              <w:ind w:left="360"/>
              <w:rPr>
                <w:rFonts w:cstheme="minorHAnsi"/>
              </w:rPr>
            </w:pPr>
            <w:r w:rsidRPr="00496D8C">
              <w:rPr>
                <w:rFonts w:cstheme="minorHAnsi"/>
              </w:rPr>
              <w:t>Early in the year,</w:t>
            </w:r>
            <w:r w:rsidRPr="00496D8C">
              <w:rPr>
                <w:rFonts w:cstheme="minorHAnsi"/>
                <w:b/>
              </w:rPr>
              <w:t xml:space="preserve"> </w:t>
            </w:r>
            <w:hyperlink r:id="rId14" w:history="1">
              <w:r w:rsidRPr="00496D8C">
                <w:rPr>
                  <w:rStyle w:val="Hyperlink"/>
                  <w:rFonts w:cstheme="minorHAnsi"/>
                  <w:b/>
                </w:rPr>
                <w:t>review EWIS</w:t>
              </w:r>
            </w:hyperlink>
            <w:r w:rsidRPr="00496D8C">
              <w:rPr>
                <w:rFonts w:cstheme="minorHAnsi"/>
              </w:rPr>
              <w:t xml:space="preserve"> reports to understand </w:t>
            </w:r>
            <w:r w:rsidRPr="00496D8C">
              <w:rPr>
                <w:rFonts w:cstheme="minorHAnsi"/>
                <w:i/>
              </w:rPr>
              <w:t>who</w:t>
            </w:r>
            <w:r w:rsidRPr="00496D8C">
              <w:rPr>
                <w:rFonts w:cstheme="minorHAnsi"/>
              </w:rPr>
              <w:t xml:space="preserve"> is at r</w:t>
            </w:r>
            <w:r w:rsidR="00372795">
              <w:rPr>
                <w:rFonts w:cstheme="minorHAnsi"/>
              </w:rPr>
              <w:t>isk</w:t>
            </w:r>
            <w:r w:rsidR="00351BAC">
              <w:rPr>
                <w:rFonts w:cstheme="minorHAnsi"/>
              </w:rPr>
              <w:t xml:space="preserve"> of not enrolling</w:t>
            </w:r>
            <w:r w:rsidR="00182576">
              <w:rPr>
                <w:rFonts w:cstheme="minorHAnsi"/>
              </w:rPr>
              <w:t xml:space="preserve"> and persisting in college</w:t>
            </w:r>
            <w:r w:rsidR="00372795">
              <w:rPr>
                <w:rFonts w:cstheme="minorHAnsi"/>
              </w:rPr>
              <w:t>.</w:t>
            </w:r>
          </w:p>
          <w:p w14:paraId="28068DDE" w14:textId="77777777" w:rsidR="00D63975" w:rsidRPr="00D63975" w:rsidRDefault="00D63975" w:rsidP="00B179B4">
            <w:pPr>
              <w:pStyle w:val="ListParagraph"/>
              <w:spacing w:after="120"/>
              <w:ind w:left="360"/>
              <w:rPr>
                <w:rFonts w:cstheme="minorHAnsi"/>
                <w:sz w:val="12"/>
                <w:szCs w:val="12"/>
              </w:rPr>
            </w:pPr>
          </w:p>
          <w:p w14:paraId="0F519B8F" w14:textId="1623AC32" w:rsidR="00BA3EC2" w:rsidRDefault="00496D8C" w:rsidP="00B179B4">
            <w:pPr>
              <w:pStyle w:val="ListParagraph"/>
              <w:numPr>
                <w:ilvl w:val="0"/>
                <w:numId w:val="1"/>
              </w:numPr>
              <w:spacing w:after="120"/>
              <w:ind w:left="360"/>
              <w:rPr>
                <w:rFonts w:cstheme="minorHAnsi"/>
              </w:rPr>
            </w:pPr>
            <w:r w:rsidRPr="00D63975">
              <w:rPr>
                <w:rFonts w:cstheme="minorHAnsi"/>
              </w:rPr>
              <w:t>Then,</w:t>
            </w:r>
            <w:r w:rsidRPr="00D63975">
              <w:rPr>
                <w:rFonts w:cstheme="minorHAnsi"/>
                <w:b/>
              </w:rPr>
              <w:t xml:space="preserve"> explore causes </w:t>
            </w:r>
            <w:r w:rsidRPr="00D63975">
              <w:rPr>
                <w:rFonts w:cstheme="minorHAnsi"/>
              </w:rPr>
              <w:t xml:space="preserve">to determine </w:t>
            </w:r>
            <w:r w:rsidRPr="00A83B54">
              <w:rPr>
                <w:rFonts w:cstheme="minorHAnsi"/>
                <w:i/>
              </w:rPr>
              <w:t>why</w:t>
            </w:r>
            <w:r w:rsidRPr="00D63975">
              <w:rPr>
                <w:rFonts w:cstheme="minorHAnsi"/>
              </w:rPr>
              <w:t xml:space="preserve"> they are at risk. </w:t>
            </w:r>
            <w:r w:rsidR="00BA3EC2" w:rsidRPr="00D63975">
              <w:rPr>
                <w:rFonts w:cstheme="minorHAnsi"/>
              </w:rPr>
              <w:t xml:space="preserve">For example: </w:t>
            </w:r>
            <w:r w:rsidRPr="00D63975">
              <w:rPr>
                <w:rFonts w:cstheme="minorHAnsi"/>
              </w:rPr>
              <w:t>Are students not taking higher-level courses because they do not re</w:t>
            </w:r>
            <w:r w:rsidR="00BA3EC2" w:rsidRPr="00D63975">
              <w:rPr>
                <w:rFonts w:cstheme="minorHAnsi"/>
              </w:rPr>
              <w:t>cognize the options; or d</w:t>
            </w:r>
            <w:r w:rsidRPr="00D63975">
              <w:rPr>
                <w:rFonts w:cstheme="minorHAnsi"/>
              </w:rPr>
              <w:t xml:space="preserve">ue to scheduling limitations; or for other reasons? </w:t>
            </w:r>
          </w:p>
          <w:p w14:paraId="7191BBE0" w14:textId="77777777" w:rsidR="00D63975" w:rsidRPr="00D63975" w:rsidRDefault="00D63975" w:rsidP="00B179B4">
            <w:pPr>
              <w:pStyle w:val="ListParagraph"/>
              <w:spacing w:after="120"/>
              <w:ind w:left="360"/>
              <w:rPr>
                <w:rFonts w:cstheme="minorHAnsi"/>
                <w:sz w:val="12"/>
                <w:szCs w:val="12"/>
              </w:rPr>
            </w:pPr>
          </w:p>
          <w:p w14:paraId="1253C3DB" w14:textId="7BA0B174" w:rsidR="00BA3EC2" w:rsidRDefault="00BA3EC2" w:rsidP="00B179B4">
            <w:pPr>
              <w:pStyle w:val="ListParagraph"/>
              <w:numPr>
                <w:ilvl w:val="0"/>
                <w:numId w:val="1"/>
              </w:numPr>
              <w:spacing w:after="120"/>
              <w:ind w:left="360"/>
              <w:rPr>
                <w:rFonts w:cstheme="minorHAnsi"/>
              </w:rPr>
            </w:pPr>
            <w:r>
              <w:rPr>
                <w:rFonts w:cstheme="minorHAnsi"/>
              </w:rPr>
              <w:t xml:space="preserve">After considering why students are at risk, </w:t>
            </w:r>
            <w:r w:rsidR="00182576">
              <w:rPr>
                <w:rFonts w:cstheme="minorHAnsi"/>
                <w:b/>
              </w:rPr>
              <w:t>develop</w:t>
            </w:r>
            <w:r w:rsidR="00287F4D">
              <w:rPr>
                <w:rFonts w:cstheme="minorHAnsi"/>
                <w:b/>
              </w:rPr>
              <w:t xml:space="preserve"> and a</w:t>
            </w:r>
            <w:r w:rsidR="00496D8C" w:rsidRPr="00496D8C">
              <w:rPr>
                <w:rFonts w:cstheme="minorHAnsi"/>
                <w:b/>
              </w:rPr>
              <w:t>ssig</w:t>
            </w:r>
            <w:r>
              <w:rPr>
                <w:rFonts w:cstheme="minorHAnsi"/>
                <w:b/>
              </w:rPr>
              <w:t>n</w:t>
            </w:r>
            <w:r w:rsidR="00496D8C" w:rsidRPr="00496D8C">
              <w:rPr>
                <w:rFonts w:cstheme="minorHAnsi"/>
                <w:b/>
              </w:rPr>
              <w:t xml:space="preserve"> supports</w:t>
            </w:r>
            <w:r w:rsidR="00496D8C" w:rsidRPr="00496D8C">
              <w:rPr>
                <w:rFonts w:cstheme="minorHAnsi"/>
              </w:rPr>
              <w:t xml:space="preserve">. </w:t>
            </w:r>
          </w:p>
          <w:p w14:paraId="21856941" w14:textId="77777777" w:rsidR="00D63975" w:rsidRPr="00D63975" w:rsidRDefault="00D63975" w:rsidP="00B179B4">
            <w:pPr>
              <w:pStyle w:val="ListParagraph"/>
              <w:spacing w:after="120"/>
              <w:ind w:left="360"/>
              <w:rPr>
                <w:rFonts w:cstheme="minorHAnsi"/>
                <w:sz w:val="12"/>
                <w:szCs w:val="12"/>
              </w:rPr>
            </w:pPr>
          </w:p>
          <w:p w14:paraId="499648EA" w14:textId="79D61DE6" w:rsidR="00496D8C" w:rsidRPr="00496D8C" w:rsidRDefault="00496D8C" w:rsidP="00B179B4">
            <w:pPr>
              <w:pStyle w:val="ListParagraph"/>
              <w:numPr>
                <w:ilvl w:val="0"/>
                <w:numId w:val="1"/>
              </w:numPr>
              <w:spacing w:after="120"/>
              <w:ind w:left="360"/>
              <w:rPr>
                <w:rFonts w:cstheme="minorHAnsi"/>
              </w:rPr>
            </w:pPr>
            <w:r w:rsidRPr="00496D8C">
              <w:rPr>
                <w:rFonts w:cstheme="minorHAnsi"/>
              </w:rPr>
              <w:t xml:space="preserve">Then, </w:t>
            </w:r>
            <w:r w:rsidRPr="00496D8C">
              <w:rPr>
                <w:rFonts w:cstheme="minorHAnsi"/>
                <w:b/>
              </w:rPr>
              <w:t xml:space="preserve">monitor risk through the year </w:t>
            </w:r>
            <w:r w:rsidRPr="00496D8C">
              <w:rPr>
                <w:rFonts w:cstheme="minorHAnsi"/>
              </w:rPr>
              <w:t xml:space="preserve">to ensure supports are having desired effects. </w:t>
            </w:r>
            <w:r w:rsidR="00D63975">
              <w:rPr>
                <w:rFonts w:cstheme="minorHAnsi"/>
              </w:rPr>
              <w:t>By</w:t>
            </w:r>
            <w:r w:rsidRPr="00496D8C">
              <w:rPr>
                <w:rFonts w:cstheme="minorHAnsi"/>
              </w:rPr>
              <w:t xml:space="preserve"> tracking ABCs (</w:t>
            </w:r>
            <w:r w:rsidR="00BA3EC2" w:rsidRPr="00BA3EC2">
              <w:rPr>
                <w:rFonts w:cstheme="minorHAnsi"/>
                <w:b/>
              </w:rPr>
              <w:t>A</w:t>
            </w:r>
            <w:r w:rsidRPr="00496D8C">
              <w:rPr>
                <w:rFonts w:cstheme="minorHAnsi"/>
              </w:rPr>
              <w:t xml:space="preserve">ttendance, </w:t>
            </w:r>
            <w:r w:rsidR="00BA3EC2" w:rsidRPr="00BA3EC2">
              <w:rPr>
                <w:rFonts w:cstheme="minorHAnsi"/>
                <w:b/>
              </w:rPr>
              <w:t>B</w:t>
            </w:r>
            <w:r w:rsidRPr="00496D8C">
              <w:rPr>
                <w:rFonts w:cstheme="minorHAnsi"/>
              </w:rPr>
              <w:t xml:space="preserve">ehavior and </w:t>
            </w:r>
            <w:r w:rsidR="00BA3EC2" w:rsidRPr="00BA3EC2">
              <w:rPr>
                <w:rFonts w:cstheme="minorHAnsi"/>
                <w:b/>
              </w:rPr>
              <w:t>C</w:t>
            </w:r>
            <w:r w:rsidRPr="00496D8C">
              <w:rPr>
                <w:rFonts w:cstheme="minorHAnsi"/>
              </w:rPr>
              <w:t xml:space="preserve">ourse selection &amp; performance) and monitoring </w:t>
            </w:r>
            <w:hyperlink r:id="rId15" w:history="1">
              <w:r w:rsidRPr="00496D8C">
                <w:rPr>
                  <w:rStyle w:val="Hyperlink"/>
                  <w:rFonts w:cstheme="minorHAnsi"/>
                </w:rPr>
                <w:t>FAFSA completion,</w:t>
              </w:r>
            </w:hyperlink>
            <w:r w:rsidRPr="00496D8C">
              <w:rPr>
                <w:rFonts w:cstheme="minorHAnsi"/>
              </w:rPr>
              <w:t xml:space="preserve"> educators can update their view of which students are still at risk and adjust supports.</w:t>
            </w:r>
          </w:p>
          <w:p w14:paraId="3E7B7760" w14:textId="3A70B2F6" w:rsidR="00496D8C" w:rsidRPr="00502029" w:rsidRDefault="00B179B4" w:rsidP="00B179B4">
            <w:pPr>
              <w:spacing w:after="120"/>
              <w:rPr>
                <w:b/>
                <w:i/>
              </w:rPr>
            </w:pPr>
            <w:r>
              <w:rPr>
                <w:b/>
                <w:i/>
              </w:rPr>
              <w:t>See the reverse for more about</w:t>
            </w:r>
            <w:r w:rsidR="00496D8C" w:rsidRPr="00502029">
              <w:rPr>
                <w:b/>
                <w:i/>
              </w:rPr>
              <w:t xml:space="preserve"> a data inquiry cycle</w:t>
            </w:r>
            <w:r>
              <w:rPr>
                <w:b/>
                <w:i/>
              </w:rPr>
              <w:t>.</w:t>
            </w:r>
          </w:p>
        </w:tc>
        <w:tc>
          <w:tcPr>
            <w:tcW w:w="5310" w:type="dxa"/>
            <w:tcBorders>
              <w:top w:val="thinThickLargeGap" w:sz="24" w:space="0" w:color="000000"/>
              <w:left w:val="nil"/>
              <w:bottom w:val="thinThickLargeGap" w:sz="24" w:space="0" w:color="000000"/>
              <w:right w:val="nil"/>
            </w:tcBorders>
          </w:tcPr>
          <w:p w14:paraId="18877695" w14:textId="77777777" w:rsidR="00D05BFE" w:rsidRPr="00BA3EC2" w:rsidRDefault="00D05BFE" w:rsidP="00BE667C">
            <w:pPr>
              <w:rPr>
                <w:rFonts w:cstheme="minorHAnsi"/>
                <w:b/>
                <w:color w:val="1F4E79" w:themeColor="accent1" w:themeShade="80"/>
                <w:sz w:val="28"/>
                <w:szCs w:val="28"/>
              </w:rPr>
            </w:pPr>
            <w:r w:rsidRPr="00BA3EC2">
              <w:rPr>
                <w:rFonts w:cstheme="minorHAnsi"/>
                <w:b/>
                <w:color w:val="1F4E79" w:themeColor="accent1" w:themeShade="80"/>
                <w:sz w:val="28"/>
                <w:szCs w:val="28"/>
              </w:rPr>
              <w:t>Here are some examples:</w:t>
            </w:r>
          </w:p>
          <w:p w14:paraId="1FDD0381" w14:textId="77777777" w:rsidR="00D05BFE" w:rsidRDefault="00D05BFE" w:rsidP="00BE667C">
            <w:pPr>
              <w:rPr>
                <w:rFonts w:cstheme="minorHAnsi"/>
              </w:rPr>
            </w:pPr>
          </w:p>
          <w:p w14:paraId="7CDC2960" w14:textId="3920A89E" w:rsidR="00D05BFE" w:rsidRDefault="00D05BFE" w:rsidP="00BE667C">
            <w:pPr>
              <w:rPr>
                <w:rFonts w:cstheme="minorHAnsi"/>
              </w:rPr>
            </w:pPr>
            <w:r>
              <w:rPr>
                <w:rFonts w:cstheme="minorHAnsi"/>
              </w:rPr>
              <w:t>With the help of EWIS, school counsel</w:t>
            </w:r>
            <w:r w:rsidR="00796E74">
              <w:rPr>
                <w:rFonts w:cstheme="minorHAnsi"/>
              </w:rPr>
              <w:t>ors in one district saw that at-</w:t>
            </w:r>
            <w:r>
              <w:rPr>
                <w:rFonts w:cstheme="minorHAnsi"/>
              </w:rPr>
              <w:t xml:space="preserve">risk students </w:t>
            </w:r>
            <w:r w:rsidRPr="0027221C">
              <w:rPr>
                <w:rFonts w:cstheme="minorHAnsi"/>
              </w:rPr>
              <w:t xml:space="preserve">had not taken a second year of a foreign language, recommended in </w:t>
            </w:r>
            <w:hyperlink r:id="rId16" w:history="1">
              <w:r w:rsidRPr="0027221C">
                <w:rPr>
                  <w:rStyle w:val="Hyperlink"/>
                  <w:rFonts w:cstheme="minorHAnsi"/>
                </w:rPr>
                <w:t>MassCore</w:t>
              </w:r>
            </w:hyperlink>
            <w:r w:rsidRPr="0027221C">
              <w:rPr>
                <w:rFonts w:cstheme="minorHAnsi"/>
              </w:rPr>
              <w:t>. Counselors scheduled the students in the appropriate courses, and could review their course selection processes to prevent this in the future.</w:t>
            </w:r>
          </w:p>
          <w:p w14:paraId="252C4CF3" w14:textId="77777777" w:rsidR="00D05BFE" w:rsidRDefault="00D05BFE" w:rsidP="00D63975">
            <w:pPr>
              <w:jc w:val="center"/>
              <w:rPr>
                <w:rFonts w:cstheme="minorHAnsi"/>
              </w:rPr>
            </w:pPr>
          </w:p>
          <w:p w14:paraId="2F90D088" w14:textId="77777777" w:rsidR="00D05BFE" w:rsidRDefault="00D05BFE" w:rsidP="00BE667C">
            <w:pPr>
              <w:rPr>
                <w:rFonts w:cstheme="minorHAnsi"/>
              </w:rPr>
            </w:pPr>
            <w:r w:rsidRPr="009762CE">
              <w:rPr>
                <w:rFonts w:cstheme="minorHAnsi"/>
              </w:rPr>
              <w:t>Counselors in another district tracked FAFSA completion as part of their risk monitoring system. Noticing that FAFSA completion had stagnated in mid-winter, they offered a second springtime</w:t>
            </w:r>
            <w:r>
              <w:rPr>
                <w:rFonts w:cstheme="minorHAnsi"/>
              </w:rPr>
              <w:t xml:space="preserve"> FAFSA Info Night for graduating seniors and their families.</w:t>
            </w:r>
          </w:p>
          <w:p w14:paraId="619CCB78" w14:textId="77777777" w:rsidR="00D05BFE" w:rsidRDefault="00D05BFE" w:rsidP="00BE667C">
            <w:pPr>
              <w:rPr>
                <w:rFonts w:cstheme="minorHAnsi"/>
              </w:rPr>
            </w:pPr>
          </w:p>
          <w:p w14:paraId="219F65F5" w14:textId="58132725" w:rsidR="00D05BFE" w:rsidRPr="00B84418" w:rsidRDefault="00796E74" w:rsidP="00796E74">
            <w:pPr>
              <w:rPr>
                <w:rFonts w:cstheme="minorHAnsi"/>
                <w:b/>
              </w:rPr>
            </w:pPr>
            <w:r>
              <w:rPr>
                <w:rFonts w:cstheme="minorHAnsi"/>
              </w:rPr>
              <w:t xml:space="preserve">Others </w:t>
            </w:r>
            <w:r w:rsidR="00D05BFE">
              <w:rPr>
                <w:rFonts w:cstheme="minorHAnsi"/>
              </w:rPr>
              <w:t xml:space="preserve">combine </w:t>
            </w:r>
            <w:r w:rsidR="00D63975">
              <w:rPr>
                <w:rFonts w:cstheme="minorHAnsi"/>
              </w:rPr>
              <w:t xml:space="preserve">EWIS </w:t>
            </w:r>
            <w:r w:rsidR="00D05BFE">
              <w:rPr>
                <w:rFonts w:cstheme="minorHAnsi"/>
              </w:rPr>
              <w:t xml:space="preserve">with </w:t>
            </w:r>
            <w:hyperlink r:id="rId17" w:history="1">
              <w:r w:rsidR="0027221C" w:rsidRPr="0027221C">
                <w:rPr>
                  <w:rStyle w:val="Hyperlink"/>
                  <w:rFonts w:cstheme="minorHAnsi"/>
                </w:rPr>
                <w:t>student survey</w:t>
              </w:r>
            </w:hyperlink>
            <w:r w:rsidR="0027221C">
              <w:rPr>
                <w:rFonts w:cstheme="minorHAnsi"/>
              </w:rPr>
              <w:t xml:space="preserve"> insights</w:t>
            </w:r>
            <w:r w:rsidR="00D05BFE">
              <w:rPr>
                <w:rFonts w:cstheme="minorHAnsi"/>
              </w:rPr>
              <w:t xml:space="preserve">, first-generation </w:t>
            </w:r>
            <w:r w:rsidR="00860381">
              <w:rPr>
                <w:rFonts w:cstheme="minorHAnsi"/>
              </w:rPr>
              <w:t>college-going</w:t>
            </w:r>
            <w:r w:rsidR="007025CB">
              <w:rPr>
                <w:rFonts w:cstheme="minorHAnsi"/>
              </w:rPr>
              <w:t xml:space="preserve"> a</w:t>
            </w:r>
            <w:r w:rsidR="00D05BFE">
              <w:rPr>
                <w:rFonts w:cstheme="minorHAnsi"/>
              </w:rPr>
              <w:t>nd other local context</w:t>
            </w:r>
            <w:r w:rsidR="00860381">
              <w:rPr>
                <w:rFonts w:cstheme="minorHAnsi"/>
              </w:rPr>
              <w:t>, and look for ways to strengthen AP</w:t>
            </w:r>
            <w:r w:rsidR="00F87161">
              <w:rPr>
                <w:rFonts w:cstheme="minorHAnsi"/>
              </w:rPr>
              <w:t>, dual enrollment</w:t>
            </w:r>
            <w:r w:rsidR="00860381">
              <w:rPr>
                <w:rFonts w:cstheme="minorHAnsi"/>
              </w:rPr>
              <w:t xml:space="preserve"> </w:t>
            </w:r>
            <w:hyperlink r:id="rId18" w:history="1">
              <w:r w:rsidR="00860381" w:rsidRPr="0027221C">
                <w:rPr>
                  <w:rStyle w:val="Hyperlink"/>
                  <w:rFonts w:cstheme="minorHAnsi"/>
                </w:rPr>
                <w:t>and early college</w:t>
              </w:r>
            </w:hyperlink>
            <w:r w:rsidR="00860381">
              <w:rPr>
                <w:rFonts w:cstheme="minorHAnsi"/>
              </w:rPr>
              <w:t xml:space="preserve"> course offerings </w:t>
            </w:r>
            <w:r w:rsidR="00D05BFE">
              <w:rPr>
                <w:rFonts w:cstheme="minorHAnsi"/>
              </w:rPr>
              <w:t>and</w:t>
            </w:r>
            <w:r w:rsidR="007025CB">
              <w:rPr>
                <w:rFonts w:cstheme="minorHAnsi"/>
              </w:rPr>
              <w:t xml:space="preserve"> </w:t>
            </w:r>
            <w:r w:rsidR="00D05BFE">
              <w:rPr>
                <w:rFonts w:cstheme="minorHAnsi"/>
              </w:rPr>
              <w:t>other school-wide supports</w:t>
            </w:r>
            <w:r w:rsidR="00520756">
              <w:rPr>
                <w:rFonts w:cstheme="minorHAnsi"/>
              </w:rPr>
              <w:t xml:space="preserve"> using </w:t>
            </w:r>
            <w:hyperlink r:id="rId19" w:history="1">
              <w:r w:rsidR="00520756" w:rsidRPr="00520756">
                <w:rPr>
                  <w:rStyle w:val="Hyperlink"/>
                  <w:rFonts w:cstheme="minorHAnsi"/>
                </w:rPr>
                <w:t>MyCAP</w:t>
              </w:r>
            </w:hyperlink>
            <w:r w:rsidR="00520756">
              <w:rPr>
                <w:rFonts w:cstheme="minorHAnsi"/>
              </w:rPr>
              <w:t xml:space="preserve"> as a planning structure and process.</w:t>
            </w:r>
            <w:r w:rsidR="00D05BFE">
              <w:rPr>
                <w:rFonts w:cstheme="minorHAnsi"/>
              </w:rPr>
              <w:t xml:space="preserve"> </w:t>
            </w:r>
          </w:p>
        </w:tc>
      </w:tr>
      <w:tr w:rsidR="00BA3EC2" w14:paraId="44999164" w14:textId="77777777" w:rsidTr="00242FD4">
        <w:trPr>
          <w:trHeight w:val="2150"/>
          <w:tblHeader/>
        </w:trPr>
        <w:tc>
          <w:tcPr>
            <w:tcW w:w="10435" w:type="dxa"/>
            <w:gridSpan w:val="2"/>
            <w:tcBorders>
              <w:top w:val="thinThickLargeGap" w:sz="24" w:space="0" w:color="000000"/>
            </w:tcBorders>
            <w:shd w:val="clear" w:color="auto" w:fill="DEEAF6" w:themeFill="accent1" w:themeFillTint="33"/>
          </w:tcPr>
          <w:p w14:paraId="15F0D534" w14:textId="1B036185" w:rsidR="000E0868" w:rsidRPr="002C437C" w:rsidRDefault="00193ACF" w:rsidP="008366D5">
            <w:pPr>
              <w:spacing w:after="120"/>
              <w:rPr>
                <w:rFonts w:cstheme="minorHAnsi"/>
                <w:b/>
                <w:color w:val="1F4E79" w:themeColor="accent1" w:themeShade="80"/>
                <w:sz w:val="28"/>
                <w:szCs w:val="28"/>
              </w:rPr>
            </w:pPr>
            <w:r>
              <w:rPr>
                <w:rFonts w:cstheme="minorHAnsi"/>
                <w:b/>
                <w:color w:val="1F4E79" w:themeColor="accent1" w:themeShade="80"/>
                <w:sz w:val="28"/>
                <w:szCs w:val="28"/>
              </w:rPr>
              <w:t>College Readiness can be defined in many ways</w:t>
            </w:r>
            <w:r w:rsidR="001C0E65">
              <w:rPr>
                <w:rFonts w:cstheme="minorHAnsi"/>
                <w:b/>
                <w:color w:val="1F4E79" w:themeColor="accent1" w:themeShade="80"/>
                <w:sz w:val="28"/>
                <w:szCs w:val="28"/>
              </w:rPr>
              <w:t>:</w:t>
            </w:r>
          </w:p>
          <w:p w14:paraId="5E65FA09" w14:textId="77777777" w:rsidR="0055169D" w:rsidRDefault="00000000" w:rsidP="001C711B">
            <w:hyperlink r:id="rId20" w:history="1">
              <w:r w:rsidR="00970632" w:rsidRPr="00FA7B1C">
                <w:rPr>
                  <w:rStyle w:val="Hyperlink"/>
                </w:rPr>
                <w:t>Research by Melissa Roderick, Jenny Nagaoka, and Vanessa Coca</w:t>
              </w:r>
            </w:hyperlink>
            <w:r w:rsidR="00970632">
              <w:t xml:space="preserve"> </w:t>
            </w:r>
            <w:r w:rsidR="002B7170" w:rsidRPr="002B7170">
              <w:t xml:space="preserve">identify four essential sets of skills: content knowledge and basic skills; core academic skills; non-cognitive, or behavioral, skills; and “college knowledge,” the ability to effectively search for and apply to college. </w:t>
            </w:r>
          </w:p>
          <w:p w14:paraId="794F0AC1" w14:textId="77777777" w:rsidR="00AF4523" w:rsidRDefault="00AF4523" w:rsidP="001C711B"/>
          <w:p w14:paraId="20D2732F" w14:textId="5AF408E3" w:rsidR="00AF4523" w:rsidRPr="0055169D" w:rsidRDefault="00000000" w:rsidP="001C711B">
            <w:pPr>
              <w:rPr>
                <w:rFonts w:cstheme="minorHAnsi"/>
                <w:sz w:val="12"/>
              </w:rPr>
            </w:pPr>
            <w:hyperlink r:id="rId21" w:history="1">
              <w:r w:rsidR="00AF4523" w:rsidRPr="00AF4523">
                <w:rPr>
                  <w:rStyle w:val="Hyperlink"/>
                </w:rPr>
                <w:t>Earlier work</w:t>
              </w:r>
            </w:hyperlink>
            <w:r w:rsidR="00AF4523">
              <w:t xml:space="preserve"> by David Conley also stressed the importance of cognitive and academic readiness and preparation.</w:t>
            </w:r>
          </w:p>
        </w:tc>
      </w:tr>
    </w:tbl>
    <w:p w14:paraId="4A5DE596" w14:textId="77777777" w:rsidR="00B179B4" w:rsidRDefault="00B179B4" w:rsidP="00D63975">
      <w:pPr>
        <w:spacing w:after="0"/>
        <w:jc w:val="center"/>
      </w:pPr>
    </w:p>
    <w:p w14:paraId="195806E6" w14:textId="5E254937" w:rsidR="00D63975" w:rsidRPr="00D63975" w:rsidRDefault="00000000" w:rsidP="00D63975">
      <w:pPr>
        <w:spacing w:after="0"/>
        <w:jc w:val="center"/>
        <w:rPr>
          <w:sz w:val="32"/>
          <w:szCs w:val="32"/>
        </w:rPr>
      </w:pPr>
      <w:hyperlink r:id="rId22" w:history="1">
        <w:r w:rsidR="00070826" w:rsidRPr="00D63975">
          <w:rPr>
            <w:rStyle w:val="Hyperlink"/>
            <w:b/>
            <w:sz w:val="32"/>
            <w:szCs w:val="32"/>
          </w:rPr>
          <w:t>Use EWIS</w:t>
        </w:r>
      </w:hyperlink>
      <w:r w:rsidR="00070826" w:rsidRPr="00D63975">
        <w:rPr>
          <w:b/>
          <w:sz w:val="32"/>
          <w:szCs w:val="32"/>
        </w:rPr>
        <w:t xml:space="preserve"> in an ongoing cycle of inquiry.</w:t>
      </w:r>
    </w:p>
    <w:tbl>
      <w:tblPr>
        <w:tblStyle w:val="TableGrid"/>
        <w:tblW w:w="10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sing data"/>
        <w:tblDescription w:val=" Step 1: Get Organized&#10;Collect your teammates, line up access to Edwin and plan time to review EWIS together. All EWIS tools are online, and reports are in Edwin. Districts control access to Edwin. Contact your district’s directory administrator for access. If there is a team already reviewing data and making decisions about how to support students, they may be able to incorporate early warning data into their scope.&#10;Step 2: Review EWIS &#10;Students’ EWIS risk levels are available every year in the late summer to coincide with the start of the school year. Use the EWIS reports to examine students’ strengths and weaknesses. If you work directly with students, the Student Roster is a good place to start. If you work with adults who work with students, you may find the Indicator Analysis most valuable. Either way, draw concrete conclusions about students’ indicators and begin to form hypotheses about causes of students’ risk. &#10;Repeat Each Marking Period or Throughout the School Year  &#10;Step 3: Explore Underlying Causes &#10;Continue to identify causes of risk, pulling in local data and context for a comprehensive picture. Note whether students across a district, school or grade have common needs for universal supports. &#10;&#10;Step 4: Take Action &#10;Compare students’ needs to the services available, and assign interventions that will best meet their needs. Examine any gaps in support, and consider school-wide or universal efforts. &#10;&#10;Step 5: Monitor &#10;Monitor students’ ABCs to assess student progress, see who else may be at risk, and improve interventions. Then, refer back to Steps 3 &amp; 4 as the cycle is repeated. &#10;  &#10;The End of the School Year or In Summer –  &#10;Step 6: Refine the Process &#10;How did it go? What was easy, what was hard? Take time at the end of year to reflect on outcomes, your approach, and make plans to incorporate changes next year.  &#10;&#10;"/>
      </w:tblPr>
      <w:tblGrid>
        <w:gridCol w:w="2308"/>
        <w:gridCol w:w="3756"/>
        <w:gridCol w:w="1845"/>
        <w:gridCol w:w="2600"/>
      </w:tblGrid>
      <w:tr w:rsidR="00A35E2C" w14:paraId="3506938F" w14:textId="77777777" w:rsidTr="00242FD4">
        <w:trPr>
          <w:trHeight w:val="274"/>
          <w:tblHeader/>
        </w:trPr>
        <w:tc>
          <w:tcPr>
            <w:tcW w:w="7909" w:type="dxa"/>
            <w:gridSpan w:val="3"/>
          </w:tcPr>
          <w:p w14:paraId="2EBF4079" w14:textId="7F4A2218" w:rsidR="00A35E2C" w:rsidRDefault="00862A17" w:rsidP="00223D5F">
            <w:r>
              <w:rPr>
                <w:b/>
              </w:rPr>
              <w:t>In Summer or the</w:t>
            </w:r>
            <w:r w:rsidR="00A35E2C" w:rsidRPr="008B51D7">
              <w:rPr>
                <w:b/>
              </w:rPr>
              <w:t xml:space="preserve"> Beginning of </w:t>
            </w:r>
            <w:r>
              <w:rPr>
                <w:b/>
              </w:rPr>
              <w:t xml:space="preserve">the </w:t>
            </w:r>
            <w:r w:rsidR="00A35E2C" w:rsidRPr="008B51D7">
              <w:rPr>
                <w:b/>
              </w:rPr>
              <w:t>School Year</w:t>
            </w:r>
          </w:p>
        </w:tc>
        <w:tc>
          <w:tcPr>
            <w:tcW w:w="2600" w:type="dxa"/>
          </w:tcPr>
          <w:p w14:paraId="7A193B58" w14:textId="77777777" w:rsidR="00A35E2C" w:rsidRDefault="00A35E2C" w:rsidP="00223D5F"/>
        </w:tc>
      </w:tr>
      <w:tr w:rsidR="00F93EF5" w14:paraId="2CE48F6D" w14:textId="77777777" w:rsidTr="00A625D5">
        <w:trPr>
          <w:trHeight w:val="1911"/>
        </w:trPr>
        <w:tc>
          <w:tcPr>
            <w:tcW w:w="7909" w:type="dxa"/>
            <w:gridSpan w:val="3"/>
          </w:tcPr>
          <w:p w14:paraId="5857A0B3" w14:textId="1847F1F5" w:rsidR="00F93EF5" w:rsidRPr="00BF308F" w:rsidRDefault="00A23852" w:rsidP="00223D5F">
            <w:pPr>
              <w:rPr>
                <w:b/>
              </w:rPr>
            </w:pPr>
            <w:r>
              <w:rPr>
                <w:b/>
              </w:rPr>
              <w:t xml:space="preserve">Step 1: </w:t>
            </w:r>
            <w:r w:rsidR="00F93EF5" w:rsidRPr="00BF308F">
              <w:rPr>
                <w:b/>
              </w:rPr>
              <w:t>Get Organized</w:t>
            </w:r>
          </w:p>
          <w:p w14:paraId="34BCE55E" w14:textId="7E9E45BA" w:rsidR="00F93EF5" w:rsidRDefault="00F93EF5" w:rsidP="004D5726">
            <w:r>
              <w:t xml:space="preserve">Collect your teammates, line up </w:t>
            </w:r>
            <w:r w:rsidRPr="0093794E">
              <w:t xml:space="preserve">access to </w:t>
            </w:r>
            <w:hyperlink r:id="rId23" w:history="1">
              <w:r w:rsidRPr="0093794E">
                <w:rPr>
                  <w:rStyle w:val="Hyperlink"/>
                </w:rPr>
                <w:t>Edwin</w:t>
              </w:r>
            </w:hyperlink>
            <w:r w:rsidRPr="0093794E">
              <w:t xml:space="preserve"> and plan time to review EWIS </w:t>
            </w:r>
            <w:r w:rsidR="00E935E7">
              <w:t xml:space="preserve">and College Reports </w:t>
            </w:r>
            <w:r w:rsidRPr="0093794E">
              <w:t xml:space="preserve">together. Districts control access to Edwin. Contact your district’s </w:t>
            </w:r>
            <w:hyperlink r:id="rId24" w:history="1">
              <w:r w:rsidRPr="0093794E">
                <w:rPr>
                  <w:rStyle w:val="Hyperlink"/>
                </w:rPr>
                <w:t>directory administrator</w:t>
              </w:r>
            </w:hyperlink>
            <w:r w:rsidRPr="0093794E">
              <w:t xml:space="preserve"> for access. </w:t>
            </w:r>
            <w:r w:rsidR="006008A8" w:rsidRPr="0093794E">
              <w:rPr>
                <w:rFonts w:cstheme="minorHAnsi"/>
              </w:rPr>
              <w:t>If there is a team</w:t>
            </w:r>
            <w:r w:rsidR="004D5726" w:rsidRPr="0093794E">
              <w:rPr>
                <w:rFonts w:cstheme="minorHAnsi"/>
              </w:rPr>
              <w:t xml:space="preserve"> already</w:t>
            </w:r>
            <w:r w:rsidR="006008A8" w:rsidRPr="0093794E">
              <w:rPr>
                <w:rFonts w:cstheme="minorHAnsi"/>
              </w:rPr>
              <w:t xml:space="preserve"> reviewing data and making decisions about how to support students, they may be able to incorporate early warning data into their scope.</w:t>
            </w:r>
          </w:p>
        </w:tc>
        <w:tc>
          <w:tcPr>
            <w:tcW w:w="2600" w:type="dxa"/>
          </w:tcPr>
          <w:p w14:paraId="4DB82808" w14:textId="633BFA03" w:rsidR="00F93EF5" w:rsidRPr="00F54607" w:rsidRDefault="0093794E" w:rsidP="00A35E2C">
            <w:pPr>
              <w:jc w:val="center"/>
            </w:pPr>
            <w:r w:rsidRPr="00F54607">
              <w:rPr>
                <w:noProof/>
              </w:rPr>
              <w:t xml:space="preserve"> </w:t>
            </w:r>
            <w:r w:rsidRPr="00F54607">
              <w:rPr>
                <w:noProof/>
                <w:lang w:eastAsia="zh-CN"/>
              </w:rPr>
              <w:drawing>
                <wp:inline distT="0" distB="0" distL="0" distR="0" wp14:anchorId="28CC81FE" wp14:editId="0D7649B7">
                  <wp:extent cx="933450" cy="989647"/>
                  <wp:effectExtent l="0" t="0" r="0" b="1270"/>
                  <wp:docPr id="13" name="Picture 1" descr="edwin logo&#10;" title="ed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25" cstate="print"/>
                          <a:srcRect/>
                          <a:stretch>
                            <a:fillRect/>
                          </a:stretch>
                        </pic:blipFill>
                        <pic:spPr bwMode="auto">
                          <a:xfrm>
                            <a:off x="0" y="0"/>
                            <a:ext cx="939970" cy="996559"/>
                          </a:xfrm>
                          <a:prstGeom prst="rect">
                            <a:avLst/>
                          </a:prstGeom>
                          <a:noFill/>
                          <a:ln w="9525">
                            <a:noFill/>
                            <a:miter lim="800000"/>
                            <a:headEnd/>
                            <a:tailEnd/>
                          </a:ln>
                        </pic:spPr>
                      </pic:pic>
                    </a:graphicData>
                  </a:graphic>
                </wp:inline>
              </w:drawing>
            </w:r>
          </w:p>
        </w:tc>
      </w:tr>
      <w:tr w:rsidR="00F93EF5" w14:paraId="478EDC82" w14:textId="77777777" w:rsidTr="00685E3E">
        <w:trPr>
          <w:trHeight w:val="2142"/>
        </w:trPr>
        <w:tc>
          <w:tcPr>
            <w:tcW w:w="7909" w:type="dxa"/>
            <w:gridSpan w:val="3"/>
          </w:tcPr>
          <w:p w14:paraId="575F1E3D" w14:textId="67DDACC4" w:rsidR="00F93EF5" w:rsidRPr="0093794E" w:rsidRDefault="00A23852" w:rsidP="00223D5F">
            <w:pPr>
              <w:rPr>
                <w:rFonts w:cstheme="minorHAnsi"/>
                <w:b/>
              </w:rPr>
            </w:pPr>
            <w:r w:rsidRPr="0093794E">
              <w:rPr>
                <w:rFonts w:cstheme="minorHAnsi"/>
                <w:b/>
              </w:rPr>
              <w:t xml:space="preserve">Step 2: </w:t>
            </w:r>
            <w:r w:rsidR="00F93EF5" w:rsidRPr="0093794E">
              <w:rPr>
                <w:rFonts w:cstheme="minorHAnsi"/>
                <w:b/>
              </w:rPr>
              <w:t xml:space="preserve">Review EWIS </w:t>
            </w:r>
          </w:p>
          <w:p w14:paraId="7717FB99" w14:textId="11DF5530" w:rsidR="00F93EF5" w:rsidRPr="00DA1164" w:rsidRDefault="00000000" w:rsidP="00A942B4">
            <w:hyperlink r:id="rId26" w:history="1">
              <w:r w:rsidR="00A942B4" w:rsidRPr="0093794E">
                <w:rPr>
                  <w:rStyle w:val="Hyperlink"/>
                  <w:rFonts w:cstheme="minorHAnsi"/>
                </w:rPr>
                <w:t xml:space="preserve">Students’ </w:t>
              </w:r>
              <w:r w:rsidR="00F93EF5" w:rsidRPr="0093794E">
                <w:rPr>
                  <w:rStyle w:val="Hyperlink"/>
                  <w:rFonts w:cstheme="minorHAnsi"/>
                </w:rPr>
                <w:t>EWIS risk levels</w:t>
              </w:r>
            </w:hyperlink>
            <w:r w:rsidR="00F93EF5" w:rsidRPr="0093794E">
              <w:rPr>
                <w:rFonts w:cstheme="minorHAnsi"/>
              </w:rPr>
              <w:t xml:space="preserve"> are available every year in the late summer to coincide with the start of the school year. Use the EWIS reports to examine students’ strengths and weaknesses. If you work </w:t>
            </w:r>
            <w:r w:rsidR="00F93EF5" w:rsidRPr="0093794E">
              <w:rPr>
                <w:rFonts w:cstheme="minorHAnsi"/>
                <w:b/>
              </w:rPr>
              <w:t>directly with students</w:t>
            </w:r>
            <w:r w:rsidR="00F93EF5" w:rsidRPr="0093794E">
              <w:rPr>
                <w:rFonts w:cstheme="minorHAnsi"/>
              </w:rPr>
              <w:t xml:space="preserve">, the Student Roster is a good place to start. If you work with </w:t>
            </w:r>
            <w:r w:rsidR="00F93EF5" w:rsidRPr="0093794E">
              <w:rPr>
                <w:rFonts w:cstheme="minorHAnsi"/>
                <w:b/>
              </w:rPr>
              <w:t>adults who work with students</w:t>
            </w:r>
            <w:r w:rsidR="00F93EF5" w:rsidRPr="0093794E">
              <w:rPr>
                <w:rFonts w:cstheme="minorHAnsi"/>
              </w:rPr>
              <w:t>, you may find the Indicator Analysis most valuable. Either way, draw concrete conclusions about students’ indicators and begin to form hypotheses</w:t>
            </w:r>
            <w:r w:rsidR="00F93EF5" w:rsidRPr="00DA1164">
              <w:rPr>
                <w:rFonts w:cstheme="minorHAnsi"/>
              </w:rPr>
              <w:t xml:space="preserve"> about causes of students’ risk. </w:t>
            </w:r>
            <w:r w:rsidR="00DA174B">
              <w:rPr>
                <w:rFonts w:cstheme="minorHAnsi"/>
              </w:rPr>
              <w:t xml:space="preserve"> </w:t>
            </w:r>
            <w:r w:rsidR="009E6A67">
              <w:rPr>
                <w:rFonts w:cstheme="minorHAnsi"/>
              </w:rPr>
              <w:t>Also examine college going reports in Edwin to look at disaggregated and student level reports for your school or district</w:t>
            </w:r>
            <w:r w:rsidR="00EE136A">
              <w:rPr>
                <w:rFonts w:cstheme="minorHAnsi"/>
              </w:rPr>
              <w:t xml:space="preserve"> for outcomes and trends.</w:t>
            </w:r>
          </w:p>
        </w:tc>
        <w:tc>
          <w:tcPr>
            <w:tcW w:w="2600" w:type="dxa"/>
          </w:tcPr>
          <w:p w14:paraId="6E1C1CEF" w14:textId="60EF1E85" w:rsidR="00F93EF5" w:rsidRDefault="00760953" w:rsidP="00223D5F">
            <w:pPr>
              <w:rPr>
                <w:noProof/>
              </w:rPr>
            </w:pPr>
            <w:r>
              <w:rPr>
                <w:noProof/>
              </w:rPr>
              <w:drawing>
                <wp:inline distT="0" distB="0" distL="0" distR="0" wp14:anchorId="16A1DE50" wp14:editId="5157EC21">
                  <wp:extent cx="1466740" cy="1371600"/>
                  <wp:effectExtent l="0" t="0" r="635" b="0"/>
                  <wp:docPr id="2115777654" name="Picture 1" descr="august 2023 calend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777654" name="Picture 1" descr="august 2023 calendar&#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6483" cy="1380711"/>
                          </a:xfrm>
                          <a:prstGeom prst="rect">
                            <a:avLst/>
                          </a:prstGeom>
                          <a:noFill/>
                        </pic:spPr>
                      </pic:pic>
                    </a:graphicData>
                  </a:graphic>
                </wp:inline>
              </w:drawing>
            </w:r>
          </w:p>
        </w:tc>
      </w:tr>
      <w:tr w:rsidR="000F120E" w14:paraId="4AB40968" w14:textId="77777777" w:rsidTr="00A625D5">
        <w:trPr>
          <w:trHeight w:val="290"/>
        </w:trPr>
        <w:tc>
          <w:tcPr>
            <w:tcW w:w="10509" w:type="dxa"/>
            <w:gridSpan w:val="4"/>
          </w:tcPr>
          <w:p w14:paraId="06782870" w14:textId="7F5DE887" w:rsidR="000F120E" w:rsidRDefault="000F120E" w:rsidP="00BA3EC2">
            <w:pPr>
              <w:rPr>
                <w:noProof/>
              </w:rPr>
            </w:pPr>
          </w:p>
        </w:tc>
      </w:tr>
      <w:tr w:rsidR="00463B94" w14:paraId="587A293A" w14:textId="77777777" w:rsidTr="00A625D5">
        <w:trPr>
          <w:trHeight w:val="4099"/>
        </w:trPr>
        <w:tc>
          <w:tcPr>
            <w:tcW w:w="6064" w:type="dxa"/>
            <w:gridSpan w:val="2"/>
          </w:tcPr>
          <w:p w14:paraId="058C7742" w14:textId="153543C1" w:rsidR="00463B94" w:rsidRPr="00DA1164" w:rsidRDefault="00685E3E" w:rsidP="00463B94">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sz w:val="22"/>
                <w:szCs w:val="22"/>
              </w:rPr>
              <w:t>Step 3: Explore Underlying C</w:t>
            </w:r>
            <w:r w:rsidR="00463B94" w:rsidRPr="00DA1164">
              <w:rPr>
                <w:rFonts w:asciiTheme="minorHAnsi" w:hAnsiTheme="minorHAnsi" w:cstheme="minorHAnsi"/>
                <w:b/>
                <w:sz w:val="22"/>
                <w:szCs w:val="22"/>
              </w:rPr>
              <w:t>auses</w:t>
            </w:r>
            <w:r w:rsidR="00463B94" w:rsidRPr="00DA1164">
              <w:rPr>
                <w:rFonts w:asciiTheme="minorHAnsi" w:hAnsiTheme="minorHAnsi" w:cstheme="minorHAnsi"/>
                <w:color w:val="000000"/>
                <w:sz w:val="22"/>
                <w:szCs w:val="22"/>
              </w:rPr>
              <w:t xml:space="preserve"> </w:t>
            </w:r>
          </w:p>
          <w:p w14:paraId="6CFD1F47" w14:textId="5E8DEB65" w:rsidR="00463B94" w:rsidRPr="00DA1164" w:rsidRDefault="00463B94" w:rsidP="00463B94">
            <w:pPr>
              <w:pStyle w:val="NormalWeb"/>
              <w:shd w:val="clear" w:color="auto" w:fill="FFFFFF"/>
              <w:spacing w:before="0" w:beforeAutospacing="0" w:after="0" w:afterAutospacing="0"/>
              <w:rPr>
                <w:rFonts w:asciiTheme="minorHAnsi" w:hAnsiTheme="minorHAnsi" w:cstheme="minorHAnsi"/>
                <w:color w:val="000000"/>
                <w:sz w:val="22"/>
                <w:szCs w:val="22"/>
              </w:rPr>
            </w:pPr>
            <w:r w:rsidRPr="00DA1164">
              <w:rPr>
                <w:rFonts w:asciiTheme="minorHAnsi" w:hAnsiTheme="minorHAnsi" w:cstheme="minorHAnsi"/>
                <w:color w:val="000000"/>
                <w:sz w:val="22"/>
                <w:szCs w:val="22"/>
              </w:rPr>
              <w:t xml:space="preserve">Continue to identify causes of risk, pulling in local data and context for a comprehensive picture. Note whether students across a district, school or grade have common needs for universal supports. </w:t>
            </w:r>
          </w:p>
          <w:p w14:paraId="45A5D683" w14:textId="77777777" w:rsidR="00463B94" w:rsidRPr="00DA1164" w:rsidRDefault="00463B94" w:rsidP="00463B94">
            <w:pPr>
              <w:pStyle w:val="NormalWeb"/>
              <w:shd w:val="clear" w:color="auto" w:fill="FFFFFF"/>
              <w:spacing w:before="0" w:beforeAutospacing="0" w:after="0" w:afterAutospacing="0"/>
              <w:rPr>
                <w:rFonts w:asciiTheme="minorHAnsi" w:hAnsiTheme="minorHAnsi" w:cstheme="minorHAnsi"/>
                <w:b/>
                <w:sz w:val="22"/>
                <w:szCs w:val="22"/>
              </w:rPr>
            </w:pPr>
          </w:p>
          <w:p w14:paraId="062332D7" w14:textId="77777777" w:rsidR="00463B94" w:rsidRPr="00DA1164" w:rsidRDefault="00463B94" w:rsidP="00463B94">
            <w:pPr>
              <w:pStyle w:val="NormalWeb"/>
              <w:shd w:val="clear" w:color="auto" w:fill="FFFFFF"/>
              <w:spacing w:before="0" w:beforeAutospacing="0" w:after="0" w:afterAutospacing="0"/>
              <w:rPr>
                <w:rFonts w:asciiTheme="minorHAnsi" w:hAnsiTheme="minorHAnsi" w:cstheme="minorHAnsi"/>
                <w:b/>
                <w:sz w:val="22"/>
                <w:szCs w:val="22"/>
              </w:rPr>
            </w:pPr>
            <w:r w:rsidRPr="00DA1164">
              <w:rPr>
                <w:rFonts w:asciiTheme="minorHAnsi" w:hAnsiTheme="minorHAnsi" w:cstheme="minorHAnsi"/>
                <w:b/>
                <w:sz w:val="22"/>
                <w:szCs w:val="22"/>
              </w:rPr>
              <w:t xml:space="preserve">Step 4: Take Action </w:t>
            </w:r>
          </w:p>
          <w:p w14:paraId="0F620E04" w14:textId="09386B71" w:rsidR="00463B94" w:rsidRPr="00DA1164" w:rsidRDefault="00463B94" w:rsidP="00463B94">
            <w:pPr>
              <w:pStyle w:val="NormalWeb"/>
              <w:shd w:val="clear" w:color="auto" w:fill="FFFFFF"/>
              <w:spacing w:before="0" w:beforeAutospacing="0" w:after="0" w:afterAutospacing="0"/>
              <w:rPr>
                <w:rFonts w:asciiTheme="minorHAnsi" w:hAnsiTheme="minorHAnsi" w:cstheme="minorHAnsi"/>
                <w:sz w:val="22"/>
                <w:szCs w:val="22"/>
              </w:rPr>
            </w:pPr>
            <w:r w:rsidRPr="00DA1164">
              <w:rPr>
                <w:rFonts w:asciiTheme="minorHAnsi" w:hAnsiTheme="minorHAnsi" w:cstheme="minorHAnsi"/>
                <w:sz w:val="22"/>
                <w:szCs w:val="22"/>
              </w:rPr>
              <w:t>Compare students’ needs to the s</w:t>
            </w:r>
            <w:r w:rsidR="00755C2D">
              <w:rPr>
                <w:rFonts w:asciiTheme="minorHAnsi" w:hAnsiTheme="minorHAnsi" w:cstheme="minorHAnsi"/>
                <w:sz w:val="22"/>
                <w:szCs w:val="22"/>
              </w:rPr>
              <w:t>upports</w:t>
            </w:r>
            <w:r w:rsidRPr="00DA1164">
              <w:rPr>
                <w:rFonts w:asciiTheme="minorHAnsi" w:hAnsiTheme="minorHAnsi" w:cstheme="minorHAnsi"/>
                <w:sz w:val="22"/>
                <w:szCs w:val="22"/>
              </w:rPr>
              <w:t xml:space="preserve"> </w:t>
            </w:r>
            <w:r w:rsidR="0066191B">
              <w:rPr>
                <w:rFonts w:asciiTheme="minorHAnsi" w:hAnsiTheme="minorHAnsi" w:cstheme="minorHAnsi"/>
                <w:sz w:val="22"/>
                <w:szCs w:val="22"/>
              </w:rPr>
              <w:t>available, and assign</w:t>
            </w:r>
            <w:r w:rsidRPr="00DA1164">
              <w:rPr>
                <w:rFonts w:asciiTheme="minorHAnsi" w:hAnsiTheme="minorHAnsi" w:cstheme="minorHAnsi"/>
                <w:sz w:val="22"/>
                <w:szCs w:val="22"/>
              </w:rPr>
              <w:t xml:space="preserve"> interventions</w:t>
            </w:r>
            <w:r w:rsidR="0066191B">
              <w:rPr>
                <w:rFonts w:asciiTheme="minorHAnsi" w:hAnsiTheme="minorHAnsi" w:cstheme="minorHAnsi"/>
                <w:sz w:val="22"/>
                <w:szCs w:val="22"/>
              </w:rPr>
              <w:t xml:space="preserve"> that will best meet their needs. Examine</w:t>
            </w:r>
            <w:r w:rsidR="00D21635">
              <w:rPr>
                <w:rFonts w:asciiTheme="minorHAnsi" w:hAnsiTheme="minorHAnsi" w:cstheme="minorHAnsi"/>
                <w:sz w:val="22"/>
                <w:szCs w:val="22"/>
              </w:rPr>
              <w:t xml:space="preserve"> any</w:t>
            </w:r>
            <w:r w:rsidR="0066191B">
              <w:rPr>
                <w:rFonts w:asciiTheme="minorHAnsi" w:hAnsiTheme="minorHAnsi" w:cstheme="minorHAnsi"/>
                <w:sz w:val="22"/>
                <w:szCs w:val="22"/>
              </w:rPr>
              <w:t xml:space="preserve"> gaps </w:t>
            </w:r>
            <w:r w:rsidR="00D21635">
              <w:rPr>
                <w:rFonts w:asciiTheme="minorHAnsi" w:hAnsiTheme="minorHAnsi" w:cstheme="minorHAnsi"/>
                <w:sz w:val="22"/>
                <w:szCs w:val="22"/>
              </w:rPr>
              <w:t xml:space="preserve">in support, </w:t>
            </w:r>
            <w:r w:rsidR="0066191B">
              <w:rPr>
                <w:rFonts w:asciiTheme="minorHAnsi" w:hAnsiTheme="minorHAnsi" w:cstheme="minorHAnsi"/>
                <w:sz w:val="22"/>
                <w:szCs w:val="22"/>
              </w:rPr>
              <w:t xml:space="preserve">and consider school-wide </w:t>
            </w:r>
            <w:r w:rsidR="00D21635">
              <w:rPr>
                <w:rFonts w:asciiTheme="minorHAnsi" w:hAnsiTheme="minorHAnsi" w:cstheme="minorHAnsi"/>
                <w:sz w:val="22"/>
                <w:szCs w:val="22"/>
              </w:rPr>
              <w:t xml:space="preserve">or universal </w:t>
            </w:r>
            <w:r w:rsidR="002652F4">
              <w:rPr>
                <w:rFonts w:asciiTheme="minorHAnsi" w:hAnsiTheme="minorHAnsi" w:cstheme="minorHAnsi"/>
                <w:sz w:val="22"/>
                <w:szCs w:val="22"/>
              </w:rPr>
              <w:t>efforts</w:t>
            </w:r>
            <w:r w:rsidR="0066191B">
              <w:rPr>
                <w:rFonts w:asciiTheme="minorHAnsi" w:hAnsiTheme="minorHAnsi" w:cstheme="minorHAnsi"/>
                <w:sz w:val="22"/>
                <w:szCs w:val="22"/>
              </w:rPr>
              <w:t xml:space="preserve">. </w:t>
            </w:r>
          </w:p>
          <w:p w14:paraId="3FC073DD" w14:textId="1E3BF496" w:rsidR="00463B94" w:rsidRPr="00DA1164" w:rsidRDefault="00463B94" w:rsidP="00463B94">
            <w:pPr>
              <w:pStyle w:val="NormalWeb"/>
              <w:shd w:val="clear" w:color="auto" w:fill="FFFFFF"/>
              <w:spacing w:before="0" w:beforeAutospacing="0" w:after="0" w:afterAutospacing="0"/>
              <w:rPr>
                <w:rFonts w:asciiTheme="minorHAnsi" w:hAnsiTheme="minorHAnsi" w:cstheme="minorHAnsi"/>
                <w:sz w:val="22"/>
                <w:szCs w:val="22"/>
              </w:rPr>
            </w:pPr>
          </w:p>
          <w:p w14:paraId="00DE6A47" w14:textId="77777777" w:rsidR="00731D3C" w:rsidRDefault="00463B94" w:rsidP="002A53F4">
            <w:pPr>
              <w:pStyle w:val="NormalWeb"/>
              <w:shd w:val="clear" w:color="auto" w:fill="FFFFFF"/>
              <w:spacing w:before="0" w:beforeAutospacing="0" w:after="0" w:afterAutospacing="0"/>
              <w:rPr>
                <w:rFonts w:asciiTheme="minorHAnsi" w:hAnsiTheme="minorHAnsi" w:cstheme="minorHAnsi"/>
                <w:sz w:val="22"/>
                <w:szCs w:val="22"/>
              </w:rPr>
            </w:pPr>
            <w:r w:rsidRPr="00DA1164">
              <w:rPr>
                <w:rFonts w:asciiTheme="minorHAnsi" w:hAnsiTheme="minorHAnsi" w:cstheme="minorHAnsi"/>
                <w:b/>
                <w:sz w:val="22"/>
                <w:szCs w:val="22"/>
              </w:rPr>
              <w:t>Step 5: Monitor</w:t>
            </w:r>
            <w:r w:rsidRPr="00DA1164">
              <w:rPr>
                <w:rFonts w:asciiTheme="minorHAnsi" w:hAnsiTheme="minorHAnsi" w:cstheme="minorHAnsi"/>
                <w:sz w:val="22"/>
                <w:szCs w:val="22"/>
              </w:rPr>
              <w:t xml:space="preserve"> </w:t>
            </w:r>
          </w:p>
          <w:p w14:paraId="37DF76BB" w14:textId="380264D9" w:rsidR="00463B94" w:rsidRDefault="00731D3C" w:rsidP="00731D3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Monitor </w:t>
            </w:r>
            <w:r w:rsidR="00DA1164">
              <w:rPr>
                <w:rFonts w:asciiTheme="minorHAnsi" w:hAnsiTheme="minorHAnsi" w:cstheme="minorHAnsi"/>
                <w:sz w:val="22"/>
                <w:szCs w:val="22"/>
              </w:rPr>
              <w:t xml:space="preserve">students’ ABCs </w:t>
            </w:r>
            <w:r w:rsidR="0066191B">
              <w:rPr>
                <w:rFonts w:asciiTheme="minorHAnsi" w:hAnsiTheme="minorHAnsi" w:cstheme="minorHAnsi"/>
                <w:sz w:val="22"/>
                <w:szCs w:val="22"/>
              </w:rPr>
              <w:t>to assess student progress, see who else may be at risk, and improve interventions.</w:t>
            </w:r>
            <w:r w:rsidR="00762765">
              <w:rPr>
                <w:rFonts w:asciiTheme="minorHAnsi" w:hAnsiTheme="minorHAnsi" w:cstheme="minorHAnsi"/>
                <w:sz w:val="22"/>
                <w:szCs w:val="22"/>
              </w:rPr>
              <w:t xml:space="preserve"> Monitor that seniors are applying to college and completing </w:t>
            </w:r>
            <w:r w:rsidR="00DA2167">
              <w:rPr>
                <w:rFonts w:asciiTheme="minorHAnsi" w:hAnsiTheme="minorHAnsi" w:cstheme="minorHAnsi"/>
                <w:sz w:val="22"/>
                <w:szCs w:val="22"/>
              </w:rPr>
              <w:t>FAFSA,</w:t>
            </w:r>
            <w:r w:rsidR="00762765">
              <w:rPr>
                <w:rFonts w:asciiTheme="minorHAnsi" w:hAnsiTheme="minorHAnsi" w:cstheme="minorHAnsi"/>
                <w:sz w:val="22"/>
                <w:szCs w:val="22"/>
              </w:rPr>
              <w:t xml:space="preserve"> and other students are participating in </w:t>
            </w:r>
            <w:hyperlink r:id="rId28" w:history="1">
              <w:r w:rsidR="00762765" w:rsidRPr="00F74B03">
                <w:rPr>
                  <w:rStyle w:val="Hyperlink"/>
                  <w:rFonts w:asciiTheme="minorHAnsi" w:hAnsiTheme="minorHAnsi" w:cstheme="minorHAnsi"/>
                  <w:sz w:val="22"/>
                  <w:szCs w:val="22"/>
                </w:rPr>
                <w:t>college and career planning</w:t>
              </w:r>
            </w:hyperlink>
            <w:r w:rsidR="00762765">
              <w:rPr>
                <w:rFonts w:asciiTheme="minorHAnsi" w:hAnsiTheme="minorHAnsi" w:cstheme="minorHAnsi"/>
                <w:sz w:val="22"/>
                <w:szCs w:val="22"/>
              </w:rPr>
              <w:t>.</w:t>
            </w:r>
            <w:r w:rsidR="0066191B">
              <w:rPr>
                <w:rFonts w:asciiTheme="minorHAnsi" w:hAnsiTheme="minorHAnsi" w:cstheme="minorHAnsi"/>
                <w:sz w:val="22"/>
                <w:szCs w:val="22"/>
              </w:rPr>
              <w:t xml:space="preserve"> </w:t>
            </w:r>
            <w:r>
              <w:rPr>
                <w:rFonts w:asciiTheme="minorHAnsi" w:hAnsiTheme="minorHAnsi" w:cstheme="minorHAnsi"/>
                <w:sz w:val="22"/>
                <w:szCs w:val="22"/>
              </w:rPr>
              <w:t xml:space="preserve">Then, refer back to Steps 3 &amp; 4 as the cycle is repeated. </w:t>
            </w:r>
          </w:p>
          <w:p w14:paraId="15C5A433" w14:textId="3EA0BF80" w:rsidR="00862A17" w:rsidRPr="00DA1164" w:rsidRDefault="00862A17" w:rsidP="00731D3C">
            <w:pPr>
              <w:pStyle w:val="NormalWeb"/>
              <w:shd w:val="clear" w:color="auto" w:fill="FFFFFF"/>
              <w:spacing w:before="0" w:beforeAutospacing="0" w:after="0" w:afterAutospacing="0"/>
              <w:rPr>
                <w:rFonts w:asciiTheme="minorHAnsi" w:hAnsiTheme="minorHAnsi" w:cstheme="minorHAnsi"/>
                <w:sz w:val="22"/>
                <w:szCs w:val="22"/>
              </w:rPr>
            </w:pPr>
          </w:p>
        </w:tc>
        <w:tc>
          <w:tcPr>
            <w:tcW w:w="4445" w:type="dxa"/>
            <w:gridSpan w:val="2"/>
            <w:vMerge w:val="restart"/>
          </w:tcPr>
          <w:p w14:paraId="5A3904CE" w14:textId="6B1A2393" w:rsidR="00463B94" w:rsidRDefault="000F120E" w:rsidP="00223D5F">
            <w:pPr>
              <w:rPr>
                <w:noProof/>
              </w:rPr>
            </w:pPr>
            <w:r>
              <w:rPr>
                <w:noProof/>
                <w:lang w:eastAsia="zh-CN"/>
              </w:rPr>
              <w:drawing>
                <wp:inline distT="0" distB="0" distL="0" distR="0" wp14:anchorId="64D3B037" wp14:editId="21CB80E2">
                  <wp:extent cx="2616663" cy="3143250"/>
                  <wp:effectExtent l="0" t="0" r="0" b="0"/>
                  <wp:docPr id="3" name="Picture 3" descr="Get Organized&#10;Review EWIS Risk Data&#10;Explore Underlying Causes&#10;Assign Interventions&#10;Monitor Student Risk and Interventions&#10;Refine the Process&#10;" title="cycle of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20132" cy="3147417"/>
                          </a:xfrm>
                          <a:prstGeom prst="rect">
                            <a:avLst/>
                          </a:prstGeom>
                        </pic:spPr>
                      </pic:pic>
                    </a:graphicData>
                  </a:graphic>
                </wp:inline>
              </w:drawing>
            </w:r>
          </w:p>
        </w:tc>
      </w:tr>
      <w:tr w:rsidR="007C7051" w14:paraId="3C6E0EB1" w14:textId="77777777" w:rsidTr="00A625D5">
        <w:trPr>
          <w:trHeight w:val="259"/>
        </w:trPr>
        <w:tc>
          <w:tcPr>
            <w:tcW w:w="6064" w:type="dxa"/>
            <w:gridSpan w:val="2"/>
          </w:tcPr>
          <w:p w14:paraId="77D9C7E0" w14:textId="1C286475" w:rsidR="00F93EF5" w:rsidRPr="00834B06" w:rsidRDefault="00862A17" w:rsidP="00223D5F">
            <w:pPr>
              <w:rPr>
                <w:rFonts w:cstheme="minorHAnsi"/>
              </w:rPr>
            </w:pPr>
            <w:r>
              <w:rPr>
                <w:rFonts w:cstheme="minorHAnsi"/>
                <w:b/>
              </w:rPr>
              <w:t xml:space="preserve">The </w:t>
            </w:r>
            <w:r w:rsidR="00082263">
              <w:rPr>
                <w:rFonts w:cstheme="minorHAnsi"/>
                <w:b/>
              </w:rPr>
              <w:t xml:space="preserve">End of </w:t>
            </w:r>
            <w:r>
              <w:rPr>
                <w:rFonts w:cstheme="minorHAnsi"/>
                <w:b/>
              </w:rPr>
              <w:t xml:space="preserve">the </w:t>
            </w:r>
            <w:r w:rsidR="00082263">
              <w:rPr>
                <w:rFonts w:cstheme="minorHAnsi"/>
                <w:b/>
              </w:rPr>
              <w:t>School Year or</w:t>
            </w:r>
            <w:r>
              <w:rPr>
                <w:rFonts w:cstheme="minorHAnsi"/>
                <w:b/>
              </w:rPr>
              <w:t xml:space="preserve"> In</w:t>
            </w:r>
            <w:r w:rsidR="00F93EF5" w:rsidRPr="00834B06">
              <w:rPr>
                <w:rFonts w:cstheme="minorHAnsi"/>
                <w:b/>
              </w:rPr>
              <w:t xml:space="preserve"> Summer</w:t>
            </w:r>
            <w:r w:rsidR="00F93EF5" w:rsidRPr="00834B06">
              <w:rPr>
                <w:rFonts w:cstheme="minorHAnsi"/>
              </w:rPr>
              <w:t xml:space="preserve"> </w:t>
            </w:r>
            <w:r w:rsidR="00082263">
              <w:rPr>
                <w:rFonts w:cstheme="minorHAnsi"/>
              </w:rPr>
              <w:t xml:space="preserve">– </w:t>
            </w:r>
          </w:p>
        </w:tc>
        <w:tc>
          <w:tcPr>
            <w:tcW w:w="4445" w:type="dxa"/>
            <w:gridSpan w:val="2"/>
            <w:vMerge/>
          </w:tcPr>
          <w:p w14:paraId="78D5C832" w14:textId="77777777" w:rsidR="00F93EF5" w:rsidRDefault="00F93EF5" w:rsidP="00223D5F"/>
        </w:tc>
      </w:tr>
      <w:tr w:rsidR="007C7051" w14:paraId="6733EB1D" w14:textId="77777777" w:rsidTr="00A625D5">
        <w:trPr>
          <w:trHeight w:val="1225"/>
        </w:trPr>
        <w:tc>
          <w:tcPr>
            <w:tcW w:w="6064" w:type="dxa"/>
            <w:gridSpan w:val="2"/>
            <w:tcBorders>
              <w:bottom w:val="single" w:sz="4" w:space="0" w:color="auto"/>
            </w:tcBorders>
          </w:tcPr>
          <w:p w14:paraId="65365EC3" w14:textId="34083708" w:rsidR="00F93EF5" w:rsidRPr="00834B06" w:rsidRDefault="00F77605" w:rsidP="00223D5F">
            <w:pPr>
              <w:rPr>
                <w:rFonts w:cstheme="minorHAnsi"/>
                <w:b/>
              </w:rPr>
            </w:pPr>
            <w:r>
              <w:rPr>
                <w:rFonts w:cstheme="minorHAnsi"/>
                <w:b/>
              </w:rPr>
              <w:t xml:space="preserve">Step 6: </w:t>
            </w:r>
            <w:r w:rsidR="00685E3E">
              <w:rPr>
                <w:rFonts w:cstheme="minorHAnsi"/>
                <w:b/>
              </w:rPr>
              <w:t>Refine the P</w:t>
            </w:r>
            <w:r w:rsidR="00F93EF5" w:rsidRPr="00834B06">
              <w:rPr>
                <w:rFonts w:cstheme="minorHAnsi"/>
                <w:b/>
              </w:rPr>
              <w:t xml:space="preserve">rocess </w:t>
            </w:r>
          </w:p>
          <w:p w14:paraId="71DE3D19" w14:textId="07A1B667" w:rsidR="00454A2A" w:rsidRPr="00834B06" w:rsidRDefault="00F93EF5" w:rsidP="00205E16">
            <w:pPr>
              <w:rPr>
                <w:rFonts w:cstheme="minorHAnsi"/>
              </w:rPr>
            </w:pPr>
            <w:r w:rsidRPr="00834B06">
              <w:rPr>
                <w:rFonts w:cstheme="minorHAnsi"/>
              </w:rPr>
              <w:t xml:space="preserve">How did it go? What was easy, what was hard? Take time at the end of year to reflect on </w:t>
            </w:r>
            <w:r w:rsidR="00205E16">
              <w:rPr>
                <w:rFonts w:cstheme="minorHAnsi"/>
              </w:rPr>
              <w:t xml:space="preserve">outcomes, </w:t>
            </w:r>
            <w:r w:rsidRPr="00834B06">
              <w:rPr>
                <w:rFonts w:cstheme="minorHAnsi"/>
              </w:rPr>
              <w:t xml:space="preserve">your approach, and make plans to incorporate changes next year. </w:t>
            </w:r>
          </w:p>
        </w:tc>
        <w:tc>
          <w:tcPr>
            <w:tcW w:w="4445" w:type="dxa"/>
            <w:gridSpan w:val="2"/>
            <w:vMerge/>
            <w:tcBorders>
              <w:bottom w:val="single" w:sz="4" w:space="0" w:color="auto"/>
            </w:tcBorders>
          </w:tcPr>
          <w:p w14:paraId="75DAD540" w14:textId="77777777" w:rsidR="00F93EF5" w:rsidRDefault="00F93EF5" w:rsidP="00223D5F"/>
        </w:tc>
      </w:tr>
      <w:tr w:rsidR="00685E3E" w14:paraId="4F1E5BAA" w14:textId="77777777" w:rsidTr="00EE136A">
        <w:trPr>
          <w:trHeight w:val="1403"/>
        </w:trPr>
        <w:tc>
          <w:tcPr>
            <w:tcW w:w="2308" w:type="dxa"/>
            <w:tcBorders>
              <w:top w:val="single" w:sz="4" w:space="0" w:color="auto"/>
              <w:left w:val="single" w:sz="4" w:space="0" w:color="auto"/>
              <w:bottom w:val="single" w:sz="4" w:space="0" w:color="auto"/>
            </w:tcBorders>
            <w:shd w:val="clear" w:color="auto" w:fill="DEEAF6" w:themeFill="accent1" w:themeFillTint="33"/>
          </w:tcPr>
          <w:p w14:paraId="4DCFA2E8" w14:textId="0BFFE4B6" w:rsidR="00685E3E" w:rsidRPr="008B51D7" w:rsidRDefault="00685E3E" w:rsidP="00685E3E">
            <w:pPr>
              <w:ind w:left="-110"/>
              <w:rPr>
                <w:b/>
              </w:rPr>
            </w:pPr>
            <w:r>
              <w:rPr>
                <w:noProof/>
                <w:lang w:eastAsia="zh-CN"/>
              </w:rPr>
              <w:drawing>
                <wp:inline distT="0" distB="0" distL="0" distR="0" wp14:anchorId="72F5D442" wp14:editId="6E428A40">
                  <wp:extent cx="923925" cy="959066"/>
                  <wp:effectExtent l="0" t="0" r="0" b="0"/>
                  <wp:docPr id="6" name="Picture 6" descr="cycle" titl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58403" cy="994855"/>
                          </a:xfrm>
                          <a:prstGeom prst="rect">
                            <a:avLst/>
                          </a:prstGeom>
                        </pic:spPr>
                      </pic:pic>
                    </a:graphicData>
                  </a:graphic>
                </wp:inline>
              </w:drawing>
            </w:r>
          </w:p>
        </w:tc>
        <w:tc>
          <w:tcPr>
            <w:tcW w:w="8201" w:type="dxa"/>
            <w:gridSpan w:val="3"/>
            <w:tcBorders>
              <w:top w:val="single" w:sz="4" w:space="0" w:color="auto"/>
              <w:bottom w:val="single" w:sz="4" w:space="0" w:color="auto"/>
              <w:right w:val="single" w:sz="4" w:space="0" w:color="auto"/>
            </w:tcBorders>
            <w:shd w:val="clear" w:color="auto" w:fill="DEEAF6" w:themeFill="accent1" w:themeFillTint="33"/>
          </w:tcPr>
          <w:p w14:paraId="447F0190" w14:textId="77777777" w:rsidR="00685E3E" w:rsidRPr="00BF7CE0" w:rsidRDefault="00685E3E" w:rsidP="00685E3E">
            <w:pPr>
              <w:rPr>
                <w:b/>
                <w:sz w:val="12"/>
              </w:rPr>
            </w:pPr>
          </w:p>
          <w:p w14:paraId="576BC17C" w14:textId="77777777" w:rsidR="00685E3E" w:rsidRDefault="00685E3E" w:rsidP="00685E3E">
            <w:r w:rsidRPr="00624194">
              <w:rPr>
                <w:b/>
              </w:rPr>
              <w:t>Would you like to get better at ‘using data’?</w:t>
            </w:r>
            <w:r>
              <w:t xml:space="preserve"> </w:t>
            </w:r>
          </w:p>
          <w:p w14:paraId="5BEA9985" w14:textId="77777777" w:rsidR="00685E3E" w:rsidRPr="00BF7CE0" w:rsidRDefault="00685E3E" w:rsidP="00685E3E">
            <w:pPr>
              <w:rPr>
                <w:sz w:val="12"/>
              </w:rPr>
            </w:pPr>
          </w:p>
          <w:p w14:paraId="31A98349" w14:textId="3867DB7B" w:rsidR="00685E3E" w:rsidRDefault="00685E3E" w:rsidP="00685E3E">
            <w:r>
              <w:t xml:space="preserve">Many strategies work; choose one that feels right for you and your team. Periodically, reflect on what is working and what is not working, and adapt your strategies as needed. Start small, stay flexible and tap others for support. </w:t>
            </w:r>
          </w:p>
        </w:tc>
      </w:tr>
    </w:tbl>
    <w:p w14:paraId="14358C28" w14:textId="0DB3CAC7" w:rsidR="00D63975" w:rsidRDefault="00D63975" w:rsidP="00D63975">
      <w:pPr>
        <w:spacing w:before="120" w:after="0"/>
        <w:jc w:val="center"/>
      </w:pPr>
      <w:r w:rsidRPr="00D63975">
        <w:rPr>
          <w:b/>
          <w:color w:val="1F4E79" w:themeColor="accent1" w:themeShade="80"/>
          <w:sz w:val="24"/>
          <w:szCs w:val="24"/>
        </w:rPr>
        <w:t>For questions</w:t>
      </w:r>
      <w:r>
        <w:t xml:space="preserve">: Email </w:t>
      </w:r>
      <w:hyperlink r:id="rId31" w:history="1">
        <w:r w:rsidRPr="00E85453">
          <w:rPr>
            <w:rStyle w:val="Hyperlink"/>
          </w:rPr>
          <w:t>EWIS@doe.mass.edu</w:t>
        </w:r>
      </w:hyperlink>
      <w:r>
        <w:t xml:space="preserve"> or see resources at </w:t>
      </w:r>
      <w:hyperlink r:id="rId32" w:history="1">
        <w:r w:rsidR="00492BF9">
          <w:rPr>
            <w:rStyle w:val="Hyperlink"/>
          </w:rPr>
          <w:t>https://www.doe.mass.edu/ccte/ccr/ewis/default.html</w:t>
        </w:r>
      </w:hyperlink>
      <w:r>
        <w:t xml:space="preserve"> .</w:t>
      </w:r>
    </w:p>
    <w:sectPr w:rsidR="00D63975" w:rsidSect="00BA3EC2">
      <w:pgSz w:w="12240" w:h="15840"/>
      <w:pgMar w:top="720" w:right="36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90B5" w14:textId="77777777" w:rsidR="00680536" w:rsidRDefault="00680536" w:rsidP="00B2282E">
      <w:pPr>
        <w:spacing w:after="0" w:line="240" w:lineRule="auto"/>
      </w:pPr>
      <w:r>
        <w:separator/>
      </w:r>
    </w:p>
  </w:endnote>
  <w:endnote w:type="continuationSeparator" w:id="0">
    <w:p w14:paraId="1024022A" w14:textId="77777777" w:rsidR="00680536" w:rsidRDefault="00680536" w:rsidP="00B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5642" w14:textId="77777777" w:rsidR="00680536" w:rsidRDefault="00680536" w:rsidP="00B2282E">
      <w:pPr>
        <w:spacing w:after="0" w:line="240" w:lineRule="auto"/>
      </w:pPr>
      <w:r>
        <w:separator/>
      </w:r>
    </w:p>
  </w:footnote>
  <w:footnote w:type="continuationSeparator" w:id="0">
    <w:p w14:paraId="7AE2BA2B" w14:textId="77777777" w:rsidR="00680536" w:rsidRDefault="00680536" w:rsidP="00B2282E">
      <w:pPr>
        <w:spacing w:after="0" w:line="240" w:lineRule="auto"/>
      </w:pPr>
      <w:r>
        <w:continuationSeparator/>
      </w:r>
    </w:p>
  </w:footnote>
  <w:footnote w:id="1">
    <w:p w14:paraId="3B97C4A2" w14:textId="05D76229" w:rsidR="00496D8C" w:rsidRPr="00243C94" w:rsidRDefault="00496D8C" w:rsidP="00502029">
      <w:pPr>
        <w:spacing w:after="0" w:line="240" w:lineRule="auto"/>
        <w:rPr>
          <w:sz w:val="20"/>
          <w:szCs w:val="20"/>
        </w:rPr>
      </w:pPr>
      <w:r w:rsidRPr="00243C94">
        <w:rPr>
          <w:rStyle w:val="FootnoteReference"/>
          <w:sz w:val="20"/>
          <w:szCs w:val="20"/>
        </w:rPr>
        <w:footnoteRef/>
      </w:r>
      <w:r w:rsidRPr="00243C94">
        <w:rPr>
          <w:sz w:val="20"/>
          <w:szCs w:val="20"/>
        </w:rPr>
        <w:t xml:space="preserve"> </w:t>
      </w:r>
      <w:r w:rsidRPr="00243C94">
        <w:rPr>
          <w:color w:val="000000"/>
          <w:sz w:val="20"/>
          <w:szCs w:val="20"/>
          <w:shd w:val="clear" w:color="auto" w:fill="FFFFFF"/>
        </w:rPr>
        <w:t xml:space="preserve">According to </w:t>
      </w:r>
      <w:hyperlink r:id="rId1" w:history="1">
        <w:r w:rsidRPr="00243C94">
          <w:rPr>
            <w:rStyle w:val="Hyperlink"/>
            <w:sz w:val="20"/>
            <w:szCs w:val="20"/>
            <w:shd w:val="clear" w:color="auto" w:fill="FFFFFF"/>
          </w:rPr>
          <w:t>Georgetown University’s Center for Education and the Workforce</w:t>
        </w:r>
      </w:hyperlink>
      <w:r w:rsidRPr="00243C94">
        <w:rPr>
          <w:color w:val="000000"/>
          <w:sz w:val="20"/>
          <w:szCs w:val="20"/>
          <w:shd w:val="clear" w:color="auto" w:fill="FFFFFF"/>
        </w:rPr>
        <w:t>, nearly all of the jobs created since 2010 have gone to workers with at least some college education, while those with a high school diploma or less are being left behind.</w:t>
      </w:r>
    </w:p>
  </w:footnote>
  <w:footnote w:id="2">
    <w:p w14:paraId="0B4F66D7" w14:textId="2CE7B02E" w:rsidR="00496D8C" w:rsidRPr="00D63975" w:rsidRDefault="00496D8C" w:rsidP="00502029">
      <w:pPr>
        <w:pStyle w:val="FootnoteText"/>
        <w:rPr>
          <w:sz w:val="18"/>
          <w:szCs w:val="18"/>
        </w:rPr>
      </w:pPr>
      <w:r w:rsidRPr="00243C94">
        <w:rPr>
          <w:rStyle w:val="FootnoteReference"/>
        </w:rPr>
        <w:footnoteRef/>
      </w:r>
      <w:r w:rsidRPr="00243C94">
        <w:t xml:space="preserve"> Explore gaps</w:t>
      </w:r>
      <w:r w:rsidR="00287F4D">
        <w:t xml:space="preserve"> in Edwin,</w:t>
      </w:r>
      <w:r w:rsidRPr="00243C94">
        <w:t xml:space="preserve"> at </w:t>
      </w:r>
      <w:hyperlink r:id="rId2" w:history="1">
        <w:r w:rsidRPr="00243C94">
          <w:rPr>
            <w:rStyle w:val="Hyperlink"/>
          </w:rPr>
          <w:t xml:space="preserve">Success After High School DART </w:t>
        </w:r>
      </w:hyperlink>
      <w:r w:rsidRPr="00243C94">
        <w:t xml:space="preserve"> or </w:t>
      </w:r>
      <w:hyperlink r:id="rId3" w:history="1">
        <w:r w:rsidRPr="00243C94">
          <w:rPr>
            <w:rStyle w:val="Hyperlink"/>
          </w:rPr>
          <w:t>www.mass.gov/SuccessABCs</w:t>
        </w:r>
      </w:hyperlink>
      <w:r w:rsidR="00B179B4" w:rsidRPr="00243C9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1FFE"/>
    <w:multiLevelType w:val="hybridMultilevel"/>
    <w:tmpl w:val="23EC7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A0F15"/>
    <w:multiLevelType w:val="hybridMultilevel"/>
    <w:tmpl w:val="70A6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EF72EB"/>
    <w:multiLevelType w:val="hybridMultilevel"/>
    <w:tmpl w:val="7200D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7382828">
    <w:abstractNumId w:val="0"/>
  </w:num>
  <w:num w:numId="2" w16cid:durableId="1975283416">
    <w:abstractNumId w:val="2"/>
  </w:num>
  <w:num w:numId="3" w16cid:durableId="72214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7C"/>
    <w:rsid w:val="000541C1"/>
    <w:rsid w:val="00062AC9"/>
    <w:rsid w:val="00070826"/>
    <w:rsid w:val="00082263"/>
    <w:rsid w:val="000C1BEF"/>
    <w:rsid w:val="000E0868"/>
    <w:rsid w:val="000F120E"/>
    <w:rsid w:val="00153B3A"/>
    <w:rsid w:val="00153C26"/>
    <w:rsid w:val="00182576"/>
    <w:rsid w:val="00193ACF"/>
    <w:rsid w:val="001C0E65"/>
    <w:rsid w:val="001C711B"/>
    <w:rsid w:val="001C780F"/>
    <w:rsid w:val="001E049C"/>
    <w:rsid w:val="001E209C"/>
    <w:rsid w:val="00205E16"/>
    <w:rsid w:val="00213B3A"/>
    <w:rsid w:val="0022424C"/>
    <w:rsid w:val="00236CF5"/>
    <w:rsid w:val="00242FD4"/>
    <w:rsid w:val="00243C94"/>
    <w:rsid w:val="002652F4"/>
    <w:rsid w:val="0027221C"/>
    <w:rsid w:val="00275CF1"/>
    <w:rsid w:val="00283251"/>
    <w:rsid w:val="00286C7E"/>
    <w:rsid w:val="00287F4D"/>
    <w:rsid w:val="0029557B"/>
    <w:rsid w:val="002A53F4"/>
    <w:rsid w:val="002B210D"/>
    <w:rsid w:val="002B7170"/>
    <w:rsid w:val="002C437C"/>
    <w:rsid w:val="002D6815"/>
    <w:rsid w:val="002D799C"/>
    <w:rsid w:val="002E39C0"/>
    <w:rsid w:val="00351BAC"/>
    <w:rsid w:val="00372795"/>
    <w:rsid w:val="00385B5A"/>
    <w:rsid w:val="003D5F3F"/>
    <w:rsid w:val="00403D40"/>
    <w:rsid w:val="004236A6"/>
    <w:rsid w:val="00453FD9"/>
    <w:rsid w:val="00454A2A"/>
    <w:rsid w:val="00463B94"/>
    <w:rsid w:val="00465E86"/>
    <w:rsid w:val="00492BF9"/>
    <w:rsid w:val="00496D8C"/>
    <w:rsid w:val="004978F7"/>
    <w:rsid w:val="004A1658"/>
    <w:rsid w:val="004A521C"/>
    <w:rsid w:val="004B3B57"/>
    <w:rsid w:val="004B50AF"/>
    <w:rsid w:val="004C4F14"/>
    <w:rsid w:val="004D5726"/>
    <w:rsid w:val="00501A2A"/>
    <w:rsid w:val="00502029"/>
    <w:rsid w:val="00520756"/>
    <w:rsid w:val="00525D61"/>
    <w:rsid w:val="00537CD6"/>
    <w:rsid w:val="0055169D"/>
    <w:rsid w:val="00565EAC"/>
    <w:rsid w:val="0057565F"/>
    <w:rsid w:val="00582544"/>
    <w:rsid w:val="0058555C"/>
    <w:rsid w:val="005D42F4"/>
    <w:rsid w:val="006008A8"/>
    <w:rsid w:val="00624194"/>
    <w:rsid w:val="00633ED2"/>
    <w:rsid w:val="0066191B"/>
    <w:rsid w:val="006740B3"/>
    <w:rsid w:val="00680536"/>
    <w:rsid w:val="00685E3E"/>
    <w:rsid w:val="007025CB"/>
    <w:rsid w:val="00731D3C"/>
    <w:rsid w:val="00755C2D"/>
    <w:rsid w:val="00760953"/>
    <w:rsid w:val="00762765"/>
    <w:rsid w:val="00777394"/>
    <w:rsid w:val="00792E8B"/>
    <w:rsid w:val="00796E74"/>
    <w:rsid w:val="007B150C"/>
    <w:rsid w:val="007C7051"/>
    <w:rsid w:val="007C7752"/>
    <w:rsid w:val="007C7922"/>
    <w:rsid w:val="007E0CFD"/>
    <w:rsid w:val="008023C9"/>
    <w:rsid w:val="008366D5"/>
    <w:rsid w:val="00860381"/>
    <w:rsid w:val="00862A17"/>
    <w:rsid w:val="00901619"/>
    <w:rsid w:val="00936B61"/>
    <w:rsid w:val="0093794E"/>
    <w:rsid w:val="00965737"/>
    <w:rsid w:val="00970632"/>
    <w:rsid w:val="009762CE"/>
    <w:rsid w:val="009A07DA"/>
    <w:rsid w:val="009D33CF"/>
    <w:rsid w:val="009E6A67"/>
    <w:rsid w:val="00A23852"/>
    <w:rsid w:val="00A35E2C"/>
    <w:rsid w:val="00A408C5"/>
    <w:rsid w:val="00A625D5"/>
    <w:rsid w:val="00A76B19"/>
    <w:rsid w:val="00A83B54"/>
    <w:rsid w:val="00A942B4"/>
    <w:rsid w:val="00AB455D"/>
    <w:rsid w:val="00AF4523"/>
    <w:rsid w:val="00B11BEC"/>
    <w:rsid w:val="00B179B4"/>
    <w:rsid w:val="00B2282E"/>
    <w:rsid w:val="00B53796"/>
    <w:rsid w:val="00BA3EC2"/>
    <w:rsid w:val="00BB63B9"/>
    <w:rsid w:val="00BE667C"/>
    <w:rsid w:val="00BF03AA"/>
    <w:rsid w:val="00BF3C79"/>
    <w:rsid w:val="00C001C4"/>
    <w:rsid w:val="00C43881"/>
    <w:rsid w:val="00C5707E"/>
    <w:rsid w:val="00C65423"/>
    <w:rsid w:val="00CA182C"/>
    <w:rsid w:val="00CA2532"/>
    <w:rsid w:val="00CC4496"/>
    <w:rsid w:val="00CD7D2F"/>
    <w:rsid w:val="00D00F1F"/>
    <w:rsid w:val="00D05BFE"/>
    <w:rsid w:val="00D21635"/>
    <w:rsid w:val="00D441A4"/>
    <w:rsid w:val="00D63975"/>
    <w:rsid w:val="00D7418E"/>
    <w:rsid w:val="00D74FBC"/>
    <w:rsid w:val="00DA1164"/>
    <w:rsid w:val="00DA174B"/>
    <w:rsid w:val="00DA2167"/>
    <w:rsid w:val="00DB1EB2"/>
    <w:rsid w:val="00DD6DE6"/>
    <w:rsid w:val="00DE242D"/>
    <w:rsid w:val="00DE6091"/>
    <w:rsid w:val="00DE6D05"/>
    <w:rsid w:val="00DF364B"/>
    <w:rsid w:val="00E17454"/>
    <w:rsid w:val="00E301A1"/>
    <w:rsid w:val="00E42DA7"/>
    <w:rsid w:val="00E42EB6"/>
    <w:rsid w:val="00E50843"/>
    <w:rsid w:val="00E52A5E"/>
    <w:rsid w:val="00E935E7"/>
    <w:rsid w:val="00EE10BF"/>
    <w:rsid w:val="00EE136A"/>
    <w:rsid w:val="00EF766E"/>
    <w:rsid w:val="00F57D9A"/>
    <w:rsid w:val="00F62622"/>
    <w:rsid w:val="00F74B03"/>
    <w:rsid w:val="00F77605"/>
    <w:rsid w:val="00F83A00"/>
    <w:rsid w:val="00F87161"/>
    <w:rsid w:val="00F93EF5"/>
    <w:rsid w:val="00FA7B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B6E9"/>
  <w15:chartTrackingRefBased/>
  <w15:docId w15:val="{1115FC51-BACE-466D-8800-BF1CF7F8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67C"/>
    <w:rPr>
      <w:color w:val="0563C1" w:themeColor="hyperlink"/>
      <w:u w:val="single"/>
    </w:rPr>
  </w:style>
  <w:style w:type="character" w:styleId="CommentReference">
    <w:name w:val="annotation reference"/>
    <w:basedOn w:val="DefaultParagraphFont"/>
    <w:uiPriority w:val="99"/>
    <w:semiHidden/>
    <w:unhideWhenUsed/>
    <w:rsid w:val="00BE667C"/>
    <w:rPr>
      <w:sz w:val="16"/>
      <w:szCs w:val="16"/>
    </w:rPr>
  </w:style>
  <w:style w:type="paragraph" w:styleId="FootnoteText">
    <w:name w:val="footnote text"/>
    <w:basedOn w:val="Normal"/>
    <w:link w:val="FootnoteTextChar"/>
    <w:uiPriority w:val="99"/>
    <w:semiHidden/>
    <w:unhideWhenUsed/>
    <w:rsid w:val="00BE66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67C"/>
    <w:rPr>
      <w:sz w:val="20"/>
      <w:szCs w:val="20"/>
    </w:rPr>
  </w:style>
  <w:style w:type="paragraph" w:styleId="BalloonText">
    <w:name w:val="Balloon Text"/>
    <w:basedOn w:val="Normal"/>
    <w:link w:val="BalloonTextChar"/>
    <w:uiPriority w:val="99"/>
    <w:semiHidden/>
    <w:unhideWhenUsed/>
    <w:rsid w:val="00BE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7C"/>
    <w:rPr>
      <w:rFonts w:ascii="Segoe UI" w:hAnsi="Segoe UI" w:cs="Segoe UI"/>
      <w:sz w:val="18"/>
      <w:szCs w:val="18"/>
    </w:rPr>
  </w:style>
  <w:style w:type="paragraph" w:styleId="CommentText">
    <w:name w:val="annotation text"/>
    <w:basedOn w:val="Normal"/>
    <w:link w:val="CommentTextChar"/>
    <w:uiPriority w:val="99"/>
    <w:unhideWhenUsed/>
    <w:rsid w:val="00BE667C"/>
    <w:pPr>
      <w:spacing w:line="240" w:lineRule="auto"/>
    </w:pPr>
    <w:rPr>
      <w:sz w:val="20"/>
      <w:szCs w:val="20"/>
    </w:rPr>
  </w:style>
  <w:style w:type="character" w:customStyle="1" w:styleId="CommentTextChar">
    <w:name w:val="Comment Text Char"/>
    <w:basedOn w:val="DefaultParagraphFont"/>
    <w:link w:val="CommentText"/>
    <w:uiPriority w:val="99"/>
    <w:rsid w:val="00BE667C"/>
    <w:rPr>
      <w:sz w:val="20"/>
      <w:szCs w:val="20"/>
    </w:rPr>
  </w:style>
  <w:style w:type="character" w:styleId="FollowedHyperlink">
    <w:name w:val="FollowedHyperlink"/>
    <w:basedOn w:val="DefaultParagraphFont"/>
    <w:uiPriority w:val="99"/>
    <w:semiHidden/>
    <w:unhideWhenUsed/>
    <w:rsid w:val="00BE667C"/>
    <w:rPr>
      <w:color w:val="954F72" w:themeColor="followedHyperlink"/>
      <w:u w:val="single"/>
    </w:rPr>
  </w:style>
  <w:style w:type="paragraph" w:styleId="NormalWeb">
    <w:name w:val="Normal (Web)"/>
    <w:basedOn w:val="Normal"/>
    <w:uiPriority w:val="99"/>
    <w:unhideWhenUsed/>
    <w:rsid w:val="00F93EF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83A00"/>
    <w:rPr>
      <w:b/>
      <w:bCs/>
    </w:rPr>
  </w:style>
  <w:style w:type="character" w:customStyle="1" w:styleId="CommentSubjectChar">
    <w:name w:val="Comment Subject Char"/>
    <w:basedOn w:val="CommentTextChar"/>
    <w:link w:val="CommentSubject"/>
    <w:uiPriority w:val="99"/>
    <w:semiHidden/>
    <w:rsid w:val="00F83A00"/>
    <w:rPr>
      <w:b/>
      <w:bCs/>
      <w:sz w:val="20"/>
      <w:szCs w:val="20"/>
    </w:rPr>
  </w:style>
  <w:style w:type="character" w:styleId="FootnoteReference">
    <w:name w:val="footnote reference"/>
    <w:basedOn w:val="DefaultParagraphFont"/>
    <w:uiPriority w:val="99"/>
    <w:semiHidden/>
    <w:unhideWhenUsed/>
    <w:rsid w:val="00B2282E"/>
    <w:rPr>
      <w:vertAlign w:val="superscript"/>
    </w:rPr>
  </w:style>
  <w:style w:type="paragraph" w:styleId="ListParagraph">
    <w:name w:val="List Paragraph"/>
    <w:basedOn w:val="Normal"/>
    <w:uiPriority w:val="34"/>
    <w:qFormat/>
    <w:rsid w:val="00496D8C"/>
    <w:pPr>
      <w:ind w:left="720"/>
      <w:contextualSpacing/>
    </w:pPr>
  </w:style>
  <w:style w:type="paragraph" w:styleId="Revision">
    <w:name w:val="Revision"/>
    <w:hidden/>
    <w:uiPriority w:val="99"/>
    <w:semiHidden/>
    <w:rsid w:val="00502029"/>
    <w:pPr>
      <w:spacing w:after="0" w:line="240" w:lineRule="auto"/>
    </w:pPr>
  </w:style>
  <w:style w:type="paragraph" w:styleId="Header">
    <w:name w:val="header"/>
    <w:basedOn w:val="Normal"/>
    <w:link w:val="HeaderChar"/>
    <w:uiPriority w:val="99"/>
    <w:unhideWhenUsed/>
    <w:rsid w:val="0050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029"/>
  </w:style>
  <w:style w:type="paragraph" w:styleId="Footer">
    <w:name w:val="footer"/>
    <w:basedOn w:val="Normal"/>
    <w:link w:val="FooterChar"/>
    <w:uiPriority w:val="99"/>
    <w:unhideWhenUsed/>
    <w:rsid w:val="0050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029"/>
  </w:style>
  <w:style w:type="character" w:styleId="UnresolvedMention">
    <w:name w:val="Unresolved Mention"/>
    <w:basedOn w:val="DefaultParagraphFont"/>
    <w:uiPriority w:val="99"/>
    <w:semiHidden/>
    <w:unhideWhenUsed/>
    <w:rsid w:val="00FA7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ccte/ccr/ewis/default.html" TargetMode="External"/><Relationship Id="rId18" Type="http://schemas.openxmlformats.org/officeDocument/2006/relationships/hyperlink" Target="http://www.doe.mass.edu/ccte/ccr/hqccp/" TargetMode="External"/><Relationship Id="rId26" Type="http://schemas.openxmlformats.org/officeDocument/2006/relationships/hyperlink" Target="https://www.doe.mass.edu/ccte/ccr/ewis/faq.html" TargetMode="External"/><Relationship Id="rId3" Type="http://schemas.openxmlformats.org/officeDocument/2006/relationships/customXml" Target="../customXml/item3.xml"/><Relationship Id="rId21" Type="http://schemas.openxmlformats.org/officeDocument/2006/relationships/hyperlink" Target="https://www.inflexion.org/download/36997/?tmstv=1687797329"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research/vocal/default.html"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ccte/ccr/masscore/default.html" TargetMode="External"/><Relationship Id="rId20" Type="http://schemas.openxmlformats.org/officeDocument/2006/relationships/hyperlink" Target="https://consortium.uchicago.edu/sites/default/files/2018-10/Future%20of%20Children.pdf"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infoservices/data/diradmin/list.aspx" TargetMode="External"/><Relationship Id="rId32" Type="http://schemas.openxmlformats.org/officeDocument/2006/relationships/hyperlink" Target="https://www.doe.mass.edu/ccte/ccr/ewis/default.html" TargetMode="External"/><Relationship Id="rId5" Type="http://schemas.openxmlformats.org/officeDocument/2006/relationships/customXml" Target="../customXml/item5.xml"/><Relationship Id="rId15" Type="http://schemas.openxmlformats.org/officeDocument/2006/relationships/hyperlink" Target="https://www.doe.mass.edu/ccte/ccr/ewis/fafsa-tool.docx" TargetMode="External"/><Relationship Id="rId23" Type="http://schemas.openxmlformats.org/officeDocument/2006/relationships/hyperlink" Target="http://www.doe.mass.edu/edwin/" TargetMode="External"/><Relationship Id="rId28" Type="http://schemas.openxmlformats.org/officeDocument/2006/relationships/hyperlink" Target="https://www.doe.mass.edu/ccte/ccr/mycap/" TargetMode="External"/><Relationship Id="rId10" Type="http://schemas.openxmlformats.org/officeDocument/2006/relationships/footnotes" Target="footnotes.xml"/><Relationship Id="rId19" Type="http://schemas.openxmlformats.org/officeDocument/2006/relationships/hyperlink" Target="https://www.doe.mass.edu/ccte/ccr/mycap/" TargetMode="External"/><Relationship Id="rId31" Type="http://schemas.openxmlformats.org/officeDocument/2006/relationships/hyperlink" Target="mailto:EWI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RuYD0LPJQS8&amp;feature=youtu.be" TargetMode="External"/><Relationship Id="rId22" Type="http://schemas.openxmlformats.org/officeDocument/2006/relationships/hyperlink" Target="https://www.doe.mass.edu/ccte/ccr/ewis/default.html" TargetMode="External"/><Relationship Id="rId27" Type="http://schemas.openxmlformats.org/officeDocument/2006/relationships/image" Target="media/image3.png"/><Relationship Id="rId30" Type="http://schemas.openxmlformats.org/officeDocument/2006/relationships/image" Target="media/image5.png"/><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mass.gov/SuccessABCs" TargetMode="External"/><Relationship Id="rId2" Type="http://schemas.openxmlformats.org/officeDocument/2006/relationships/hyperlink" Target="http://www.doe.mass.edu/dart/" TargetMode="External"/><Relationship Id="rId1" Type="http://schemas.openxmlformats.org/officeDocument/2006/relationships/hyperlink" Target="https://cew.georgetown.edu/cew-reports/americas-divided-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DESE-231-43845</_dlc_DocId>
    <_dlc_DocIdUrl xmlns="733efe1c-5bbe-4968-87dc-d400e65c879f">
      <Url>https://sharepoint.doemass.org/ese/webteam/cps/_layouts/DocIdRedir.aspx?ID=DESE-231-43845</Url>
      <Description>DESE-231-43845</Description>
    </_dlc_DocIdUrl>
  </documentManagement>
</p:properties>
</file>

<file path=customXml/itemProps1.xml><?xml version="1.0" encoding="utf-8"?>
<ds:datastoreItem xmlns:ds="http://schemas.openxmlformats.org/officeDocument/2006/customXml" ds:itemID="{AB1E49F2-A775-45CD-8C61-C56995704B2B}">
  <ds:schemaRefs>
    <ds:schemaRef ds:uri="http://schemas.microsoft.com/sharepoint/v3/contenttype/forms"/>
  </ds:schemaRefs>
</ds:datastoreItem>
</file>

<file path=customXml/itemProps2.xml><?xml version="1.0" encoding="utf-8"?>
<ds:datastoreItem xmlns:ds="http://schemas.openxmlformats.org/officeDocument/2006/customXml" ds:itemID="{E0CF95A7-A3EF-415F-89EC-A5DD99640FB3}">
  <ds:schemaRefs>
    <ds:schemaRef ds:uri="http://schemas.microsoft.com/sharepoint/events"/>
  </ds:schemaRefs>
</ds:datastoreItem>
</file>

<file path=customXml/itemProps3.xml><?xml version="1.0" encoding="utf-8"?>
<ds:datastoreItem xmlns:ds="http://schemas.openxmlformats.org/officeDocument/2006/customXml" ds:itemID="{D7B35219-1B9B-4F20-8139-F7C280D6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A9FF5-A3DB-459A-A17B-4E2A435C0E77}">
  <ds:schemaRefs>
    <ds:schemaRef ds:uri="http://schemas.openxmlformats.org/officeDocument/2006/bibliography"/>
  </ds:schemaRefs>
</ds:datastoreItem>
</file>

<file path=customXml/itemProps5.xml><?xml version="1.0" encoding="utf-8"?>
<ds:datastoreItem xmlns:ds="http://schemas.openxmlformats.org/officeDocument/2006/customXml" ds:itemID="{964CE973-7ECA-4265-AC98-366E67CEF8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PS EWIS One Pager</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EWIS One Pager</dc:title>
  <dc:subject/>
  <dc:creator>DESE</dc:creator>
  <cp:keywords/>
  <dc:description/>
  <cp:lastModifiedBy>Zou, Dong (EOE)</cp:lastModifiedBy>
  <cp:revision>35</cp:revision>
  <cp:lastPrinted>2018-07-19T22:23:00Z</cp:lastPrinted>
  <dcterms:created xsi:type="dcterms:W3CDTF">2023-06-21T17:06:00Z</dcterms:created>
  <dcterms:modified xsi:type="dcterms:W3CDTF">2023-06-27T20:54:00Z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2023 12:00AM</vt:lpwstr>
  </property>
</Properties>
</file>