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3A3CBE13" w14:textId="39724EA8" w:rsidR="00496D6C" w:rsidRDefault="003F5502" w:rsidP="003F5502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6ECB9C40">
                    <wp:simplePos x="0" y="0"/>
                    <wp:positionH relativeFrom="margin">
                      <wp:posOffset>62653</wp:posOffset>
                    </wp:positionH>
                    <wp:positionV relativeFrom="page">
                      <wp:posOffset>6973146</wp:posOffset>
                    </wp:positionV>
                    <wp:extent cx="5654040" cy="1962150"/>
                    <wp:effectExtent l="0" t="0" r="0" b="635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962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3AFFB3DA" w:rsidR="00F1063F" w:rsidRPr="006D683D" w:rsidRDefault="005236D7" w:rsidP="00756FFE">
                                <w:pPr>
                                  <w:pStyle w:val="Title"/>
                                  <w:spacing w:line="276" w:lineRule="auto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2818D1" w:rsidRPr="006D683D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 xml:space="preserve">CTE Frameworks - </w:t>
                                    </w:r>
                                    <w:r w:rsidR="00370AF8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  <w:r w:rsidR="002818D1" w:rsidRPr="006D683D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 xml:space="preserve">uto </w:t>
                                    </w:r>
                                    <w:r w:rsidR="00370AF8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</w:t>
                                    </w:r>
                                    <w:r w:rsidR="002818D1" w:rsidRPr="006D683D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 xml:space="preserve">ollision </w:t>
                                    </w:r>
                                    <w:r w:rsidR="00370AF8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E</w:t>
                                    </w:r>
                                    <w:r w:rsidR="002818D1" w:rsidRPr="006D683D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qu</w:t>
                                    </w:r>
                                    <w:r w:rsidR="006D683D" w:rsidRPr="006D683D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i</w:t>
                                    </w:r>
                                    <w:r w:rsidR="002818D1" w:rsidRPr="006D683D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 xml:space="preserve">pment </w:t>
                                    </w:r>
                                    <w:r w:rsidR="00370AF8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L</w:t>
                                    </w:r>
                                    <w:r w:rsidR="002818D1" w:rsidRPr="006D683D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Barlow Semi Condensed" w:hAnsi="Barlow Semi Condensed"/>
                                    <w:b w:val="0"/>
                                    <w:caps/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681D79EE" w:rsidR="00F1063F" w:rsidRPr="00756FFE" w:rsidRDefault="00752266" w:rsidP="00756FFE">
                                    <w:pPr>
                                      <w:pStyle w:val="Title"/>
                                      <w:spacing w:line="276" w:lineRule="auto"/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4.95pt;margin-top:549.05pt;width:445.2pt;height:154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" filled="f" stroked="f" strokeweight=".5pt">
                    <v:textbox inset="0,0,0,0">
                      <w:txbxContent>
                        <w:p w14:paraId="212A3F09" w14:textId="3AFFB3DA" w:rsidR="00F1063F" w:rsidRPr="006D683D" w:rsidRDefault="005236D7" w:rsidP="00756FFE">
                          <w:pPr>
                            <w:pStyle w:val="Title"/>
                            <w:spacing w:line="276" w:lineRule="auto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2818D1" w:rsidRPr="006D683D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 xml:space="preserve">CTE Frameworks - </w:t>
                              </w:r>
                              <w:r w:rsidR="00370AF8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A</w:t>
                              </w:r>
                              <w:r w:rsidR="002818D1" w:rsidRPr="006D683D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 xml:space="preserve">uto </w:t>
                              </w:r>
                              <w:r w:rsidR="00370AF8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</w:t>
                              </w:r>
                              <w:r w:rsidR="002818D1" w:rsidRPr="006D683D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 xml:space="preserve">ollision </w:t>
                              </w:r>
                              <w:r w:rsidR="00370AF8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E</w:t>
                              </w:r>
                              <w:r w:rsidR="002818D1" w:rsidRPr="006D683D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qu</w:t>
                              </w:r>
                              <w:r w:rsidR="006D683D" w:rsidRPr="006D683D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i</w:t>
                              </w:r>
                              <w:r w:rsidR="002818D1" w:rsidRPr="006D683D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 xml:space="preserve">pment </w:t>
                              </w:r>
                              <w:r w:rsidR="00370AF8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L</w:t>
                              </w:r>
                              <w:r w:rsidR="002818D1" w:rsidRPr="006D683D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ist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Barlow Semi Condensed" w:hAnsi="Barlow Semi Condensed"/>
                              <w:b w:val="0"/>
                              <w:caps/>
                              <w:color w:val="767171" w:themeColor="background2" w:themeShade="80"/>
                              <w:sz w:val="20"/>
                              <w:szCs w:val="20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681D79EE" w:rsidR="00F1063F" w:rsidRPr="00756FFE" w:rsidRDefault="00752266" w:rsidP="00756FFE">
                              <w:pPr>
                                <w:pStyle w:val="Title"/>
                                <w:spacing w:line="276" w:lineRule="auto"/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599487BB" w14:textId="0A63603C" w:rsidR="007E4B72" w:rsidRDefault="003F5502" w:rsidP="00370AF8">
      <w:pPr>
        <w:pStyle w:val="Heading2"/>
      </w:pPr>
      <w:r w:rsidRPr="003F5502">
        <w:lastRenderedPageBreak/>
        <w:t>Equipment</w:t>
      </w:r>
      <w:r w:rsidR="007E4B72" w:rsidRPr="003F5502">
        <w:t xml:space="preserve"> include</w:t>
      </w:r>
      <w:r w:rsidRPr="003F5502">
        <w:t>s</w:t>
      </w:r>
      <w:r w:rsidR="007E4B72" w:rsidRPr="003F5502">
        <w:t>:</w:t>
      </w:r>
    </w:p>
    <w:p w14:paraId="6059BDCD" w14:textId="77777777" w:rsidR="003F5502" w:rsidRPr="003F5502" w:rsidRDefault="003F5502" w:rsidP="007E4B72">
      <w:pPr>
        <w:rPr>
          <w:rFonts w:eastAsia="Calibri" w:cs="Calibri"/>
          <w:szCs w:val="22"/>
        </w:rPr>
      </w:pPr>
    </w:p>
    <w:p w14:paraId="3227F62A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Self-piercing rivet gun</w:t>
      </w:r>
    </w:p>
    <w:p w14:paraId="421B6BF2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¼ inch structural rivet gun</w:t>
      </w:r>
    </w:p>
    <w:p w14:paraId="3108EFB8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Torque wrench</w:t>
      </w:r>
    </w:p>
    <w:p w14:paraId="3EE1204A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Plasma cutter</w:t>
      </w:r>
    </w:p>
    <w:p w14:paraId="5DA0846F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Dustless sanding system</w:t>
      </w:r>
    </w:p>
    <w:p w14:paraId="72057016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Computer-aided estimating software</w:t>
      </w:r>
    </w:p>
    <w:p w14:paraId="55A9ED0F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 xml:space="preserve">Diagnostic scan tool </w:t>
      </w:r>
    </w:p>
    <w:p w14:paraId="72F83608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Digital camera</w:t>
      </w:r>
    </w:p>
    <w:p w14:paraId="373DCC17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Factory recommended repair procedures software</w:t>
      </w:r>
    </w:p>
    <w:p w14:paraId="58CB5982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Aluminum dent repair station (including hammers, dollies, stud weld-on tool and pulling equipment, heat gun, non-contact thermometer)</w:t>
      </w:r>
    </w:p>
    <w:p w14:paraId="0C35B130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Steel stud weld-on tool</w:t>
      </w:r>
    </w:p>
    <w:p w14:paraId="02DB3391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Plastic airless welder</w:t>
      </w:r>
    </w:p>
    <w:p w14:paraId="2E55ECD6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Plastic nitrogen welder (A+)</w:t>
      </w:r>
    </w:p>
    <w:p w14:paraId="316B9933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Paintless dent repair equipment</w:t>
      </w:r>
    </w:p>
    <w:p w14:paraId="07E100A3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OEM recommended squeeze type resistance spot welder</w:t>
      </w:r>
    </w:p>
    <w:p w14:paraId="5DE22F26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Aluminum pulse welder</w:t>
      </w:r>
    </w:p>
    <w:p w14:paraId="4937BF03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Silicon bronze pulse welder</w:t>
      </w:r>
    </w:p>
    <w:p w14:paraId="7AA7B9BE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Welding fume extractor/ventilation system</w:t>
      </w:r>
    </w:p>
    <w:p w14:paraId="0F8D9E32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Dedicated frame machine</w:t>
      </w:r>
    </w:p>
    <w:p w14:paraId="46FA947E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3-D Computer aided measuring system</w:t>
      </w:r>
    </w:p>
    <w:p w14:paraId="161F85AF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Wheel alignment equipment</w:t>
      </w:r>
    </w:p>
    <w:p w14:paraId="5258513B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Tire mount</w:t>
      </w:r>
    </w:p>
    <w:p w14:paraId="2131294A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Wheel balance machine</w:t>
      </w:r>
    </w:p>
    <w:p w14:paraId="7609C216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134A Air condition servicing machine</w:t>
      </w:r>
    </w:p>
    <w:p w14:paraId="6F67CDC2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Electronic battery charger</w:t>
      </w:r>
    </w:p>
    <w:p w14:paraId="7C4D90C5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Digital volt ohm meter</w:t>
      </w:r>
    </w:p>
    <w:p w14:paraId="46B7DB2A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Battery jumper pack</w:t>
      </w:r>
    </w:p>
    <w:p w14:paraId="165FAF01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Hybrid/electric vehicle servicing equipment</w:t>
      </w:r>
    </w:p>
    <w:p w14:paraId="6FC97D8C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lastRenderedPageBreak/>
        <w:t>1234YF Air condition servicing machine</w:t>
      </w:r>
    </w:p>
    <w:p w14:paraId="1FE248F1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Headlight aiming equipment</w:t>
      </w:r>
    </w:p>
    <w:p w14:paraId="4714FA60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 xml:space="preserve">Advanced driver assistance systems calibration equipment </w:t>
      </w:r>
    </w:p>
    <w:p w14:paraId="0AD610E4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OSHA Compliant heated spray booth</w:t>
      </w:r>
    </w:p>
    <w:p w14:paraId="5152B067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Fresh air respirator system</w:t>
      </w:r>
    </w:p>
    <w:p w14:paraId="6C463462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 xml:space="preserve">Gun washer to clean both solvent and waterborne materials </w:t>
      </w:r>
    </w:p>
    <w:p w14:paraId="5C54930E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Color corrective light</w:t>
      </w:r>
    </w:p>
    <w:p w14:paraId="339A58E1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Spectrophotometer</w:t>
      </w:r>
    </w:p>
    <w:p w14:paraId="43506C95" w14:textId="77777777" w:rsidR="007E4B72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 w:cs="Calibri"/>
        </w:rPr>
      </w:pPr>
      <w:r w:rsidRPr="003F5502">
        <w:rPr>
          <w:rFonts w:eastAsia="Calibri" w:cs="Calibri"/>
        </w:rPr>
        <w:t>Pressure washer</w:t>
      </w:r>
    </w:p>
    <w:p w14:paraId="1953149E" w14:textId="7F62567C" w:rsidR="003454B9" w:rsidRPr="003F5502" w:rsidRDefault="007E4B72" w:rsidP="00752266">
      <w:pPr>
        <w:pStyle w:val="ListParagraph"/>
        <w:numPr>
          <w:ilvl w:val="0"/>
          <w:numId w:val="2"/>
        </w:numPr>
        <w:spacing w:after="120"/>
        <w:contextualSpacing w:val="0"/>
      </w:pPr>
      <w:r w:rsidRPr="003F5502">
        <w:rPr>
          <w:rFonts w:eastAsia="Calibri" w:cs="Calibri"/>
        </w:rPr>
        <w:t>Carpet extractor/steamer</w:t>
      </w:r>
    </w:p>
    <w:sectPr w:rsidR="003454B9" w:rsidRPr="003F5502" w:rsidSect="007223A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42C7" w14:textId="77777777" w:rsidR="003B5609" w:rsidRDefault="003B5609" w:rsidP="005C730B">
      <w:r>
        <w:separator/>
      </w:r>
    </w:p>
  </w:endnote>
  <w:endnote w:type="continuationSeparator" w:id="0">
    <w:p w14:paraId="0C8C296E" w14:textId="77777777" w:rsidR="003B5609" w:rsidRDefault="003B5609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 w:rsidP="003F55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3F5502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sdt>
    <w:sdtPr>
      <w:rPr>
        <w:rStyle w:val="PageNumber"/>
      </w:rPr>
      <w:id w:val="1390310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BAC29" w14:textId="3D7623E3" w:rsidR="003F5502" w:rsidRDefault="005236D7" w:rsidP="003F5502">
        <w:pPr>
          <w:pStyle w:val="Footer"/>
          <w:framePr w:wrap="none" w:vAnchor="text" w:hAnchor="page" w:x="10721" w:y="233"/>
          <w:rPr>
            <w:rStyle w:val="PageNumber"/>
          </w:rPr>
        </w:pPr>
      </w:p>
    </w:sdtContent>
  </w:sdt>
  <w:p w14:paraId="74071946" w14:textId="522AFB93" w:rsidR="0018351D" w:rsidRDefault="0018351D"/>
  <w:p w14:paraId="45046053" w14:textId="5F91315C" w:rsidR="00C46E97" w:rsidRDefault="00256C70">
    <w:r w:rsidRPr="00C122EC">
      <w:tab/>
    </w:r>
    <w:r w:rsidRPr="00C122EC">
      <w:tab/>
    </w:r>
    <w:r w:rsidR="003F5502">
      <w:tab/>
    </w:r>
    <w:r w:rsidR="003F5502">
      <w:tab/>
    </w:r>
    <w:r w:rsidR="003F5502">
      <w:tab/>
    </w:r>
    <w:r w:rsidR="003F5502">
      <w:tab/>
    </w:r>
    <w:r w:rsidR="003F5502">
      <w:tab/>
    </w:r>
    <w:r w:rsidR="003F5502">
      <w:tab/>
    </w:r>
    <w:r w:rsidR="003F5502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370AF8">
          <w:rPr>
            <w:b/>
          </w:rPr>
          <w:t>CTE Frameworks - Auto Collision Equipment List</w:t>
        </w:r>
      </w:sdtContent>
    </w:sdt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91F1CA8" wp14:editId="5AE81D7C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54176314" name="Picture 15417631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314" name="Picture 15417631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2A29" w14:textId="77777777" w:rsidR="003B5609" w:rsidRDefault="003B5609" w:rsidP="005C730B">
      <w:r>
        <w:separator/>
      </w:r>
    </w:p>
  </w:footnote>
  <w:footnote w:type="continuationSeparator" w:id="0">
    <w:p w14:paraId="2BF77E58" w14:textId="77777777" w:rsidR="003B5609" w:rsidRDefault="003B5609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69DA030B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522452477" name="Picture 522452477" descr="D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52477" name="Picture 522452477" descr="DE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7C223DA0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586437739" name="Picture 1586437739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437739" name="Picture 1586437739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32E8BDC9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9F22F1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271F0648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621A59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0174DC3E" w14:textId="77777777" w:rsidR="00C46E97" w:rsidRDefault="00C46E97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2280087E" w:rsidR="00F54CFE" w:rsidRDefault="003F5502" w:rsidP="003F5502">
    <w:pPr>
      <w:pStyle w:val="Header"/>
      <w:ind w:left="-900"/>
    </w:pPr>
    <w:r>
      <w:rPr>
        <w:noProof/>
      </w:rPr>
      <w:drawing>
        <wp:inline distT="0" distB="0" distL="0" distR="0" wp14:anchorId="014E278D" wp14:editId="7A591AC6">
          <wp:extent cx="7454477" cy="4969651"/>
          <wp:effectExtent l="0" t="0" r="635" b="0"/>
          <wp:docPr id="1855941914" name="Picture 1855941914" descr="A person wearing a mask and holding a tool to polish a c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941914" name="Picture 1855941914" descr="A person wearing a mask and holding a tool to polish a car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350" cy="4978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63EC6657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713396849" name="Picture 1713396849" descr="DESE Equipment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396849" name="Picture 1713396849" descr="DESE Equipment Lis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6138730D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DFFC2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EA8355E"/>
    <w:multiLevelType w:val="hybridMultilevel"/>
    <w:tmpl w:val="3920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1"/>
  </w:num>
  <w:num w:numId="2" w16cid:durableId="8414698">
    <w:abstractNumId w:val="2"/>
  </w:num>
  <w:num w:numId="3" w16cid:durableId="200994400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33F97"/>
    <w:rsid w:val="00047B9F"/>
    <w:rsid w:val="00051D71"/>
    <w:rsid w:val="000775CF"/>
    <w:rsid w:val="00077D71"/>
    <w:rsid w:val="00091C84"/>
    <w:rsid w:val="000D3B1D"/>
    <w:rsid w:val="000F330C"/>
    <w:rsid w:val="000F6982"/>
    <w:rsid w:val="0012463F"/>
    <w:rsid w:val="00135564"/>
    <w:rsid w:val="0018351D"/>
    <w:rsid w:val="001E0CA0"/>
    <w:rsid w:val="00227B9D"/>
    <w:rsid w:val="00250789"/>
    <w:rsid w:val="00256C70"/>
    <w:rsid w:val="00276DC9"/>
    <w:rsid w:val="002818D1"/>
    <w:rsid w:val="002B5AF4"/>
    <w:rsid w:val="002C2DBE"/>
    <w:rsid w:val="002C4D0B"/>
    <w:rsid w:val="003454B9"/>
    <w:rsid w:val="00350946"/>
    <w:rsid w:val="00370AF8"/>
    <w:rsid w:val="003B292E"/>
    <w:rsid w:val="003B5609"/>
    <w:rsid w:val="003C7C81"/>
    <w:rsid w:val="003F5502"/>
    <w:rsid w:val="00420AFF"/>
    <w:rsid w:val="00420CAC"/>
    <w:rsid w:val="00432C05"/>
    <w:rsid w:val="00436BFD"/>
    <w:rsid w:val="00480DC1"/>
    <w:rsid w:val="00494591"/>
    <w:rsid w:val="004947AA"/>
    <w:rsid w:val="00496D6C"/>
    <w:rsid w:val="004A5BC6"/>
    <w:rsid w:val="004B5407"/>
    <w:rsid w:val="005236D7"/>
    <w:rsid w:val="00550AD8"/>
    <w:rsid w:val="00575362"/>
    <w:rsid w:val="005942F2"/>
    <w:rsid w:val="005C730B"/>
    <w:rsid w:val="00617B59"/>
    <w:rsid w:val="006431F1"/>
    <w:rsid w:val="00660D5D"/>
    <w:rsid w:val="00664993"/>
    <w:rsid w:val="006D683D"/>
    <w:rsid w:val="007106B4"/>
    <w:rsid w:val="007223AF"/>
    <w:rsid w:val="00742A25"/>
    <w:rsid w:val="00750C59"/>
    <w:rsid w:val="00752266"/>
    <w:rsid w:val="007533D9"/>
    <w:rsid w:val="00756FFE"/>
    <w:rsid w:val="00777697"/>
    <w:rsid w:val="007833AD"/>
    <w:rsid w:val="00791BED"/>
    <w:rsid w:val="007E4B72"/>
    <w:rsid w:val="00830E14"/>
    <w:rsid w:val="00883047"/>
    <w:rsid w:val="008F6EB8"/>
    <w:rsid w:val="00920491"/>
    <w:rsid w:val="00956EE7"/>
    <w:rsid w:val="009635AC"/>
    <w:rsid w:val="0099030D"/>
    <w:rsid w:val="009907EE"/>
    <w:rsid w:val="009B30A3"/>
    <w:rsid w:val="009C54B1"/>
    <w:rsid w:val="009F6BBF"/>
    <w:rsid w:val="00A042F6"/>
    <w:rsid w:val="00A1082A"/>
    <w:rsid w:val="00A42E5E"/>
    <w:rsid w:val="00A50DB7"/>
    <w:rsid w:val="00AB463E"/>
    <w:rsid w:val="00AB4985"/>
    <w:rsid w:val="00AF3677"/>
    <w:rsid w:val="00AF51A2"/>
    <w:rsid w:val="00B3071D"/>
    <w:rsid w:val="00B44087"/>
    <w:rsid w:val="00B77A60"/>
    <w:rsid w:val="00BA5DBF"/>
    <w:rsid w:val="00BC558F"/>
    <w:rsid w:val="00C122EC"/>
    <w:rsid w:val="00C13BC0"/>
    <w:rsid w:val="00C20735"/>
    <w:rsid w:val="00C46E97"/>
    <w:rsid w:val="00C844E9"/>
    <w:rsid w:val="00CA7A16"/>
    <w:rsid w:val="00CB52BF"/>
    <w:rsid w:val="00CB5BE6"/>
    <w:rsid w:val="00CC1C69"/>
    <w:rsid w:val="00CE2A4D"/>
    <w:rsid w:val="00D0597C"/>
    <w:rsid w:val="00D244E0"/>
    <w:rsid w:val="00D768A3"/>
    <w:rsid w:val="00D93CC6"/>
    <w:rsid w:val="00DC4D0E"/>
    <w:rsid w:val="00DE33A8"/>
    <w:rsid w:val="00DE4323"/>
    <w:rsid w:val="00E038D8"/>
    <w:rsid w:val="00E2621F"/>
    <w:rsid w:val="00E412A3"/>
    <w:rsid w:val="00E71CDF"/>
    <w:rsid w:val="00E72EE3"/>
    <w:rsid w:val="00E80FD5"/>
    <w:rsid w:val="00E82D54"/>
    <w:rsid w:val="00EA4779"/>
    <w:rsid w:val="00ED1EB9"/>
    <w:rsid w:val="00ED2F4C"/>
    <w:rsid w:val="00EF4BCE"/>
    <w:rsid w:val="00F1063F"/>
    <w:rsid w:val="00F54CFE"/>
    <w:rsid w:val="00F9210E"/>
    <w:rsid w:val="00FC72F7"/>
    <w:rsid w:val="00FF0DD1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97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97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033F97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033F97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33F97"/>
    <w:pPr>
      <w:outlineLvl w:val="3"/>
    </w:pPr>
    <w:rPr>
      <w:bCs w:val="0"/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033F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F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F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033F97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33F97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3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F97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033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F97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033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F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F97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3F97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033F97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033F97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33F97"/>
  </w:style>
  <w:style w:type="paragraph" w:styleId="TOCHeading">
    <w:name w:val="TOC Heading"/>
    <w:basedOn w:val="Heading1"/>
    <w:next w:val="Normal"/>
    <w:uiPriority w:val="39"/>
    <w:unhideWhenUsed/>
    <w:qFormat/>
    <w:rsid w:val="00033F97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33F97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33F97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33F97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33F97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33F97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33F97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33F97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33F97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33F97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033F9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033F9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033F97"/>
    <w:pPr>
      <w:numPr>
        <w:numId w:val="3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033F97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33F97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033F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033F97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033F97"/>
    <w:rPr>
      <w:b/>
      <w:bCs/>
      <w:color w:val="002060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033F97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033F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033F97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F97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F97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table" w:styleId="TableGridLight">
    <w:name w:val="Grid Table Light"/>
    <w:basedOn w:val="TableNormal"/>
    <w:uiPriority w:val="40"/>
    <w:rsid w:val="00033F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F97"/>
    <w:rPr>
      <w:b/>
      <w:bCs/>
    </w:rPr>
  </w:style>
  <w:style w:type="character" w:styleId="Emphasis">
    <w:name w:val="Emphasis"/>
    <w:basedOn w:val="DefaultParagraphFont"/>
    <w:uiPriority w:val="20"/>
    <w:qFormat/>
    <w:rsid w:val="00033F9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33F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F9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5A1381-415C-4B5D-A7B7-09516D56C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B4CE8-3187-4251-8D25-07AA619D3AF0}">
  <ds:schemaRefs>
    <ds:schemaRef ds:uri="http://purl.org/dc/elements/1.1/"/>
    <ds:schemaRef ds:uri="http://schemas.microsoft.com/sharepoint/v3"/>
    <ds:schemaRef ds:uri="b9b8280f-533f-4ab1-999e-21e84614c560"/>
    <ds:schemaRef ds:uri="http://schemas.openxmlformats.org/package/2006/metadata/core-properties"/>
    <ds:schemaRef ds:uri="9a28d2e1-924e-4715-9bdb-0bef845c549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6</TotalTime>
  <Pages>3</Pages>
  <Words>151</Words>
  <Characters>1080</Characters>
  <Application>Microsoft Office Word</Application>
  <DocSecurity>0</DocSecurity>
  <Lines>41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 Collision Equipment List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Auto Collision Equipment List</dc:title>
  <dc:subject/>
  <dc:creator>DESE</dc:creator>
  <cp:keywords/>
  <dc:description/>
  <cp:lastModifiedBy>Zou, Dong (EOE)</cp:lastModifiedBy>
  <cp:revision>9</cp:revision>
  <dcterms:created xsi:type="dcterms:W3CDTF">2025-03-13T20:15:00Z</dcterms:created>
  <dcterms:modified xsi:type="dcterms:W3CDTF">2025-07-07T19:40:00Z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