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11332" w14:textId="14131742" w:rsidR="00DA559F" w:rsidRPr="00333588" w:rsidRDefault="00333588">
      <w:pPr>
        <w:rPr>
          <w:rFonts w:asciiTheme="minorHAnsi" w:hAnsiTheme="minorHAnsi" w:cstheme="minorHAnsi"/>
          <w:b/>
          <w:bCs/>
          <w:sz w:val="28"/>
          <w:szCs w:val="28"/>
        </w:rPr>
      </w:pPr>
      <w:bookmarkStart w:id="0" w:name="_GoBack"/>
      <w:bookmarkEnd w:id="0"/>
      <w:r w:rsidRPr="00333588">
        <w:rPr>
          <w:rFonts w:asciiTheme="minorHAnsi" w:hAnsiTheme="minorHAnsi" w:cstheme="minorHAnsi"/>
          <w:b/>
          <w:bCs/>
          <w:sz w:val="28"/>
          <w:szCs w:val="28"/>
        </w:rPr>
        <w:t>Implementing Equal Access to CTE Programs</w:t>
      </w:r>
    </w:p>
    <w:p w14:paraId="6F65E451" w14:textId="361B0943" w:rsidR="00333588" w:rsidRDefault="00333588">
      <w:pPr>
        <w:rPr>
          <w:rFonts w:asciiTheme="minorHAnsi" w:hAnsiTheme="minorHAnsi" w:cstheme="minorHAnsi"/>
          <w:sz w:val="20"/>
          <w:szCs w:val="20"/>
        </w:rPr>
      </w:pPr>
    </w:p>
    <w:p w14:paraId="0C0CF259" w14:textId="7CEB21F7" w:rsidR="0004015C" w:rsidRPr="0004015C" w:rsidRDefault="00333588" w:rsidP="0004015C">
      <w:pPr>
        <w:rPr>
          <w:rFonts w:asciiTheme="minorHAnsi" w:hAnsiTheme="minorHAnsi" w:cstheme="minorHAnsi"/>
          <w:i/>
          <w:iCs/>
          <w:sz w:val="20"/>
          <w:szCs w:val="20"/>
        </w:rPr>
      </w:pPr>
      <w:r w:rsidRPr="0004015C">
        <w:rPr>
          <w:rFonts w:asciiTheme="minorHAnsi" w:hAnsiTheme="minorHAnsi" w:cstheme="minorHAnsi"/>
          <w:sz w:val="20"/>
          <w:szCs w:val="20"/>
        </w:rPr>
        <w:t>The purpose of the Perkins Act is to develop more fully the academic knowledge and technical and employability skills of secondary and postsecondary education students who elect to enroll in career and technical education programs and program of study by various approaches, for populations who are chronically unemployed or underemployed including students in various population groups</w:t>
      </w:r>
      <w:r w:rsidR="0004015C">
        <w:rPr>
          <w:rFonts w:asciiTheme="minorHAnsi" w:hAnsiTheme="minorHAnsi" w:cstheme="minorHAnsi"/>
          <w:sz w:val="20"/>
          <w:szCs w:val="20"/>
        </w:rPr>
        <w:t xml:space="preserve">; in short, </w:t>
      </w:r>
      <w:r w:rsidR="00B444FA" w:rsidRPr="0004015C">
        <w:rPr>
          <w:rFonts w:asciiTheme="minorHAnsi" w:hAnsiTheme="minorHAnsi" w:cstheme="minorHAnsi"/>
          <w:sz w:val="20"/>
          <w:szCs w:val="20"/>
        </w:rPr>
        <w:t>making progress on implementation of equal access for all students.</w:t>
      </w:r>
      <w:r w:rsidR="0004015C" w:rsidRPr="0004015C">
        <w:rPr>
          <w:rFonts w:asciiTheme="minorHAnsi" w:hAnsiTheme="minorHAnsi" w:cstheme="minorHAnsi"/>
          <w:sz w:val="20"/>
          <w:szCs w:val="20"/>
        </w:rPr>
        <w:t xml:space="preserve"> </w:t>
      </w:r>
      <w:r w:rsidR="00F15D35">
        <w:rPr>
          <w:rFonts w:asciiTheme="minorHAnsi" w:hAnsiTheme="minorHAnsi" w:cstheme="minorHAnsi"/>
          <w:sz w:val="20"/>
          <w:szCs w:val="20"/>
        </w:rPr>
        <w:t>Addressing e</w:t>
      </w:r>
      <w:r w:rsidR="0004015C" w:rsidRPr="0004015C">
        <w:rPr>
          <w:rFonts w:asciiTheme="minorHAnsi" w:hAnsiTheme="minorHAnsi" w:cstheme="minorHAnsi"/>
          <w:sz w:val="20"/>
          <w:szCs w:val="20"/>
        </w:rPr>
        <w:t>quity – treating students fairly; providing what they need to be successful; acknowledging and addressing historic or current barriers – is a strategy to achiev</w:t>
      </w:r>
      <w:r w:rsidR="00F15D35">
        <w:rPr>
          <w:rFonts w:asciiTheme="minorHAnsi" w:hAnsiTheme="minorHAnsi" w:cstheme="minorHAnsi"/>
          <w:sz w:val="20"/>
          <w:szCs w:val="20"/>
        </w:rPr>
        <w:t>ing</w:t>
      </w:r>
      <w:r w:rsidR="0004015C" w:rsidRPr="0004015C">
        <w:rPr>
          <w:rFonts w:asciiTheme="minorHAnsi" w:hAnsiTheme="minorHAnsi" w:cstheme="minorHAnsi"/>
          <w:sz w:val="20"/>
          <w:szCs w:val="20"/>
        </w:rPr>
        <w:t xml:space="preserve"> equal access. </w:t>
      </w:r>
    </w:p>
    <w:p w14:paraId="673AE56C" w14:textId="41885B3A" w:rsidR="00333588" w:rsidRPr="00C71011" w:rsidRDefault="00333588">
      <w:pPr>
        <w:rPr>
          <w:rFonts w:asciiTheme="minorHAnsi" w:hAnsiTheme="minorHAnsi" w:cstheme="minorHAnsi"/>
          <w:sz w:val="20"/>
          <w:szCs w:val="20"/>
        </w:rPr>
      </w:pPr>
    </w:p>
    <w:p w14:paraId="0559A24C" w14:textId="3AF62738" w:rsidR="00333588" w:rsidRPr="00C71011" w:rsidRDefault="00F22A9E" w:rsidP="0004015C">
      <w:pPr>
        <w:rPr>
          <w:rFonts w:asciiTheme="minorHAnsi" w:hAnsiTheme="minorHAnsi" w:cstheme="minorHAnsi"/>
          <w:sz w:val="20"/>
          <w:szCs w:val="20"/>
        </w:rPr>
      </w:pPr>
      <w:r w:rsidRPr="00C71011">
        <w:rPr>
          <w:rFonts w:asciiTheme="minorHAnsi" w:hAnsiTheme="minorHAnsi" w:cstheme="minorHAnsi"/>
          <w:sz w:val="20"/>
          <w:szCs w:val="20"/>
        </w:rPr>
        <w:t>Regarding</w:t>
      </w:r>
      <w:r w:rsidR="00333588" w:rsidRPr="00C71011">
        <w:rPr>
          <w:rFonts w:asciiTheme="minorHAnsi" w:hAnsiTheme="minorHAnsi" w:cstheme="minorHAnsi"/>
          <w:sz w:val="20"/>
          <w:szCs w:val="20"/>
        </w:rPr>
        <w:t xml:space="preserve"> access, there are several components for districts, institutions and collaboratives to consider: </w:t>
      </w:r>
    </w:p>
    <w:p w14:paraId="2DAA9B65" w14:textId="6F114755" w:rsidR="00E6185E" w:rsidRPr="00E6185E" w:rsidRDefault="00E6185E" w:rsidP="0004015C">
      <w:pPr>
        <w:pStyle w:val="ListParagraph"/>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0"/>
          <w:szCs w:val="20"/>
        </w:rPr>
      </w:pPr>
      <w:r>
        <w:rPr>
          <w:rFonts w:asciiTheme="minorHAnsi" w:hAnsiTheme="minorHAnsi" w:cstheme="minorHAnsi"/>
          <w:sz w:val="20"/>
          <w:szCs w:val="20"/>
        </w:rPr>
        <w:t>Access conversations start with data. In t</w:t>
      </w:r>
      <w:r w:rsidRPr="00C71011">
        <w:rPr>
          <w:rFonts w:asciiTheme="minorHAnsi" w:hAnsiTheme="minorHAnsi" w:cstheme="minorHAnsi"/>
          <w:sz w:val="20"/>
          <w:szCs w:val="20"/>
        </w:rPr>
        <w:t xml:space="preserve">he </w:t>
      </w:r>
      <w:r w:rsidRPr="00AC0414">
        <w:rPr>
          <w:rFonts w:asciiTheme="minorHAnsi" w:hAnsiTheme="minorHAnsi" w:cstheme="minorHAnsi"/>
          <w:b/>
          <w:bCs/>
          <w:sz w:val="20"/>
          <w:szCs w:val="20"/>
        </w:rPr>
        <w:t>Comprehensive Local Needs Assessment</w:t>
      </w:r>
      <w:r>
        <w:rPr>
          <w:rFonts w:asciiTheme="minorHAnsi" w:hAnsiTheme="minorHAnsi" w:cstheme="minorHAnsi"/>
          <w:b/>
          <w:bCs/>
          <w:sz w:val="20"/>
          <w:szCs w:val="20"/>
        </w:rPr>
        <w:t>,</w:t>
      </w:r>
      <w:r w:rsidRPr="00C71011">
        <w:rPr>
          <w:rFonts w:asciiTheme="minorHAnsi" w:hAnsiTheme="minorHAnsi" w:cstheme="minorHAnsi"/>
          <w:sz w:val="20"/>
          <w:szCs w:val="20"/>
        </w:rPr>
        <w:t xml:space="preserve"> </w:t>
      </w:r>
      <w:r>
        <w:rPr>
          <w:rFonts w:asciiTheme="minorHAnsi" w:hAnsiTheme="minorHAnsi" w:cstheme="minorHAnsi"/>
          <w:sz w:val="20"/>
          <w:szCs w:val="20"/>
        </w:rPr>
        <w:t>d</w:t>
      </w:r>
      <w:r w:rsidRPr="00C71011">
        <w:rPr>
          <w:rFonts w:asciiTheme="minorHAnsi" w:hAnsiTheme="minorHAnsi" w:cstheme="minorHAnsi"/>
          <w:sz w:val="20"/>
          <w:szCs w:val="20"/>
        </w:rPr>
        <w:t>istricts disaggregate enrollment and performance for population groups</w:t>
      </w:r>
      <w:r>
        <w:rPr>
          <w:rFonts w:asciiTheme="minorHAnsi" w:hAnsiTheme="minorHAnsi" w:cstheme="minorHAnsi"/>
          <w:sz w:val="20"/>
          <w:szCs w:val="20"/>
        </w:rPr>
        <w:t xml:space="preserve"> and examine this for progress toward implementing equal access, </w:t>
      </w:r>
      <w:r w:rsidRPr="00C71011">
        <w:rPr>
          <w:rFonts w:asciiTheme="minorHAnsi" w:hAnsiTheme="minorHAnsi" w:cstheme="minorHAnsi"/>
          <w:sz w:val="20"/>
          <w:szCs w:val="20"/>
        </w:rPr>
        <w:t>in consultation with stakeholders</w:t>
      </w:r>
      <w:r>
        <w:rPr>
          <w:rFonts w:asciiTheme="minorHAnsi" w:hAnsiTheme="minorHAnsi" w:cstheme="minorHAnsi"/>
          <w:sz w:val="20"/>
          <w:szCs w:val="20"/>
        </w:rPr>
        <w:t xml:space="preserve">. </w:t>
      </w:r>
      <w:r w:rsidRPr="00C71011">
        <w:rPr>
          <w:rFonts w:asciiTheme="minorHAnsi" w:hAnsiTheme="minorHAnsi" w:cstheme="minorHAnsi"/>
          <w:sz w:val="20"/>
          <w:szCs w:val="20"/>
        </w:rPr>
        <w:t xml:space="preserve">This may lead to strategies to overcome access and performance barriers. </w:t>
      </w:r>
      <w:r w:rsidRPr="00C71011">
        <w:rPr>
          <w:rFonts w:asciiTheme="minorHAnsi" w:hAnsiTheme="minorHAnsi" w:cstheme="minorHAnsi"/>
          <w:i/>
          <w:iCs/>
          <w:sz w:val="20"/>
          <w:szCs w:val="20"/>
        </w:rPr>
        <w:t>Perkins Sections 134.</w:t>
      </w:r>
    </w:p>
    <w:p w14:paraId="74DA4368" w14:textId="2560431E" w:rsidR="00333588" w:rsidRPr="00C71011" w:rsidRDefault="00333588" w:rsidP="00333588">
      <w:pPr>
        <w:pStyle w:val="ListParagraph"/>
        <w:numPr>
          <w:ilvl w:val="0"/>
          <w:numId w:val="1"/>
        </w:numPr>
        <w:rPr>
          <w:rFonts w:asciiTheme="minorHAnsi" w:hAnsiTheme="minorHAnsi" w:cstheme="minorHAnsi"/>
          <w:i/>
          <w:iCs/>
          <w:sz w:val="20"/>
          <w:szCs w:val="20"/>
        </w:rPr>
      </w:pPr>
      <w:r w:rsidRPr="00AC0414">
        <w:rPr>
          <w:rFonts w:asciiTheme="minorHAnsi" w:hAnsiTheme="minorHAnsi" w:cstheme="minorHAnsi"/>
          <w:b/>
          <w:bCs/>
          <w:sz w:val="20"/>
          <w:szCs w:val="20"/>
        </w:rPr>
        <w:t>Information concerning career/vocational technical education programs</w:t>
      </w:r>
      <w:r w:rsidRPr="00AC0414">
        <w:rPr>
          <w:rFonts w:asciiTheme="minorHAnsi" w:hAnsiTheme="minorHAnsi" w:cstheme="minorHAnsi"/>
          <w:sz w:val="20"/>
          <w:szCs w:val="20"/>
        </w:rPr>
        <w:t xml:space="preserve"> is provided to students and to their parents/guardians. Such</w:t>
      </w:r>
      <w:r w:rsidRPr="00C71011">
        <w:rPr>
          <w:rFonts w:asciiTheme="minorHAnsi" w:hAnsiTheme="minorHAnsi" w:cstheme="minorHAnsi"/>
          <w:sz w:val="20"/>
          <w:szCs w:val="20"/>
        </w:rPr>
        <w:t xml:space="preserve"> information shall include admission requirements for career/vocational technical programs; specific programs/courses that are available; employment and/or further education and registered apprenticeship opportunities. </w:t>
      </w:r>
      <w:r w:rsidRPr="00C71011">
        <w:rPr>
          <w:rFonts w:asciiTheme="minorHAnsi" w:hAnsiTheme="minorHAnsi" w:cstheme="minorHAnsi"/>
          <w:i/>
          <w:iCs/>
          <w:sz w:val="20"/>
          <w:szCs w:val="20"/>
        </w:rPr>
        <w:t>Perkins Section 134, Vocational Technical Education Regulations 603 CMR 4.03 (4) (6).</w:t>
      </w:r>
    </w:p>
    <w:p w14:paraId="137406B1" w14:textId="5294CA6A" w:rsidR="00333588" w:rsidRPr="00C71011" w:rsidRDefault="00333588" w:rsidP="00333588">
      <w:pPr>
        <w:pStyle w:val="ListParagraph"/>
        <w:numPr>
          <w:ilvl w:val="0"/>
          <w:numId w:val="1"/>
        </w:numPr>
        <w:autoSpaceDE w:val="0"/>
        <w:autoSpaceDN w:val="0"/>
        <w:adjustRightInd w:val="0"/>
        <w:rPr>
          <w:rFonts w:asciiTheme="minorHAnsi" w:hAnsiTheme="minorHAnsi" w:cstheme="minorHAnsi"/>
          <w:b/>
          <w:bCs/>
          <w:i/>
          <w:iCs/>
          <w:sz w:val="20"/>
          <w:szCs w:val="20"/>
        </w:rPr>
      </w:pPr>
      <w:r w:rsidRPr="00C71011">
        <w:rPr>
          <w:rFonts w:asciiTheme="minorHAnsi" w:hAnsiTheme="minorHAnsi" w:cstheme="minorHAnsi"/>
          <w:sz w:val="20"/>
          <w:szCs w:val="20"/>
        </w:rPr>
        <w:t xml:space="preserve">All individuals </w:t>
      </w:r>
      <w:r w:rsidRPr="00AC0414">
        <w:rPr>
          <w:rFonts w:asciiTheme="minorHAnsi" w:hAnsiTheme="minorHAnsi" w:cstheme="minorHAnsi"/>
          <w:b/>
          <w:bCs/>
          <w:sz w:val="20"/>
          <w:szCs w:val="20"/>
        </w:rPr>
        <w:t>including those who are members of special populations</w:t>
      </w:r>
      <w:r w:rsidRPr="00C71011">
        <w:rPr>
          <w:rFonts w:asciiTheme="minorHAnsi" w:hAnsiTheme="minorHAnsi" w:cstheme="minorHAnsi"/>
          <w:sz w:val="20"/>
          <w:szCs w:val="20"/>
        </w:rPr>
        <w:t xml:space="preserve"> are provided with equal access to career/vocational technical education programs, services and activities and are not discriminated against on the basis of their status as members of special populations or race, color, sex, national origin, disability, religion, sexual orientation, gender identity, English language proficiency, disability, sexual orientation, or homelessness. </w:t>
      </w:r>
      <w:r w:rsidRPr="00C71011">
        <w:rPr>
          <w:rFonts w:asciiTheme="minorHAnsi" w:hAnsiTheme="minorHAnsi" w:cstheme="minorHAnsi"/>
          <w:i/>
          <w:iCs/>
          <w:sz w:val="20"/>
          <w:szCs w:val="20"/>
        </w:rPr>
        <w:t>Perkins Sections</w:t>
      </w:r>
      <w:r w:rsidR="00F92D16" w:rsidRPr="00C71011">
        <w:rPr>
          <w:rFonts w:asciiTheme="minorHAnsi" w:hAnsiTheme="minorHAnsi" w:cstheme="minorHAnsi"/>
          <w:i/>
          <w:iCs/>
          <w:sz w:val="20"/>
          <w:szCs w:val="20"/>
        </w:rPr>
        <w:t xml:space="preserve"> </w:t>
      </w:r>
      <w:r w:rsidRPr="00C71011">
        <w:rPr>
          <w:rFonts w:asciiTheme="minorHAnsi" w:hAnsiTheme="minorHAnsi" w:cstheme="minorHAnsi"/>
          <w:i/>
          <w:iCs/>
          <w:sz w:val="20"/>
          <w:szCs w:val="20"/>
        </w:rPr>
        <w:t>122</w:t>
      </w:r>
      <w:r w:rsidR="00F92D16" w:rsidRPr="00C71011">
        <w:rPr>
          <w:rFonts w:asciiTheme="minorHAnsi" w:hAnsiTheme="minorHAnsi" w:cstheme="minorHAnsi"/>
          <w:i/>
          <w:iCs/>
          <w:sz w:val="20"/>
          <w:szCs w:val="20"/>
        </w:rPr>
        <w:t>, 133</w:t>
      </w:r>
      <w:r w:rsidRPr="00C71011">
        <w:rPr>
          <w:rFonts w:asciiTheme="minorHAnsi" w:hAnsiTheme="minorHAnsi" w:cstheme="minorHAnsi"/>
          <w:i/>
          <w:iCs/>
          <w:sz w:val="20"/>
          <w:szCs w:val="20"/>
        </w:rPr>
        <w:t xml:space="preserve"> &amp; 134, Vocational Technical Education Regulations 603 CMR 4.03(4) (6) (7), M.G.L.c.76, Section 5.</w:t>
      </w:r>
    </w:p>
    <w:p w14:paraId="4D298495" w14:textId="4B21D136" w:rsidR="00C71011" w:rsidRPr="00220E9A" w:rsidRDefault="00333588" w:rsidP="00F92D16">
      <w:pPr>
        <w:pStyle w:val="ListParagraph"/>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Theme="minorHAnsi" w:hAnsiTheme="minorHAnsi" w:cstheme="minorHAnsi"/>
          <w:iCs/>
          <w:sz w:val="20"/>
          <w:szCs w:val="20"/>
        </w:rPr>
      </w:pPr>
      <w:r w:rsidRPr="00C71011">
        <w:rPr>
          <w:rFonts w:asciiTheme="minorHAnsi" w:hAnsiTheme="minorHAnsi" w:cstheme="minorHAnsi"/>
          <w:sz w:val="20"/>
          <w:szCs w:val="20"/>
        </w:rPr>
        <w:t xml:space="preserve">Chapter 74-approved programs are required to use a state-approved application for </w:t>
      </w:r>
      <w:r w:rsidRPr="00AC0414">
        <w:rPr>
          <w:rFonts w:asciiTheme="minorHAnsi" w:hAnsiTheme="minorHAnsi" w:cstheme="minorHAnsi"/>
          <w:b/>
          <w:bCs/>
          <w:sz w:val="20"/>
          <w:szCs w:val="20"/>
        </w:rPr>
        <w:t>admission</w:t>
      </w:r>
      <w:r w:rsidRPr="00C71011">
        <w:rPr>
          <w:rFonts w:asciiTheme="minorHAnsi" w:hAnsiTheme="minorHAnsi" w:cstheme="minorHAnsi"/>
          <w:sz w:val="20"/>
          <w:szCs w:val="20"/>
        </w:rPr>
        <w:t xml:space="preserve">. Perkins programs are required to have a </w:t>
      </w:r>
      <w:r w:rsidRPr="002757AD">
        <w:rPr>
          <w:rFonts w:asciiTheme="minorHAnsi" w:hAnsiTheme="minorHAnsi" w:cstheme="minorHAnsi"/>
          <w:b/>
          <w:bCs/>
          <w:sz w:val="20"/>
          <w:szCs w:val="20"/>
        </w:rPr>
        <w:t>written policy</w:t>
      </w:r>
      <w:r w:rsidRPr="00C71011">
        <w:rPr>
          <w:rFonts w:asciiTheme="minorHAnsi" w:hAnsiTheme="minorHAnsi" w:cstheme="minorHAnsi"/>
          <w:sz w:val="20"/>
          <w:szCs w:val="20"/>
        </w:rPr>
        <w:t xml:space="preserve"> (including a waitlist process) although this does not need to be state-approved. </w:t>
      </w:r>
      <w:r w:rsidRPr="00C71011">
        <w:rPr>
          <w:rFonts w:asciiTheme="minorHAnsi" w:hAnsiTheme="minorHAnsi" w:cstheme="minorHAnsi"/>
          <w:i/>
          <w:iCs/>
          <w:sz w:val="20"/>
          <w:szCs w:val="20"/>
        </w:rPr>
        <w:t>Vocational Technical Education Regulations 603 CMR 4.03(6). M.G.L. c. 76, Section 5.</w:t>
      </w:r>
    </w:p>
    <w:p w14:paraId="5676CFFA" w14:textId="77777777" w:rsidR="00C71011" w:rsidRPr="00423BD1" w:rsidRDefault="00C71011" w:rsidP="00423BD1">
      <w:pPr>
        <w:rPr>
          <w:rFonts w:asciiTheme="minorHAnsi" w:hAnsiTheme="minorHAnsi" w:cstheme="minorHAnsi"/>
          <w:sz w:val="20"/>
          <w:szCs w:val="20"/>
        </w:rPr>
      </w:pPr>
    </w:p>
    <w:p w14:paraId="3DB2C293" w14:textId="77777777" w:rsidR="00333588" w:rsidRPr="00423BD1" w:rsidRDefault="00333588" w:rsidP="00333588">
      <w:pPr>
        <w:pStyle w:val="BodyText"/>
        <w:rPr>
          <w:rFonts w:asciiTheme="minorHAnsi" w:hAnsiTheme="minorHAnsi" w:cstheme="minorHAnsi"/>
          <w:b/>
          <w:bCs/>
          <w:sz w:val="20"/>
          <w:szCs w:val="20"/>
        </w:rPr>
      </w:pPr>
      <w:r w:rsidRPr="00423BD1">
        <w:rPr>
          <w:rFonts w:asciiTheme="minorHAnsi" w:hAnsiTheme="minorHAnsi" w:cstheme="minorHAnsi"/>
          <w:b/>
          <w:bCs/>
          <w:sz w:val="20"/>
          <w:szCs w:val="20"/>
        </w:rPr>
        <w:t>References:</w:t>
      </w:r>
    </w:p>
    <w:p w14:paraId="6DE3A259" w14:textId="77777777" w:rsidR="00333588" w:rsidRPr="00220E9A" w:rsidRDefault="00333588" w:rsidP="00333588">
      <w:pPr>
        <w:pStyle w:val="BodyText"/>
        <w:rPr>
          <w:rFonts w:asciiTheme="minorHAnsi" w:hAnsiTheme="minorHAnsi" w:cstheme="minorHAnsi"/>
          <w:sz w:val="20"/>
          <w:szCs w:val="20"/>
        </w:rPr>
      </w:pPr>
      <w:r w:rsidRPr="00220E9A">
        <w:rPr>
          <w:rFonts w:asciiTheme="minorHAnsi" w:hAnsiTheme="minorHAnsi" w:cstheme="minorHAnsi"/>
          <w:sz w:val="20"/>
          <w:szCs w:val="20"/>
        </w:rPr>
        <w:t>Carl D. Perkins Strengthening Career and Technical Education in the 21st Century Act (Perkins V)</w:t>
      </w:r>
    </w:p>
    <w:p w14:paraId="0DDF5819" w14:textId="016C81E7" w:rsidR="00333588" w:rsidRPr="00220E9A" w:rsidRDefault="00333588" w:rsidP="00333588">
      <w:pPr>
        <w:pStyle w:val="BodyText"/>
        <w:rPr>
          <w:rFonts w:asciiTheme="minorHAnsi" w:hAnsiTheme="minorHAnsi" w:cstheme="minorHAnsi"/>
          <w:sz w:val="20"/>
          <w:szCs w:val="20"/>
        </w:rPr>
      </w:pPr>
      <w:r w:rsidRPr="00220E9A">
        <w:rPr>
          <w:rFonts w:asciiTheme="minorHAnsi" w:hAnsiTheme="minorHAnsi" w:cstheme="minorHAnsi"/>
          <w:sz w:val="20"/>
          <w:szCs w:val="20"/>
        </w:rPr>
        <w:tab/>
      </w:r>
      <w:hyperlink r:id="rId9" w:tgtFrame="_blank" w:history="1">
        <w:r w:rsidRPr="00220E9A">
          <w:rPr>
            <w:rStyle w:val="Hyperlink"/>
            <w:rFonts w:asciiTheme="minorHAnsi" w:hAnsiTheme="minorHAnsi" w:cstheme="minorHAnsi"/>
            <w:sz w:val="20"/>
            <w:szCs w:val="20"/>
          </w:rPr>
          <w:t>https://cte.careertech.org/sites/default/files/PerkinsV_September2018.pdf</w:t>
        </w:r>
      </w:hyperlink>
    </w:p>
    <w:p w14:paraId="2055D6A3" w14:textId="4BAEE8C3" w:rsidR="00F22A9E" w:rsidRPr="00220E9A" w:rsidRDefault="00F22A9E" w:rsidP="00F22A9E">
      <w:pPr>
        <w:pStyle w:val="BodyText"/>
        <w:rPr>
          <w:rFonts w:asciiTheme="minorHAnsi" w:hAnsiTheme="minorHAnsi" w:cstheme="minorHAnsi"/>
          <w:sz w:val="20"/>
          <w:szCs w:val="20"/>
          <w:u w:val="single"/>
        </w:rPr>
      </w:pPr>
      <w:r w:rsidRPr="00220E9A">
        <w:rPr>
          <w:rFonts w:asciiTheme="minorHAnsi" w:hAnsiTheme="minorHAnsi" w:cstheme="minorHAnsi"/>
          <w:sz w:val="20"/>
          <w:szCs w:val="20"/>
        </w:rPr>
        <w:t xml:space="preserve">Massachusetts Perkins V Manual </w:t>
      </w:r>
      <w:hyperlink r:id="rId10" w:history="1">
        <w:r w:rsidRPr="00220E9A">
          <w:rPr>
            <w:rStyle w:val="Hyperlink"/>
            <w:rFonts w:asciiTheme="minorHAnsi" w:hAnsiTheme="minorHAnsi" w:cstheme="minorHAnsi"/>
            <w:sz w:val="20"/>
            <w:szCs w:val="20"/>
          </w:rPr>
          <w:t>http://www.doe.mass.edu/ccte/cvte/perkins-v/</w:t>
        </w:r>
      </w:hyperlink>
    </w:p>
    <w:p w14:paraId="400B9EE9" w14:textId="77777777" w:rsidR="00220E9A" w:rsidRPr="00220E9A" w:rsidRDefault="00220E9A" w:rsidP="00F22A9E">
      <w:pPr>
        <w:pStyle w:val="BodyText"/>
        <w:rPr>
          <w:rFonts w:asciiTheme="minorHAnsi" w:hAnsiTheme="minorHAnsi" w:cstheme="minorHAnsi"/>
          <w:sz w:val="20"/>
          <w:szCs w:val="20"/>
          <w:u w:val="single"/>
        </w:rPr>
      </w:pPr>
    </w:p>
    <w:p w14:paraId="0A495845" w14:textId="777728AE" w:rsidR="00333588" w:rsidRPr="00220E9A" w:rsidRDefault="00333588" w:rsidP="00333588">
      <w:pPr>
        <w:pStyle w:val="BodyText"/>
        <w:rPr>
          <w:rFonts w:asciiTheme="minorHAnsi" w:hAnsiTheme="minorHAnsi" w:cstheme="minorHAnsi"/>
          <w:sz w:val="20"/>
          <w:szCs w:val="20"/>
        </w:rPr>
      </w:pPr>
      <w:r w:rsidRPr="00220E9A">
        <w:rPr>
          <w:rFonts w:asciiTheme="minorHAnsi" w:hAnsiTheme="minorHAnsi" w:cstheme="minorHAnsi"/>
          <w:sz w:val="20"/>
          <w:szCs w:val="20"/>
        </w:rPr>
        <w:t xml:space="preserve">Massachusetts Comprehensive Local Needs Assessment Guide and Worksheet </w:t>
      </w:r>
      <w:r w:rsidR="00F22A9E" w:rsidRPr="00220E9A">
        <w:rPr>
          <w:rFonts w:asciiTheme="minorHAnsi" w:hAnsiTheme="minorHAnsi" w:cstheme="minorHAnsi"/>
          <w:sz w:val="20"/>
          <w:szCs w:val="20"/>
        </w:rPr>
        <w:t>(</w:t>
      </w:r>
      <w:r w:rsidRPr="00220E9A">
        <w:rPr>
          <w:rFonts w:asciiTheme="minorHAnsi" w:hAnsiTheme="minorHAnsi" w:cstheme="minorHAnsi"/>
          <w:sz w:val="20"/>
          <w:szCs w:val="20"/>
        </w:rPr>
        <w:t>Part VI</w:t>
      </w:r>
      <w:r w:rsidR="00F22A9E" w:rsidRPr="00220E9A">
        <w:rPr>
          <w:rFonts w:asciiTheme="minorHAnsi" w:hAnsiTheme="minorHAnsi" w:cstheme="minorHAnsi"/>
          <w:sz w:val="20"/>
          <w:szCs w:val="20"/>
        </w:rPr>
        <w:t>)</w:t>
      </w:r>
    </w:p>
    <w:p w14:paraId="4872DD4D" w14:textId="37FBEB99" w:rsidR="00333588" w:rsidRPr="00220E9A" w:rsidRDefault="00333588" w:rsidP="00333588">
      <w:pPr>
        <w:pStyle w:val="BodyText"/>
        <w:rPr>
          <w:rFonts w:asciiTheme="minorHAnsi" w:hAnsiTheme="minorHAnsi" w:cstheme="minorHAnsi"/>
          <w:sz w:val="20"/>
          <w:szCs w:val="20"/>
          <w:u w:val="single"/>
        </w:rPr>
      </w:pPr>
      <w:r w:rsidRPr="00220E9A">
        <w:rPr>
          <w:rFonts w:asciiTheme="minorHAnsi" w:hAnsiTheme="minorHAnsi" w:cstheme="minorHAnsi"/>
          <w:sz w:val="20"/>
          <w:szCs w:val="20"/>
        </w:rPr>
        <w:tab/>
      </w:r>
      <w:hyperlink r:id="rId11" w:history="1">
        <w:r w:rsidRPr="00220E9A">
          <w:rPr>
            <w:rStyle w:val="Hyperlink"/>
            <w:rFonts w:asciiTheme="minorHAnsi" w:hAnsiTheme="minorHAnsi" w:cstheme="minorHAnsi"/>
            <w:sz w:val="20"/>
            <w:szCs w:val="20"/>
          </w:rPr>
          <w:t>http://www.doe.mass.edu/ccte/cvte/perkins-v/</w:t>
        </w:r>
      </w:hyperlink>
    </w:p>
    <w:p w14:paraId="52BB18AE" w14:textId="77777777" w:rsidR="00220E9A" w:rsidRPr="00220E9A" w:rsidRDefault="00220E9A" w:rsidP="00333588">
      <w:pPr>
        <w:pStyle w:val="BodyText"/>
        <w:rPr>
          <w:rFonts w:asciiTheme="minorHAnsi" w:hAnsiTheme="minorHAnsi" w:cstheme="minorHAnsi"/>
          <w:sz w:val="20"/>
          <w:szCs w:val="20"/>
          <w:u w:val="single"/>
        </w:rPr>
      </w:pPr>
    </w:p>
    <w:p w14:paraId="213EF703" w14:textId="7AD31909" w:rsidR="00333588" w:rsidRPr="00220E9A" w:rsidRDefault="00333588" w:rsidP="00333588">
      <w:pPr>
        <w:pStyle w:val="BodyText"/>
        <w:rPr>
          <w:rFonts w:asciiTheme="minorHAnsi" w:hAnsiTheme="minorHAnsi" w:cstheme="minorHAnsi"/>
          <w:sz w:val="20"/>
          <w:szCs w:val="20"/>
        </w:rPr>
      </w:pPr>
      <w:r w:rsidRPr="00220E9A">
        <w:rPr>
          <w:rFonts w:asciiTheme="minorHAnsi" w:hAnsiTheme="minorHAnsi" w:cstheme="minorHAnsi"/>
          <w:sz w:val="20"/>
          <w:szCs w:val="20"/>
        </w:rPr>
        <w:t xml:space="preserve">Guidelines for Eliminating Discrimination and Denial of Services on the Basis of Race, Color, National Origin, Sex and Handicap in Vocational Education Programs (34 CFR, Part 100, Appendix B) </w:t>
      </w:r>
    </w:p>
    <w:p w14:paraId="40D5C92A" w14:textId="3B177D0B" w:rsidR="00220E9A" w:rsidRPr="00220E9A" w:rsidRDefault="00494069" w:rsidP="00220E9A">
      <w:pPr>
        <w:ind w:firstLine="720"/>
        <w:rPr>
          <w:rFonts w:asciiTheme="minorHAnsi" w:hAnsiTheme="minorHAnsi" w:cstheme="minorHAnsi"/>
          <w:sz w:val="20"/>
          <w:szCs w:val="20"/>
        </w:rPr>
      </w:pPr>
      <w:hyperlink r:id="rId12" w:history="1">
        <w:r w:rsidR="003300A1">
          <w:rPr>
            <w:rStyle w:val="Hyperlink"/>
            <w:rFonts w:asciiTheme="minorHAnsi" w:hAnsiTheme="minorHAnsi" w:cstheme="minorHAnsi"/>
            <w:sz w:val="20"/>
            <w:szCs w:val="20"/>
          </w:rPr>
          <w:t>http://www.doe.mass.edu/ccte/cvte/admissions/</w:t>
        </w:r>
      </w:hyperlink>
    </w:p>
    <w:p w14:paraId="1AC8120A" w14:textId="77777777" w:rsidR="00220E9A" w:rsidRDefault="00220E9A" w:rsidP="00333588">
      <w:pPr>
        <w:pStyle w:val="BodyText"/>
        <w:rPr>
          <w:rFonts w:asciiTheme="minorHAnsi" w:hAnsiTheme="minorHAnsi" w:cstheme="minorHAnsi"/>
          <w:sz w:val="20"/>
          <w:szCs w:val="20"/>
        </w:rPr>
      </w:pPr>
    </w:p>
    <w:p w14:paraId="4F0D5E47" w14:textId="52A83A0E" w:rsidR="00333588" w:rsidRPr="00220E9A" w:rsidRDefault="00333588" w:rsidP="00333588">
      <w:pPr>
        <w:pStyle w:val="BodyText"/>
        <w:rPr>
          <w:rFonts w:asciiTheme="minorHAnsi" w:hAnsiTheme="minorHAnsi" w:cstheme="minorHAnsi"/>
          <w:sz w:val="20"/>
          <w:szCs w:val="20"/>
        </w:rPr>
      </w:pPr>
      <w:r w:rsidRPr="00220E9A">
        <w:rPr>
          <w:rFonts w:asciiTheme="minorHAnsi" w:hAnsiTheme="minorHAnsi" w:cstheme="minorHAnsi"/>
          <w:sz w:val="20"/>
          <w:szCs w:val="20"/>
        </w:rPr>
        <w:t xml:space="preserve">Chapter 74 Selected Sections &amp; 603 CMR 4.00 Vocational Technical Education Regulations and Guidelines </w:t>
      </w:r>
    </w:p>
    <w:p w14:paraId="2B4FD41D" w14:textId="43A5B1FA" w:rsidR="00333588" w:rsidRPr="00220E9A" w:rsidRDefault="00333588" w:rsidP="00333588">
      <w:pPr>
        <w:pStyle w:val="BodyText"/>
        <w:rPr>
          <w:rFonts w:asciiTheme="minorHAnsi" w:hAnsiTheme="minorHAnsi" w:cstheme="minorHAnsi"/>
          <w:sz w:val="20"/>
          <w:szCs w:val="20"/>
        </w:rPr>
      </w:pPr>
      <w:r w:rsidRPr="00220E9A">
        <w:rPr>
          <w:rFonts w:asciiTheme="minorHAnsi" w:hAnsiTheme="minorHAnsi" w:cstheme="minorHAnsi"/>
          <w:sz w:val="20"/>
          <w:szCs w:val="20"/>
        </w:rPr>
        <w:tab/>
      </w:r>
      <w:hyperlink r:id="rId13" w:history="1">
        <w:r w:rsidR="003300A1">
          <w:rPr>
            <w:rStyle w:val="Hyperlink"/>
            <w:rFonts w:asciiTheme="minorHAnsi" w:hAnsiTheme="minorHAnsi" w:cstheme="minorHAnsi"/>
            <w:sz w:val="20"/>
            <w:szCs w:val="20"/>
          </w:rPr>
          <w:t>http://www.doe.mass.edu/ccte/cvte/laws.html</w:t>
        </w:r>
      </w:hyperlink>
    </w:p>
    <w:p w14:paraId="1734E960" w14:textId="287064AD" w:rsidR="00333588" w:rsidRPr="00220E9A" w:rsidRDefault="00333588" w:rsidP="00333588">
      <w:pPr>
        <w:pStyle w:val="BodyText"/>
        <w:rPr>
          <w:rFonts w:asciiTheme="minorHAnsi" w:hAnsiTheme="minorHAnsi" w:cstheme="minorHAnsi"/>
          <w:sz w:val="20"/>
          <w:szCs w:val="20"/>
        </w:rPr>
      </w:pPr>
      <w:r w:rsidRPr="00220E9A">
        <w:rPr>
          <w:rFonts w:asciiTheme="minorHAnsi" w:hAnsiTheme="minorHAnsi" w:cstheme="minorHAnsi"/>
          <w:sz w:val="20"/>
          <w:szCs w:val="20"/>
        </w:rPr>
        <w:t>Chapter 74 Manual for Vocational Technical Education Admission Policies</w:t>
      </w:r>
    </w:p>
    <w:p w14:paraId="63E9C906" w14:textId="4BA1759E" w:rsidR="00333588" w:rsidRPr="00220E9A" w:rsidRDefault="00333588" w:rsidP="00333588">
      <w:pPr>
        <w:pStyle w:val="BodyText"/>
        <w:rPr>
          <w:rFonts w:asciiTheme="minorHAnsi" w:hAnsiTheme="minorHAnsi" w:cstheme="minorHAnsi"/>
          <w:sz w:val="20"/>
          <w:szCs w:val="20"/>
        </w:rPr>
      </w:pPr>
      <w:r w:rsidRPr="00220E9A">
        <w:rPr>
          <w:rFonts w:asciiTheme="minorHAnsi" w:hAnsiTheme="minorHAnsi" w:cstheme="minorHAnsi"/>
          <w:sz w:val="20"/>
          <w:szCs w:val="20"/>
        </w:rPr>
        <w:tab/>
      </w:r>
      <w:hyperlink r:id="rId14" w:history="1">
        <w:r w:rsidR="003300A1">
          <w:rPr>
            <w:rStyle w:val="Hyperlink"/>
            <w:rFonts w:asciiTheme="minorHAnsi" w:hAnsiTheme="minorHAnsi" w:cstheme="minorHAnsi"/>
            <w:sz w:val="20"/>
            <w:szCs w:val="20"/>
          </w:rPr>
          <w:t>http://www.doe.mass.edu/ccte/cvte/admissions/</w:t>
        </w:r>
      </w:hyperlink>
    </w:p>
    <w:p w14:paraId="4AB3B01E" w14:textId="77777777" w:rsidR="00220E9A" w:rsidRPr="00220E9A" w:rsidRDefault="00220E9A" w:rsidP="00333588">
      <w:pPr>
        <w:pStyle w:val="BodyText"/>
        <w:ind w:hanging="335"/>
        <w:rPr>
          <w:rFonts w:asciiTheme="minorHAnsi" w:hAnsiTheme="minorHAnsi" w:cstheme="minorHAnsi"/>
          <w:sz w:val="20"/>
          <w:szCs w:val="20"/>
        </w:rPr>
      </w:pPr>
    </w:p>
    <w:p w14:paraId="138345CD" w14:textId="59F84AF3" w:rsidR="00333588" w:rsidRPr="00220E9A" w:rsidRDefault="00333588" w:rsidP="00A86579">
      <w:pPr>
        <w:pStyle w:val="BodyTextIndent"/>
        <w:spacing w:after="0"/>
        <w:ind w:left="0"/>
        <w:rPr>
          <w:rFonts w:asciiTheme="minorHAnsi" w:hAnsiTheme="minorHAnsi" w:cstheme="minorHAnsi"/>
          <w:sz w:val="20"/>
          <w:szCs w:val="20"/>
        </w:rPr>
      </w:pPr>
      <w:r w:rsidRPr="00220E9A">
        <w:rPr>
          <w:rFonts w:asciiTheme="minorHAnsi" w:hAnsiTheme="minorHAnsi" w:cstheme="minorHAnsi"/>
          <w:sz w:val="20"/>
          <w:szCs w:val="20"/>
        </w:rPr>
        <w:t>Massachusetts General Law Chapter 76, Section 5</w:t>
      </w:r>
      <w:r w:rsidR="00A86579" w:rsidRPr="00220E9A">
        <w:rPr>
          <w:rFonts w:asciiTheme="minorHAnsi" w:hAnsiTheme="minorHAnsi" w:cstheme="minorHAnsi"/>
          <w:sz w:val="20"/>
          <w:szCs w:val="20"/>
        </w:rPr>
        <w:t xml:space="preserve">  </w:t>
      </w:r>
      <w:hyperlink r:id="rId15" w:history="1">
        <w:r w:rsidRPr="00220E9A">
          <w:rPr>
            <w:rStyle w:val="Hyperlink"/>
            <w:rFonts w:asciiTheme="minorHAnsi" w:hAnsiTheme="minorHAnsi" w:cstheme="minorHAnsi"/>
            <w:sz w:val="20"/>
            <w:szCs w:val="20"/>
          </w:rPr>
          <w:t>http://www.mass.gov/legis/laws/mgl/gl-pt1-toc.htm</w:t>
        </w:r>
      </w:hyperlink>
    </w:p>
    <w:p w14:paraId="23ED07F0" w14:textId="77777777" w:rsidR="00220E9A" w:rsidRPr="00220E9A" w:rsidRDefault="00220E9A" w:rsidP="00333588">
      <w:pPr>
        <w:pStyle w:val="BodyTextIndent"/>
        <w:spacing w:after="0"/>
        <w:ind w:left="0"/>
        <w:rPr>
          <w:rFonts w:asciiTheme="minorHAnsi" w:hAnsiTheme="minorHAnsi" w:cstheme="minorHAnsi"/>
          <w:sz w:val="20"/>
          <w:szCs w:val="20"/>
          <w:u w:val="single"/>
        </w:rPr>
      </w:pPr>
    </w:p>
    <w:p w14:paraId="24CC9194" w14:textId="040173C0" w:rsidR="00333588" w:rsidRPr="00220E9A" w:rsidRDefault="00333588" w:rsidP="00333588">
      <w:pPr>
        <w:pStyle w:val="BodyTextIndent"/>
        <w:spacing w:after="0"/>
        <w:ind w:left="0"/>
        <w:rPr>
          <w:rFonts w:asciiTheme="minorHAnsi" w:hAnsiTheme="minorHAnsi" w:cstheme="minorHAnsi"/>
          <w:sz w:val="20"/>
          <w:szCs w:val="20"/>
        </w:rPr>
      </w:pPr>
      <w:r w:rsidRPr="00220E9A">
        <w:rPr>
          <w:rFonts w:asciiTheme="minorHAnsi" w:hAnsiTheme="minorHAnsi" w:cstheme="minorHAnsi"/>
          <w:sz w:val="20"/>
          <w:szCs w:val="20"/>
        </w:rPr>
        <w:t>Massachusetts Access to Equal Educational Opportunity Regulations 603 CMR 26.00</w:t>
      </w:r>
      <w:r w:rsidR="0004015C" w:rsidRPr="00220E9A">
        <w:rPr>
          <w:rFonts w:asciiTheme="minorHAnsi" w:hAnsiTheme="minorHAnsi" w:cstheme="minorHAnsi"/>
          <w:sz w:val="20"/>
          <w:szCs w:val="20"/>
        </w:rPr>
        <w:t xml:space="preserve"> </w:t>
      </w:r>
    </w:p>
    <w:p w14:paraId="5F590686" w14:textId="4AE3C5EC" w:rsidR="00333588" w:rsidRDefault="00494069" w:rsidP="00333588">
      <w:pPr>
        <w:ind w:firstLine="720"/>
        <w:rPr>
          <w:rStyle w:val="Hyperlink"/>
          <w:rFonts w:asciiTheme="minorHAnsi" w:hAnsiTheme="minorHAnsi" w:cstheme="minorHAnsi"/>
          <w:sz w:val="20"/>
          <w:szCs w:val="20"/>
        </w:rPr>
      </w:pPr>
      <w:hyperlink r:id="rId16" w:history="1">
        <w:r w:rsidR="00333588" w:rsidRPr="00220E9A">
          <w:rPr>
            <w:rStyle w:val="Hyperlink"/>
            <w:rFonts w:asciiTheme="minorHAnsi" w:hAnsiTheme="minorHAnsi" w:cstheme="minorHAnsi"/>
            <w:sz w:val="20"/>
            <w:szCs w:val="20"/>
          </w:rPr>
          <w:t>http://www.doe.mass.edu/lawsregs/603cmr26.html</w:t>
        </w:r>
      </w:hyperlink>
    </w:p>
    <w:p w14:paraId="14A17ADF" w14:textId="77777777" w:rsidR="00220E9A" w:rsidRPr="00AD29BA" w:rsidRDefault="00220E9A" w:rsidP="00220E9A">
      <w:pPr>
        <w:pStyle w:val="BodyText"/>
        <w:ind w:hanging="335"/>
        <w:rPr>
          <w:rFonts w:asciiTheme="minorHAnsi" w:hAnsiTheme="minorHAnsi" w:cstheme="minorHAnsi"/>
          <w:sz w:val="20"/>
          <w:szCs w:val="20"/>
        </w:rPr>
      </w:pPr>
      <w:r w:rsidRPr="00AD29BA">
        <w:rPr>
          <w:rFonts w:asciiTheme="minorHAnsi" w:hAnsiTheme="minorHAnsi" w:cstheme="minorHAnsi"/>
          <w:sz w:val="20"/>
          <w:szCs w:val="20"/>
        </w:rPr>
        <w:tab/>
        <w:t>Instructions for School Districts in Reporting Student-Level Data for Career/Vocational Technical Education</w:t>
      </w:r>
    </w:p>
    <w:p w14:paraId="1F2CCC2C" w14:textId="10244D0C" w:rsidR="00220E9A" w:rsidRPr="00220E9A" w:rsidRDefault="00220E9A" w:rsidP="00AB0114">
      <w:pPr>
        <w:pStyle w:val="BodyText"/>
        <w:ind w:hanging="335"/>
      </w:pPr>
      <w:r w:rsidRPr="00AD29BA">
        <w:rPr>
          <w:rFonts w:asciiTheme="minorHAnsi" w:hAnsiTheme="minorHAnsi" w:cstheme="minorHAnsi"/>
          <w:sz w:val="20"/>
          <w:szCs w:val="20"/>
        </w:rPr>
        <w:tab/>
      </w:r>
      <w:r w:rsidRPr="00AD29BA">
        <w:rPr>
          <w:rFonts w:asciiTheme="minorHAnsi" w:hAnsiTheme="minorHAnsi" w:cstheme="minorHAnsi"/>
          <w:sz w:val="20"/>
          <w:szCs w:val="20"/>
        </w:rPr>
        <w:tab/>
      </w:r>
      <w:hyperlink r:id="rId17" w:history="1">
        <w:r w:rsidRPr="00AD29BA">
          <w:rPr>
            <w:rStyle w:val="Hyperlink"/>
            <w:rFonts w:asciiTheme="minorHAnsi" w:hAnsiTheme="minorHAnsi" w:cstheme="minorHAnsi"/>
            <w:sz w:val="20"/>
            <w:szCs w:val="20"/>
          </w:rPr>
          <w:t>http://www.doe.mass.edu/ccte/cvte/data/</w:t>
        </w:r>
      </w:hyperlink>
      <w:r w:rsidRPr="00220E9A">
        <w:rPr>
          <w:rFonts w:asciiTheme="minorHAnsi" w:hAnsiTheme="minorHAnsi" w:cstheme="minorHAnsi"/>
          <w:sz w:val="20"/>
          <w:szCs w:val="20"/>
        </w:rPr>
        <w:t xml:space="preserve"> </w:t>
      </w:r>
    </w:p>
    <w:sectPr w:rsidR="00220E9A" w:rsidRPr="00220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30959"/>
    <w:multiLevelType w:val="hybridMultilevel"/>
    <w:tmpl w:val="7E52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CD662A"/>
    <w:multiLevelType w:val="hybridMultilevel"/>
    <w:tmpl w:val="C9B0F50C"/>
    <w:lvl w:ilvl="0" w:tplc="73D058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05349F"/>
    <w:multiLevelType w:val="hybridMultilevel"/>
    <w:tmpl w:val="E6ECA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88"/>
    <w:rsid w:val="0004015C"/>
    <w:rsid w:val="001A6683"/>
    <w:rsid w:val="00220E9A"/>
    <w:rsid w:val="00237022"/>
    <w:rsid w:val="002757AD"/>
    <w:rsid w:val="00303349"/>
    <w:rsid w:val="003300A1"/>
    <w:rsid w:val="00333588"/>
    <w:rsid w:val="003F06A7"/>
    <w:rsid w:val="00423BD1"/>
    <w:rsid w:val="00494069"/>
    <w:rsid w:val="007378CD"/>
    <w:rsid w:val="008665A2"/>
    <w:rsid w:val="00A86579"/>
    <w:rsid w:val="00AB0114"/>
    <w:rsid w:val="00AC0414"/>
    <w:rsid w:val="00B444FA"/>
    <w:rsid w:val="00BC1C68"/>
    <w:rsid w:val="00C71011"/>
    <w:rsid w:val="00DA559F"/>
    <w:rsid w:val="00E6185E"/>
    <w:rsid w:val="00E739FD"/>
    <w:rsid w:val="00E90077"/>
    <w:rsid w:val="00F15D35"/>
    <w:rsid w:val="00F22A9E"/>
    <w:rsid w:val="00F92D16"/>
    <w:rsid w:val="00FE04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6D400"/>
  <w15:chartTrackingRefBased/>
  <w15:docId w15:val="{07560F2D-53CD-48F5-A7F0-29E6B30B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58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333588"/>
    <w:pPr>
      <w:keepNext/>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33358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3588"/>
    <w:rPr>
      <w:rFonts w:ascii="Times New Roman" w:hAnsi="Times New Roman" w:cs="Times New Roman" w:hint="default"/>
      <w:color w:val="0000FF"/>
      <w:u w:val="single"/>
    </w:rPr>
  </w:style>
  <w:style w:type="paragraph" w:styleId="BodyText">
    <w:name w:val="Body Text"/>
    <w:basedOn w:val="Normal"/>
    <w:link w:val="BodyTextChar"/>
    <w:unhideWhenUsed/>
    <w:rsid w:val="003335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rFonts w:ascii="Arial" w:hAnsi="Arial" w:cs="Arial"/>
      <w:sz w:val="22"/>
      <w:szCs w:val="22"/>
    </w:rPr>
  </w:style>
  <w:style w:type="character" w:customStyle="1" w:styleId="BodyTextChar">
    <w:name w:val="Body Text Char"/>
    <w:basedOn w:val="DefaultParagraphFont"/>
    <w:link w:val="BodyText"/>
    <w:rsid w:val="00333588"/>
    <w:rPr>
      <w:rFonts w:ascii="Arial" w:eastAsia="Times New Roman" w:hAnsi="Arial" w:cs="Arial"/>
    </w:rPr>
  </w:style>
  <w:style w:type="character" w:styleId="FollowedHyperlink">
    <w:name w:val="FollowedHyperlink"/>
    <w:basedOn w:val="DefaultParagraphFont"/>
    <w:uiPriority w:val="99"/>
    <w:semiHidden/>
    <w:unhideWhenUsed/>
    <w:rsid w:val="00333588"/>
    <w:rPr>
      <w:color w:val="954F72" w:themeColor="followedHyperlink"/>
      <w:u w:val="single"/>
    </w:rPr>
  </w:style>
  <w:style w:type="paragraph" w:styleId="CommentText">
    <w:name w:val="annotation text"/>
    <w:basedOn w:val="Normal"/>
    <w:link w:val="CommentTextChar"/>
    <w:semiHidden/>
    <w:unhideWhenUsed/>
    <w:rsid w:val="00333588"/>
    <w:rPr>
      <w:sz w:val="20"/>
      <w:szCs w:val="20"/>
    </w:rPr>
  </w:style>
  <w:style w:type="character" w:customStyle="1" w:styleId="CommentTextChar">
    <w:name w:val="Comment Text Char"/>
    <w:basedOn w:val="DefaultParagraphFont"/>
    <w:link w:val="CommentText"/>
    <w:semiHidden/>
    <w:rsid w:val="00333588"/>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333588"/>
    <w:pPr>
      <w:spacing w:after="120"/>
      <w:ind w:left="360"/>
    </w:pPr>
  </w:style>
  <w:style w:type="character" w:customStyle="1" w:styleId="BodyTextIndentChar">
    <w:name w:val="Body Text Indent Char"/>
    <w:basedOn w:val="DefaultParagraphFont"/>
    <w:link w:val="BodyTextIndent"/>
    <w:uiPriority w:val="99"/>
    <w:rsid w:val="00333588"/>
    <w:rPr>
      <w:rFonts w:ascii="Times New Roman" w:eastAsia="Times New Roman" w:hAnsi="Times New Roman" w:cs="Times New Roman"/>
      <w:sz w:val="24"/>
      <w:szCs w:val="24"/>
    </w:rPr>
  </w:style>
  <w:style w:type="paragraph" w:styleId="ListParagraph">
    <w:name w:val="List Paragraph"/>
    <w:basedOn w:val="Normal"/>
    <w:uiPriority w:val="34"/>
    <w:qFormat/>
    <w:rsid w:val="00333588"/>
    <w:pPr>
      <w:ind w:left="720"/>
      <w:contextualSpacing/>
    </w:pPr>
  </w:style>
  <w:style w:type="character" w:styleId="UnresolvedMention">
    <w:name w:val="Unresolved Mention"/>
    <w:basedOn w:val="DefaultParagraphFont"/>
    <w:uiPriority w:val="99"/>
    <w:semiHidden/>
    <w:unhideWhenUsed/>
    <w:rsid w:val="00333588"/>
    <w:rPr>
      <w:color w:val="605E5C"/>
      <w:shd w:val="clear" w:color="auto" w:fill="E1DFDD"/>
    </w:rPr>
  </w:style>
  <w:style w:type="paragraph" w:styleId="BalloonText">
    <w:name w:val="Balloon Text"/>
    <w:basedOn w:val="Normal"/>
    <w:link w:val="BalloonTextChar"/>
    <w:uiPriority w:val="99"/>
    <w:semiHidden/>
    <w:unhideWhenUsed/>
    <w:rsid w:val="002370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02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739FD"/>
    <w:rPr>
      <w:sz w:val="16"/>
      <w:szCs w:val="16"/>
    </w:rPr>
  </w:style>
  <w:style w:type="paragraph" w:styleId="CommentSubject">
    <w:name w:val="annotation subject"/>
    <w:basedOn w:val="CommentText"/>
    <w:next w:val="CommentText"/>
    <w:link w:val="CommentSubjectChar"/>
    <w:uiPriority w:val="99"/>
    <w:semiHidden/>
    <w:unhideWhenUsed/>
    <w:rsid w:val="00E739FD"/>
    <w:rPr>
      <w:b/>
      <w:bCs/>
    </w:rPr>
  </w:style>
  <w:style w:type="character" w:customStyle="1" w:styleId="CommentSubjectChar">
    <w:name w:val="Comment Subject Char"/>
    <w:basedOn w:val="CommentTextChar"/>
    <w:link w:val="CommentSubject"/>
    <w:uiPriority w:val="99"/>
    <w:semiHidden/>
    <w:rsid w:val="00E739F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959362">
      <w:bodyDiv w:val="1"/>
      <w:marLeft w:val="0"/>
      <w:marRight w:val="0"/>
      <w:marTop w:val="0"/>
      <w:marBottom w:val="0"/>
      <w:divBdr>
        <w:top w:val="none" w:sz="0" w:space="0" w:color="auto"/>
        <w:left w:val="none" w:sz="0" w:space="0" w:color="auto"/>
        <w:bottom w:val="none" w:sz="0" w:space="0" w:color="auto"/>
        <w:right w:val="none" w:sz="0" w:space="0" w:color="auto"/>
      </w:divBdr>
    </w:div>
    <w:div w:id="853420975">
      <w:bodyDiv w:val="1"/>
      <w:marLeft w:val="0"/>
      <w:marRight w:val="0"/>
      <w:marTop w:val="0"/>
      <w:marBottom w:val="0"/>
      <w:divBdr>
        <w:top w:val="none" w:sz="0" w:space="0" w:color="auto"/>
        <w:left w:val="none" w:sz="0" w:space="0" w:color="auto"/>
        <w:bottom w:val="none" w:sz="0" w:space="0" w:color="auto"/>
        <w:right w:val="none" w:sz="0" w:space="0" w:color="auto"/>
      </w:divBdr>
    </w:div>
    <w:div w:id="1250777079">
      <w:bodyDiv w:val="1"/>
      <w:marLeft w:val="0"/>
      <w:marRight w:val="0"/>
      <w:marTop w:val="0"/>
      <w:marBottom w:val="0"/>
      <w:divBdr>
        <w:top w:val="none" w:sz="0" w:space="0" w:color="auto"/>
        <w:left w:val="none" w:sz="0" w:space="0" w:color="auto"/>
        <w:bottom w:val="none" w:sz="0" w:space="0" w:color="auto"/>
        <w:right w:val="none" w:sz="0" w:space="0" w:color="auto"/>
      </w:divBdr>
    </w:div>
    <w:div w:id="1504590539">
      <w:bodyDiv w:val="1"/>
      <w:marLeft w:val="0"/>
      <w:marRight w:val="0"/>
      <w:marTop w:val="0"/>
      <w:marBottom w:val="0"/>
      <w:divBdr>
        <w:top w:val="none" w:sz="0" w:space="0" w:color="auto"/>
        <w:left w:val="none" w:sz="0" w:space="0" w:color="auto"/>
        <w:bottom w:val="none" w:sz="0" w:space="0" w:color="auto"/>
        <w:right w:val="none" w:sz="0" w:space="0" w:color="auto"/>
      </w:divBdr>
    </w:div>
    <w:div w:id="180757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ccte/cvte/law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ccte/cvte/admissions/" TargetMode="External"/><Relationship Id="rId17" Type="http://schemas.openxmlformats.org/officeDocument/2006/relationships/hyperlink" Target="http://www.doe.mass.edu/ccte/cvte/data/" TargetMode="External"/><Relationship Id="rId2" Type="http://schemas.openxmlformats.org/officeDocument/2006/relationships/customXml" Target="../customXml/item2.xml"/><Relationship Id="rId16" Type="http://schemas.openxmlformats.org/officeDocument/2006/relationships/hyperlink" Target="http://www.doe.mass.edu/lawsregs/603cmr26.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ccte/cvte/perkins-v/" TargetMode="External"/><Relationship Id="rId5" Type="http://schemas.openxmlformats.org/officeDocument/2006/relationships/numbering" Target="numbering.xml"/><Relationship Id="rId15" Type="http://schemas.openxmlformats.org/officeDocument/2006/relationships/hyperlink" Target="http://www.mass.gov/legis/laws/mgl/gl-pt1-toc.htm" TargetMode="External"/><Relationship Id="rId10" Type="http://schemas.openxmlformats.org/officeDocument/2006/relationships/hyperlink" Target="http://www.doe.mass.edu/ccte/cvte/perkins-v/"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cte.careertech.org/sites/default/files/PerkinsV_September2018.pdf" TargetMode="External"/><Relationship Id="rId14" Type="http://schemas.openxmlformats.org/officeDocument/2006/relationships/hyperlink" Target="http://www.doe.mass.edu/ccte/cvte/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DESE-231-61954</_dlc_DocId>
    <_dlc_DocIdUrl xmlns="733efe1c-5bbe-4968-87dc-d400e65c879f">
      <Url>https://sharepoint.doemass.org/ese/webteam/cps/_layouts/DocIdRedir.aspx?ID=DESE-231-61954</Url>
      <Description>DESE-231-61954</Description>
    </_dlc_DocIdUrl>
  </documentManagement>
</p:properties>
</file>

<file path=customXml/itemProps1.xml><?xml version="1.0" encoding="utf-8"?>
<ds:datastoreItem xmlns:ds="http://schemas.openxmlformats.org/officeDocument/2006/customXml" ds:itemID="{34A6989E-3216-449E-BB57-FA0D5FB30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8522C-D2F2-4E87-94E0-E5F4A812C7F9}">
  <ds:schemaRefs>
    <ds:schemaRef ds:uri="http://schemas.microsoft.com/sharepoint/events"/>
  </ds:schemaRefs>
</ds:datastoreItem>
</file>

<file path=customXml/itemProps3.xml><?xml version="1.0" encoding="utf-8"?>
<ds:datastoreItem xmlns:ds="http://schemas.openxmlformats.org/officeDocument/2006/customXml" ds:itemID="{0BE9DA98-78F4-4506-BBE6-826EFAE79886}">
  <ds:schemaRefs>
    <ds:schemaRef ds:uri="http://schemas.microsoft.com/sharepoint/v3/contenttype/forms"/>
  </ds:schemaRefs>
</ds:datastoreItem>
</file>

<file path=customXml/itemProps4.xml><?xml version="1.0" encoding="utf-8"?>
<ds:datastoreItem xmlns:ds="http://schemas.openxmlformats.org/officeDocument/2006/customXml" ds:itemID="{F739B580-C810-4EC4-A24A-D20FD362AF9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Implementing Equal Access to CTE Programs</vt:lpstr>
    </vt:vector>
  </TitlesOfParts>
  <Company>EOE</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Equal Access to CTE Programs</dc:title>
  <dc:subject/>
  <dc:creator>DESE</dc:creator>
  <cp:keywords/>
  <dc:description/>
  <cp:lastModifiedBy>Zou, Dong (EOE)</cp:lastModifiedBy>
  <cp:revision>12</cp:revision>
  <dcterms:created xsi:type="dcterms:W3CDTF">2020-06-22T20:27:00Z</dcterms:created>
  <dcterms:modified xsi:type="dcterms:W3CDTF">2020-06-30T20:13:00Z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30 2020</vt:lpwstr>
  </property>
</Properties>
</file>